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5.xml" ContentType="application/vnd.openxmlformats-officedocument.wordprocessingml.header+xml"/>
  <Override PartName="/word/footer5.xml" ContentType="application/vnd.openxmlformats-officedocument.wordprocessingml.footer+xml"/>
  <Override PartName="/word/charts/chart7.xml" ContentType="application/vnd.openxmlformats-officedocument.drawingml.chart+xml"/>
  <Override PartName="/word/theme/themeOverride7.xml" ContentType="application/vnd.openxmlformats-officedocument.themeOverride+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charts/chart8.xml" ContentType="application/vnd.openxmlformats-officedocument.drawingml.chart+xml"/>
  <Override PartName="/word/theme/themeOverride8.xml" ContentType="application/vnd.openxmlformats-officedocument.themeOverride+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header11.xml" ContentType="application/vnd.openxmlformats-officedocument.wordprocessingml.header+xml"/>
  <Override PartName="/word/charts/chart14.xml" ContentType="application/vnd.openxmlformats-officedocument.drawingml.chart+xml"/>
  <Override PartName="/word/theme/themeOverride14.xml" ContentType="application/vnd.openxmlformats-officedocument.themeOverride+xml"/>
  <Override PartName="/word/drawings/drawing1.xml" ContentType="application/vnd.openxmlformats-officedocument.drawingml.chartshapes+xml"/>
  <Override PartName="/word/charts/chart15.xml" ContentType="application/vnd.openxmlformats-officedocument.drawingml.chart+xml"/>
  <Override PartName="/word/theme/themeOverride15.xml" ContentType="application/vnd.openxmlformats-officedocument.themeOverride+xml"/>
  <Override PartName="/word/drawings/drawing2.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drawings/drawing3.xml" ContentType="application/vnd.openxmlformats-officedocument.drawingml.chartshapes+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charts/chart17.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34.xml" ContentType="application/vnd.openxmlformats-officedocument.themeOverride+xml"/>
  <Override PartName="/word/charts/chart3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35.xml" ContentType="application/vnd.openxmlformats-officedocument.themeOverride+xml"/>
  <Override PartName="/word/header14.xml" ContentType="application/vnd.openxmlformats-officedocument.wordprocessingml.header+xml"/>
  <Override PartName="/word/footer11.xml" ContentType="application/vnd.openxmlformats-officedocument.wordprocessingml.footer+xml"/>
  <Override PartName="/word/charts/chart3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36.xml" ContentType="application/vnd.openxmlformats-officedocument.themeOverride+xml"/>
  <Override PartName="/word/charts/chart3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37.xml" ContentType="application/vnd.openxmlformats-officedocument.themeOverride+xml"/>
  <Override PartName="/word/charts/chart38.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38.xml" ContentType="application/vnd.openxmlformats-officedocument.themeOverride+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charts/chart39.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39.xml" ContentType="application/vnd.openxmlformats-officedocument.themeOverride+xml"/>
  <Override PartName="/word/header20.xml" ContentType="application/vnd.openxmlformats-officedocument.wordprocessingml.header+xml"/>
  <Override PartName="/word/footer14.xml" ContentType="application/vnd.openxmlformats-officedocument.wordprocessingml.footer+xml"/>
  <Override PartName="/word/header21.xml" ContentType="application/vnd.openxmlformats-officedocument.wordprocessingml.header+xml"/>
  <Override PartName="/word/footer15.xml" ContentType="application/vnd.openxmlformats-officedocument.wordprocessingml.footer+xml"/>
  <Override PartName="/word/charts/chart40.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40.xml" ContentType="application/vnd.openxmlformats-officedocument.themeOverride+xml"/>
  <Override PartName="/word/charts/chart41.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41.xml" ContentType="application/vnd.openxmlformats-officedocument.themeOverride+xml"/>
  <Override PartName="/word/header22.xml" ContentType="application/vnd.openxmlformats-officedocument.wordprocessingml.header+xml"/>
  <Override PartName="/word/footer16.xml" ContentType="application/vnd.openxmlformats-officedocument.wordprocessingml.footer+xml"/>
  <Override PartName="/word/header23.xml" ContentType="application/vnd.openxmlformats-officedocument.wordprocessingml.header+xml"/>
  <Override PartName="/word/footer1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8.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0.xml" ContentType="application/vnd.openxmlformats-officedocument.wordprocessingml.footer+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header31.xml" ContentType="application/vnd.openxmlformats-officedocument.wordprocessingml.header+xml"/>
  <Override PartName="/word/header32.xml" ContentType="application/vnd.openxmlformats-officedocument.wordprocessingml.header+xml"/>
  <Override PartName="/word/footer21.xml" ContentType="application/vnd.openxmlformats-officedocument.wordprocessingml.footer+xml"/>
  <Override PartName="/word/header33.xml" ContentType="application/vnd.openxmlformats-officedocument.wordprocessingml.header+xml"/>
  <Override PartName="/word/charts/chart45.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45.xml" ContentType="application/vnd.openxmlformats-officedocument.themeOverride+xml"/>
  <Override PartName="/word/charts/chart46.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46.xml" ContentType="application/vnd.openxmlformats-officedocument.themeOverride+xml"/>
  <Override PartName="/word/header34.xml" ContentType="application/vnd.openxmlformats-officedocument.wordprocessingml.header+xml"/>
  <Override PartName="/word/header35.xml" ContentType="application/vnd.openxmlformats-officedocument.wordprocessingml.header+xml"/>
  <Override PartName="/word/footer22.xml" ContentType="application/vnd.openxmlformats-officedocument.wordprocessingml.footer+xml"/>
  <Override PartName="/word/charts/chart47.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47.xml" ContentType="application/vnd.openxmlformats-officedocument.themeOverride+xml"/>
  <Override PartName="/word/header36.xml" ContentType="application/vnd.openxmlformats-officedocument.wordprocessingml.header+xml"/>
  <Override PartName="/word/footer23.xml" ContentType="application/vnd.openxmlformats-officedocument.wordprocessingml.footer+xml"/>
  <Override PartName="/word/header37.xml" ContentType="application/vnd.openxmlformats-officedocument.wordprocessingml.header+xml"/>
  <Override PartName="/word/footer24.xml" ContentType="application/vnd.openxmlformats-officedocument.wordprocessingml.footer+xml"/>
  <Override PartName="/word/header38.xml" ContentType="application/vnd.openxmlformats-officedocument.wordprocessingml.header+xml"/>
  <Override PartName="/word/footer2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6.xml" ContentType="application/vnd.openxmlformats-officedocument.wordprocessingml.footer+xml"/>
  <Override PartName="/word/header41.xml" ContentType="application/vnd.openxmlformats-officedocument.wordprocessingml.header+xml"/>
  <Override PartName="/word/footer27.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28.xml" ContentType="application/vnd.openxmlformats-officedocument.wordprocessingml.footer+xml"/>
  <Override PartName="/word/header44.xml" ContentType="application/vnd.openxmlformats-officedocument.wordprocessingml.header+xml"/>
  <Override PartName="/word/footer29.xml" ContentType="application/vnd.openxmlformats-officedocument.wordprocessingml.footer+xml"/>
  <Override PartName="/word/header45.xml" ContentType="application/vnd.openxmlformats-officedocument.wordprocessingml.header+xml"/>
  <Override PartName="/word/footer30.xml" ContentType="application/vnd.openxmlformats-officedocument.wordprocessingml.footer+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49.xml" ContentType="application/vnd.openxmlformats-officedocument.themeOverride+xml"/>
  <Override PartName="/word/header46.xml" ContentType="application/vnd.openxmlformats-officedocument.wordprocessingml.header+xml"/>
  <Override PartName="/word/footer31.xml" ContentType="application/vnd.openxmlformats-officedocument.wordprocessingml.footer+xml"/>
  <Override PartName="/word/header47.xml" ContentType="application/vnd.openxmlformats-officedocument.wordprocessingml.header+xml"/>
  <Override PartName="/word/footer32.xml" ContentType="application/vnd.openxmlformats-officedocument.wordprocessingml.footer+xml"/>
  <Override PartName="/word/charts/chart50.xml" ContentType="application/vnd.openxmlformats-officedocument.drawingml.chart+xml"/>
  <Override PartName="/word/theme/themeOverride50.xml" ContentType="application/vnd.openxmlformats-officedocument.themeOverride+xml"/>
  <Override PartName="/word/charts/chart51.xml" ContentType="application/vnd.openxmlformats-officedocument.drawingml.chart+xml"/>
  <Override PartName="/word/theme/themeOverride51.xml" ContentType="application/vnd.openxmlformats-officedocument.themeOverride+xml"/>
  <Override PartName="/word/charts/chart52.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52.xml" ContentType="application/vnd.openxmlformats-officedocument.themeOverride+xml"/>
  <Override PartName="/word/charts/chart53.xml" ContentType="application/vnd.openxmlformats-officedocument.drawingml.chart+xml"/>
  <Override PartName="/word/theme/themeOverride53.xml" ContentType="application/vnd.openxmlformats-officedocument.themeOverride+xml"/>
  <Override PartName="/word/charts/chart54.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54.xml" ContentType="application/vnd.openxmlformats-officedocument.themeOverride+xml"/>
  <Override PartName="/word/header48.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5ECC" w:rsidRPr="00C43A85" w:rsidRDefault="00B35ECC" w:rsidP="00FB1AE6">
      <w:pPr>
        <w:pStyle w:val="Heading6"/>
      </w:pPr>
      <w:bookmarkStart w:id="0" w:name="_Ref457987841"/>
      <w:r w:rsidRPr="00E97BFA">
        <w:t>Hydrology</w:t>
      </w:r>
      <w:r w:rsidRPr="00C43A85">
        <w:t xml:space="preserve"> (River)</w:t>
      </w:r>
      <w:bookmarkEnd w:id="0"/>
    </w:p>
    <w:p w:rsidR="00B35ECC" w:rsidRDefault="00B35ECC" w:rsidP="00E70E57">
      <w:pPr>
        <w:pStyle w:val="Heading7"/>
      </w:pPr>
      <w:r w:rsidRPr="00FB1AE6">
        <w:t>Introduction</w:t>
      </w:r>
    </w:p>
    <w:p w:rsidR="00B35ECC" w:rsidRDefault="00B35ECC" w:rsidP="00C43A85">
      <w:r w:rsidRPr="00386832">
        <w:t>The Hydrology (River) indicator provides in-channel hydrological information on the character o</w:t>
      </w:r>
      <w:r>
        <w:t>f</w:t>
      </w:r>
      <w:r w:rsidRPr="00386832">
        <w:t xml:space="preserve"> Commonwealth environmental water and other environmental water deliveries.</w:t>
      </w:r>
      <w:r w:rsidR="003046CC">
        <w:t xml:space="preserve"> </w:t>
      </w:r>
      <w:r w:rsidRPr="00386832">
        <w:t xml:space="preserve"> This information is d</w:t>
      </w:r>
      <w:bookmarkStart w:id="1" w:name="_GoBack"/>
      <w:bookmarkEnd w:id="1"/>
      <w:r w:rsidRPr="00386832">
        <w:t>irectly relevant to a number of other indicators measured in the</w:t>
      </w:r>
      <w:r w:rsidR="00E64E44">
        <w:t xml:space="preserve"> Gwydir </w:t>
      </w:r>
      <w:r w:rsidR="001528FD">
        <w:t xml:space="preserve">river system </w:t>
      </w:r>
      <w:r w:rsidR="00E64E44">
        <w:t>Selected Area</w:t>
      </w:r>
      <w:r w:rsidR="001528FD">
        <w:t xml:space="preserve"> (Gwydir Selected Area)</w:t>
      </w:r>
      <w:r w:rsidR="00E64E44">
        <w:t xml:space="preserve"> including</w:t>
      </w:r>
      <w:r w:rsidR="00D273CA">
        <w:t xml:space="preserve"> </w:t>
      </w:r>
      <w:r w:rsidR="00E64E44">
        <w:t>Vegetation, Waterbirds, F</w:t>
      </w:r>
      <w:r w:rsidRPr="00386832">
        <w:t xml:space="preserve">ish, </w:t>
      </w:r>
      <w:r w:rsidR="00E64E44">
        <w:t>Microinvertebrates and Macroinvertebrates</w:t>
      </w:r>
      <w:r w:rsidRPr="00386832">
        <w:t xml:space="preserve">. </w:t>
      </w:r>
      <w:r w:rsidR="003046CC">
        <w:t xml:space="preserve"> </w:t>
      </w:r>
      <w:r w:rsidRPr="00386832">
        <w:t>The particular influence o</w:t>
      </w:r>
      <w:r>
        <w:t>f</w:t>
      </w:r>
      <w:r w:rsidRPr="00386832">
        <w:t xml:space="preserve"> hydrology o</w:t>
      </w:r>
      <w:r>
        <w:t>n</w:t>
      </w:r>
      <w:r w:rsidRPr="00386832">
        <w:t xml:space="preserve"> these indicators will be addressed under their respective sections. </w:t>
      </w:r>
      <w:r w:rsidR="003046CC">
        <w:t xml:space="preserve"> </w:t>
      </w:r>
      <w:r w:rsidRPr="00386832">
        <w:t xml:space="preserve">The Hydrology (River) indicator will also provide information on the degree of hydrological connectivity maintained through the Gwydir Selected Area during the </w:t>
      </w:r>
      <w:r>
        <w:t>2015-16</w:t>
      </w:r>
      <w:r w:rsidRPr="00386832">
        <w:t xml:space="preserve"> water year. </w:t>
      </w:r>
      <w:r w:rsidR="003046CC">
        <w:t xml:space="preserve"> </w:t>
      </w:r>
      <w:r>
        <w:t xml:space="preserve">Monitoring was expanded in the 2015-16 water year to include the Mehi River and Moomin Creek monitoring zone </w:t>
      </w:r>
      <w:r w:rsidR="001528FD">
        <w:t>that</w:t>
      </w:r>
      <w:r>
        <w:t xml:space="preserve"> incorporates the Mallowa wetlands.</w:t>
      </w:r>
      <w:r w:rsidR="003046CC">
        <w:t xml:space="preserve"> </w:t>
      </w:r>
      <w:r>
        <w:t xml:space="preserve"> </w:t>
      </w:r>
      <w:r w:rsidR="00E64E44">
        <w:t>Two</w:t>
      </w:r>
      <w:r>
        <w:t xml:space="preserve"> specific questions were addressed in relation to this indicator:</w:t>
      </w:r>
    </w:p>
    <w:p w:rsidR="00B35ECC" w:rsidRPr="005D4453" w:rsidRDefault="00B35ECC" w:rsidP="005E1E2E">
      <w:pPr>
        <w:pStyle w:val="Bullets1"/>
        <w:numPr>
          <w:ilvl w:val="0"/>
          <w:numId w:val="10"/>
        </w:numPr>
        <w:ind w:left="1134" w:hanging="567"/>
      </w:pPr>
      <w:r w:rsidRPr="005D4453">
        <w:t>What did Commonwealth environmental water contribute to hydrological connectivity?</w:t>
      </w:r>
    </w:p>
    <w:p w:rsidR="00B35ECC" w:rsidRPr="005D4453" w:rsidRDefault="00B35ECC" w:rsidP="005E1E2E">
      <w:pPr>
        <w:pStyle w:val="Bullets1"/>
        <w:numPr>
          <w:ilvl w:val="0"/>
          <w:numId w:val="10"/>
        </w:numPr>
        <w:spacing w:after="240"/>
        <w:ind w:left="1134" w:hanging="567"/>
      </w:pPr>
      <w:r w:rsidRPr="005D4453">
        <w:t xml:space="preserve">What did Commonwealth environmental water contribute to hydrological connectivity of the </w:t>
      </w:r>
      <w:r w:rsidR="001528FD" w:rsidRPr="005D4453">
        <w:t xml:space="preserve">Gwydir </w:t>
      </w:r>
      <w:r w:rsidR="00E64E44" w:rsidRPr="005D4453">
        <w:t>Selected Area channels</w:t>
      </w:r>
      <w:r w:rsidRPr="005D4453">
        <w:t>?</w:t>
      </w:r>
    </w:p>
    <w:p w:rsidR="00B35ECC" w:rsidRPr="00E97BFA" w:rsidRDefault="00B35ECC" w:rsidP="00FB1AE6">
      <w:pPr>
        <w:pStyle w:val="Heading8"/>
      </w:pPr>
      <w:r w:rsidRPr="00E97BFA">
        <w:t xml:space="preserve">Environmental </w:t>
      </w:r>
      <w:r w:rsidRPr="00FB1AE6">
        <w:t>watering</w:t>
      </w:r>
      <w:r w:rsidRPr="00E97BFA">
        <w:t xml:space="preserve"> in 2015-16</w:t>
      </w:r>
    </w:p>
    <w:p w:rsidR="00B35ECC" w:rsidRDefault="00B35ECC" w:rsidP="00E97BFA">
      <w:r>
        <w:t>Available Commonwealth environmental water holdings totalled 39,450 ML in the 2015-16 water year.  This was complemented by water entitlements held by NSW OEH in the Environmental Contingency Allowance (ECA) of 58,370 ML.  Of this, a total of 8,400 ML of Commonwealth water and 4,850 ML of ECA water were delivered in 2015-16 via several events across several channels (</w:t>
      </w:r>
      <w:r w:rsidR="00ED3EC9">
        <w:fldChar w:fldCharType="begin"/>
      </w:r>
      <w:r w:rsidR="00ED3EC9">
        <w:instrText xml:space="preserve"> REF _Ref459892116 \h </w:instrText>
      </w:r>
      <w:r w:rsidR="00ED3EC9">
        <w:fldChar w:fldCharType="separate"/>
      </w:r>
      <w:r w:rsidR="005D5925">
        <w:t xml:space="preserve">Table </w:t>
      </w:r>
      <w:r w:rsidR="005D5925">
        <w:rPr>
          <w:noProof/>
        </w:rPr>
        <w:t>A</w:t>
      </w:r>
      <w:r w:rsidR="005D5925">
        <w:noBreakHyphen/>
      </w:r>
      <w:r w:rsidR="005D5925">
        <w:rPr>
          <w:noProof/>
        </w:rPr>
        <w:t>1</w:t>
      </w:r>
      <w:r w:rsidR="00ED3EC9">
        <w:fldChar w:fldCharType="end"/>
      </w:r>
      <w:r>
        <w:t>).</w:t>
      </w:r>
    </w:p>
    <w:p w:rsidR="00B35ECC" w:rsidRDefault="00B35ECC" w:rsidP="00B35ECC">
      <w:r>
        <w:t>During 2015-16 environmental water was delivered to a number of assets within the Gwydir river system Selected Area.</w:t>
      </w:r>
      <w:r w:rsidR="003046CC">
        <w:t xml:space="preserve"> </w:t>
      </w:r>
      <w:r>
        <w:t xml:space="preserve"> In November 2015, a flow event occurred down the Mehi River and supplementary water licences owned by the CEWO were triggered.</w:t>
      </w:r>
      <w:r w:rsidR="003046CC">
        <w:t xml:space="preserve"> </w:t>
      </w:r>
      <w:r>
        <w:t xml:space="preserve"> A total of 1300 ML w</w:t>
      </w:r>
      <w:r w:rsidR="001528FD">
        <w:t>as</w:t>
      </w:r>
      <w:r>
        <w:t xml:space="preserve"> accounted for with 964 ML of this water flowing down the Mehi River, and 336 ML directed down Mallowa Creek.  </w:t>
      </w:r>
    </w:p>
    <w:p w:rsidR="005F23F1" w:rsidRDefault="00B35ECC" w:rsidP="00B35ECC">
      <w:r>
        <w:t xml:space="preserve">Through January 2016, flows were delivered into the Mallowa Creek system to inundate fringing wetlands in association with </w:t>
      </w:r>
      <w:r w:rsidR="000F6A14">
        <w:t>WaterNSW</w:t>
      </w:r>
      <w:r>
        <w:t xml:space="preserve"> water bulk water deliveries.</w:t>
      </w:r>
      <w:r w:rsidR="003046CC">
        <w:t xml:space="preserve"> </w:t>
      </w:r>
      <w:r>
        <w:t xml:space="preserve"> Flows were also delivered into the </w:t>
      </w:r>
      <w:r w:rsidR="001C3C04">
        <w:t>lower</w:t>
      </w:r>
      <w:r>
        <w:t xml:space="preserve"> Gwydir River and Gingh</w:t>
      </w:r>
      <w:r w:rsidR="000F6A14">
        <w:t>am watercourse in February 2016</w:t>
      </w:r>
      <w:r>
        <w:t xml:space="preserve"> to replace flows that were abstracted in a supplementary flow event. While not large in volume, these flows </w:t>
      </w:r>
      <w:r w:rsidR="000F6A14">
        <w:t>made</w:t>
      </w:r>
      <w:r>
        <w:t xml:space="preserve"> it into the wetlands, inundating up to 161.81</w:t>
      </w:r>
      <w:r w:rsidR="000F6A14">
        <w:t xml:space="preserve"> </w:t>
      </w:r>
      <w:r>
        <w:t>ha</w:t>
      </w:r>
      <w:r w:rsidR="000F6A14">
        <w:t xml:space="preserve"> </w:t>
      </w:r>
      <w:r>
        <w:t>(</w:t>
      </w:r>
      <w:r w:rsidR="007A3B97">
        <w:fldChar w:fldCharType="begin"/>
      </w:r>
      <w:r w:rsidR="007A3B97">
        <w:instrText xml:space="preserve"> REF _Ref457987879 \r \h </w:instrText>
      </w:r>
      <w:r w:rsidR="007A3B97">
        <w:fldChar w:fldCharType="separate"/>
      </w:r>
      <w:r w:rsidR="005D5925">
        <w:t>Appendix B</w:t>
      </w:r>
      <w:r w:rsidR="007A3B97">
        <w:fldChar w:fldCharType="end"/>
      </w:r>
      <w:r w:rsidR="007A3B97">
        <w:t>)</w:t>
      </w:r>
      <w:r>
        <w:t>.</w:t>
      </w:r>
      <w:r w:rsidR="000A32AE">
        <w:t xml:space="preserve"> </w:t>
      </w:r>
      <w:r w:rsidR="003046CC">
        <w:t xml:space="preserve"> </w:t>
      </w:r>
      <w:r w:rsidR="000A32AE">
        <w:t xml:space="preserve">Due to critically low flows experienced in the lower Gwydir </w:t>
      </w:r>
      <w:r w:rsidR="000F6A14">
        <w:t xml:space="preserve">system </w:t>
      </w:r>
      <w:r w:rsidR="000A32AE">
        <w:t xml:space="preserve">in March and April 2016, water was delivered </w:t>
      </w:r>
      <w:r w:rsidR="000F6A14">
        <w:t xml:space="preserve">to </w:t>
      </w:r>
      <w:r w:rsidR="000A32AE">
        <w:t xml:space="preserve">the lower Gwydir, Gingham, Mehi and Carole channels as part of </w:t>
      </w:r>
      <w:proofErr w:type="gramStart"/>
      <w:r w:rsidR="000A32AE">
        <w:t>a</w:t>
      </w:r>
      <w:proofErr w:type="gramEnd"/>
      <w:r w:rsidR="000A32AE">
        <w:t xml:space="preserve"> dry river flow action in early April. This followed a period of 30-40 days of nil flow conditions across the catchment.</w:t>
      </w:r>
    </w:p>
    <w:p w:rsidR="005D4453" w:rsidRDefault="00822779" w:rsidP="005F23F1">
      <w:pPr>
        <w:pStyle w:val="Caption"/>
      </w:pPr>
      <w:r>
        <w:br w:type="page"/>
      </w:r>
      <w:bookmarkStart w:id="2" w:name="_Ref459892116"/>
      <w:r w:rsidR="005D4453">
        <w:lastRenderedPageBreak/>
        <w:t xml:space="preserve">Table </w:t>
      </w:r>
      <w:fldSimple w:instr=" STYLEREF 6 \s ">
        <w:r w:rsidR="005D5925">
          <w:rPr>
            <w:noProof/>
          </w:rPr>
          <w:t>A</w:t>
        </w:r>
      </w:fldSimple>
      <w:r w:rsidR="005D4453">
        <w:noBreakHyphen/>
      </w:r>
      <w:fldSimple w:instr=" SEQ Table \* ARABIC \s 6 ">
        <w:r w:rsidR="005D5925">
          <w:rPr>
            <w:noProof/>
          </w:rPr>
          <w:t>1</w:t>
        </w:r>
      </w:fldSimple>
      <w:bookmarkEnd w:id="2"/>
      <w:r w:rsidR="005D4453">
        <w:t>: Environmental water delivered in the Gwydir river system Selected Area in 2015-16</w:t>
      </w:r>
    </w:p>
    <w:tbl>
      <w:tblPr>
        <w:tblW w:w="5000" w:type="pct"/>
        <w:tblBorders>
          <w:top w:val="single" w:sz="2" w:space="0" w:color="000000"/>
          <w:bottom w:val="single" w:sz="2" w:space="0" w:color="000000"/>
          <w:insideH w:val="single" w:sz="2" w:space="0" w:color="000000"/>
          <w:insideV w:val="single" w:sz="2" w:space="0" w:color="000000"/>
        </w:tblBorders>
        <w:tblLayout w:type="fixed"/>
        <w:tblLook w:val="04A0" w:firstRow="1" w:lastRow="0" w:firstColumn="1" w:lastColumn="0" w:noHBand="0" w:noVBand="1"/>
      </w:tblPr>
      <w:tblGrid>
        <w:gridCol w:w="2184"/>
        <w:gridCol w:w="4387"/>
        <w:gridCol w:w="2629"/>
      </w:tblGrid>
      <w:tr w:rsidR="005D4453" w:rsidRPr="005D4453" w:rsidTr="002E4746">
        <w:tc>
          <w:tcPr>
            <w:tcW w:w="1187" w:type="pct"/>
            <w:shd w:val="clear" w:color="auto" w:fill="D9D9D9"/>
            <w:noWrap/>
            <w:vAlign w:val="center"/>
          </w:tcPr>
          <w:p w:rsidR="005D4453" w:rsidRPr="00CC18AA" w:rsidRDefault="005D4453" w:rsidP="00CC18AA">
            <w:pPr>
              <w:spacing w:before="60" w:after="60"/>
              <w:jc w:val="center"/>
              <w:rPr>
                <w:szCs w:val="20"/>
              </w:rPr>
            </w:pPr>
            <w:r w:rsidRPr="00CC18AA">
              <w:rPr>
                <w:szCs w:val="20"/>
              </w:rPr>
              <w:t>Channel</w:t>
            </w:r>
          </w:p>
        </w:tc>
        <w:tc>
          <w:tcPr>
            <w:tcW w:w="2384" w:type="pct"/>
            <w:shd w:val="clear" w:color="auto" w:fill="D9D9D9"/>
            <w:noWrap/>
            <w:vAlign w:val="center"/>
          </w:tcPr>
          <w:p w:rsidR="005D4453" w:rsidRPr="00CC18AA" w:rsidRDefault="005D4453" w:rsidP="00CC18AA">
            <w:pPr>
              <w:spacing w:before="60" w:after="60"/>
              <w:jc w:val="center"/>
              <w:rPr>
                <w:szCs w:val="20"/>
              </w:rPr>
            </w:pPr>
            <w:r w:rsidRPr="00CC18AA">
              <w:rPr>
                <w:szCs w:val="20"/>
              </w:rPr>
              <w:t>Commonwealth Environmental Water (CEW) delivered (ML)</w:t>
            </w:r>
          </w:p>
        </w:tc>
        <w:tc>
          <w:tcPr>
            <w:tcW w:w="1429" w:type="pct"/>
            <w:shd w:val="clear" w:color="auto" w:fill="D9D9D9"/>
            <w:noWrap/>
            <w:vAlign w:val="center"/>
          </w:tcPr>
          <w:p w:rsidR="005D4453" w:rsidRPr="00CC18AA" w:rsidRDefault="005D4453" w:rsidP="00CC18AA">
            <w:pPr>
              <w:spacing w:before="60" w:after="60"/>
              <w:jc w:val="center"/>
              <w:rPr>
                <w:szCs w:val="20"/>
              </w:rPr>
            </w:pPr>
            <w:r w:rsidRPr="00CC18AA">
              <w:rPr>
                <w:szCs w:val="20"/>
              </w:rPr>
              <w:t>NSW ECA Water delivered (ML)</w:t>
            </w:r>
          </w:p>
        </w:tc>
      </w:tr>
      <w:tr w:rsidR="005D4453" w:rsidRPr="005D4453" w:rsidTr="002E4746">
        <w:tc>
          <w:tcPr>
            <w:tcW w:w="1187" w:type="pct"/>
            <w:shd w:val="clear" w:color="auto" w:fill="auto"/>
            <w:noWrap/>
            <w:vAlign w:val="center"/>
          </w:tcPr>
          <w:p w:rsidR="005D4453" w:rsidRPr="00CC18AA" w:rsidRDefault="005D4453" w:rsidP="00CC18AA">
            <w:pPr>
              <w:spacing w:before="60" w:after="60"/>
              <w:rPr>
                <w:szCs w:val="20"/>
              </w:rPr>
            </w:pPr>
            <w:r w:rsidRPr="00CC18AA">
              <w:rPr>
                <w:szCs w:val="20"/>
              </w:rPr>
              <w:t>Gingham watercourse</w:t>
            </w:r>
          </w:p>
        </w:tc>
        <w:tc>
          <w:tcPr>
            <w:tcW w:w="2384" w:type="pct"/>
            <w:shd w:val="clear" w:color="auto" w:fill="auto"/>
            <w:noWrap/>
            <w:vAlign w:val="center"/>
          </w:tcPr>
          <w:p w:rsidR="005D4453" w:rsidRPr="00CC18AA" w:rsidRDefault="005D4453" w:rsidP="00CC18AA">
            <w:pPr>
              <w:spacing w:before="60" w:after="60"/>
              <w:jc w:val="center"/>
              <w:rPr>
                <w:szCs w:val="20"/>
              </w:rPr>
            </w:pPr>
            <w:r w:rsidRPr="00CC18AA">
              <w:rPr>
                <w:szCs w:val="20"/>
              </w:rPr>
              <w:t>675</w:t>
            </w:r>
          </w:p>
        </w:tc>
        <w:tc>
          <w:tcPr>
            <w:tcW w:w="1429" w:type="pct"/>
            <w:shd w:val="clear" w:color="auto" w:fill="auto"/>
            <w:noWrap/>
            <w:vAlign w:val="center"/>
          </w:tcPr>
          <w:p w:rsidR="005D4453" w:rsidRPr="00CC18AA" w:rsidRDefault="005D4453" w:rsidP="00CC18AA">
            <w:pPr>
              <w:spacing w:before="60" w:after="60"/>
              <w:jc w:val="center"/>
              <w:rPr>
                <w:szCs w:val="20"/>
              </w:rPr>
            </w:pPr>
            <w:r w:rsidRPr="00CC18AA">
              <w:rPr>
                <w:szCs w:val="20"/>
              </w:rPr>
              <w:t>2,375</w:t>
            </w:r>
          </w:p>
        </w:tc>
      </w:tr>
      <w:tr w:rsidR="005D4453" w:rsidRPr="005D4453" w:rsidTr="002E4746">
        <w:tc>
          <w:tcPr>
            <w:tcW w:w="1187" w:type="pct"/>
            <w:shd w:val="clear" w:color="auto" w:fill="auto"/>
            <w:noWrap/>
            <w:vAlign w:val="center"/>
          </w:tcPr>
          <w:p w:rsidR="005D4453" w:rsidRPr="00CC18AA" w:rsidRDefault="005D4453" w:rsidP="00CC18AA">
            <w:pPr>
              <w:spacing w:before="60" w:after="60"/>
              <w:rPr>
                <w:szCs w:val="20"/>
              </w:rPr>
            </w:pPr>
            <w:r w:rsidRPr="00CC18AA">
              <w:rPr>
                <w:szCs w:val="20"/>
              </w:rPr>
              <w:t>lower Gwydir</w:t>
            </w:r>
          </w:p>
        </w:tc>
        <w:tc>
          <w:tcPr>
            <w:tcW w:w="2384" w:type="pct"/>
            <w:shd w:val="clear" w:color="auto" w:fill="auto"/>
            <w:noWrap/>
            <w:vAlign w:val="center"/>
          </w:tcPr>
          <w:p w:rsidR="005D4453" w:rsidRPr="00CC18AA" w:rsidRDefault="005D4453" w:rsidP="00CC18AA">
            <w:pPr>
              <w:spacing w:before="60" w:after="60"/>
              <w:jc w:val="center"/>
              <w:rPr>
                <w:szCs w:val="20"/>
              </w:rPr>
            </w:pPr>
            <w:r w:rsidRPr="00CC18AA">
              <w:rPr>
                <w:szCs w:val="20"/>
              </w:rPr>
              <w:t>675</w:t>
            </w:r>
          </w:p>
        </w:tc>
        <w:tc>
          <w:tcPr>
            <w:tcW w:w="1429" w:type="pct"/>
            <w:shd w:val="clear" w:color="auto" w:fill="auto"/>
            <w:noWrap/>
            <w:vAlign w:val="center"/>
          </w:tcPr>
          <w:p w:rsidR="005D4453" w:rsidRPr="00CC18AA" w:rsidRDefault="005D4453" w:rsidP="00CC18AA">
            <w:pPr>
              <w:spacing w:before="60" w:after="60"/>
              <w:jc w:val="center"/>
              <w:rPr>
                <w:szCs w:val="20"/>
              </w:rPr>
            </w:pPr>
            <w:r w:rsidRPr="00CC18AA">
              <w:rPr>
                <w:szCs w:val="20"/>
              </w:rPr>
              <w:t>2,375</w:t>
            </w:r>
          </w:p>
        </w:tc>
      </w:tr>
      <w:tr w:rsidR="005D4453" w:rsidRPr="005D4453" w:rsidTr="002E4746">
        <w:tc>
          <w:tcPr>
            <w:tcW w:w="1187" w:type="pct"/>
            <w:shd w:val="clear" w:color="auto" w:fill="auto"/>
            <w:noWrap/>
            <w:vAlign w:val="center"/>
          </w:tcPr>
          <w:p w:rsidR="005D4453" w:rsidRPr="00CC18AA" w:rsidRDefault="005D4453" w:rsidP="00CC18AA">
            <w:pPr>
              <w:spacing w:before="60" w:after="60"/>
              <w:rPr>
                <w:szCs w:val="20"/>
              </w:rPr>
            </w:pPr>
            <w:r w:rsidRPr="00CC18AA">
              <w:rPr>
                <w:szCs w:val="20"/>
              </w:rPr>
              <w:t>Carole Creek</w:t>
            </w:r>
          </w:p>
        </w:tc>
        <w:tc>
          <w:tcPr>
            <w:tcW w:w="2384" w:type="pct"/>
            <w:shd w:val="clear" w:color="auto" w:fill="auto"/>
            <w:noWrap/>
            <w:vAlign w:val="center"/>
          </w:tcPr>
          <w:p w:rsidR="005D4453" w:rsidRPr="00CC18AA" w:rsidRDefault="005D4453" w:rsidP="00CC18AA">
            <w:pPr>
              <w:spacing w:before="60" w:after="60"/>
              <w:jc w:val="center"/>
              <w:rPr>
                <w:szCs w:val="20"/>
              </w:rPr>
            </w:pPr>
            <w:r w:rsidRPr="00CC18AA">
              <w:rPr>
                <w:szCs w:val="20"/>
              </w:rPr>
              <w:t>40</w:t>
            </w:r>
            <w:r w:rsidR="003D7020" w:rsidRPr="00CC18AA">
              <w:rPr>
                <w:szCs w:val="20"/>
              </w:rPr>
              <w:t>9</w:t>
            </w:r>
          </w:p>
        </w:tc>
        <w:tc>
          <w:tcPr>
            <w:tcW w:w="1429" w:type="pct"/>
            <w:shd w:val="clear" w:color="auto" w:fill="auto"/>
            <w:noWrap/>
            <w:vAlign w:val="center"/>
          </w:tcPr>
          <w:p w:rsidR="005D4453" w:rsidRPr="00CC18AA" w:rsidRDefault="005D4453" w:rsidP="00CC18AA">
            <w:pPr>
              <w:spacing w:before="60" w:after="60"/>
              <w:jc w:val="center"/>
              <w:rPr>
                <w:szCs w:val="20"/>
              </w:rPr>
            </w:pPr>
          </w:p>
        </w:tc>
      </w:tr>
      <w:tr w:rsidR="005D4453" w:rsidRPr="005D4453" w:rsidTr="002E4746">
        <w:tc>
          <w:tcPr>
            <w:tcW w:w="1187" w:type="pct"/>
            <w:shd w:val="clear" w:color="auto" w:fill="auto"/>
            <w:noWrap/>
            <w:vAlign w:val="center"/>
          </w:tcPr>
          <w:p w:rsidR="005D4453" w:rsidRPr="00CC18AA" w:rsidRDefault="005D4453" w:rsidP="00CC18AA">
            <w:pPr>
              <w:spacing w:before="60" w:after="60"/>
              <w:rPr>
                <w:szCs w:val="20"/>
              </w:rPr>
            </w:pPr>
            <w:r w:rsidRPr="00CC18AA">
              <w:rPr>
                <w:szCs w:val="20"/>
              </w:rPr>
              <w:t>Mehi River</w:t>
            </w:r>
          </w:p>
        </w:tc>
        <w:tc>
          <w:tcPr>
            <w:tcW w:w="2384" w:type="pct"/>
            <w:shd w:val="clear" w:color="auto" w:fill="auto"/>
            <w:noWrap/>
            <w:vAlign w:val="center"/>
          </w:tcPr>
          <w:p w:rsidR="005D4453" w:rsidRPr="00CC18AA" w:rsidRDefault="005D4453" w:rsidP="00CC18AA">
            <w:pPr>
              <w:spacing w:before="60" w:after="60"/>
              <w:jc w:val="center"/>
              <w:rPr>
                <w:szCs w:val="20"/>
              </w:rPr>
            </w:pPr>
            <w:r w:rsidRPr="00CC18AA">
              <w:rPr>
                <w:szCs w:val="20"/>
              </w:rPr>
              <w:t>3,1</w:t>
            </w:r>
            <w:r w:rsidR="003D7020" w:rsidRPr="00CC18AA">
              <w:rPr>
                <w:szCs w:val="20"/>
              </w:rPr>
              <w:t>55</w:t>
            </w:r>
          </w:p>
        </w:tc>
        <w:tc>
          <w:tcPr>
            <w:tcW w:w="1429" w:type="pct"/>
            <w:shd w:val="clear" w:color="auto" w:fill="auto"/>
            <w:noWrap/>
            <w:vAlign w:val="center"/>
          </w:tcPr>
          <w:p w:rsidR="005D4453" w:rsidRPr="00CC18AA" w:rsidRDefault="005D4453" w:rsidP="00CC18AA">
            <w:pPr>
              <w:spacing w:before="60" w:after="60"/>
              <w:jc w:val="center"/>
              <w:rPr>
                <w:szCs w:val="20"/>
              </w:rPr>
            </w:pPr>
            <w:r w:rsidRPr="00CC18AA">
              <w:rPr>
                <w:szCs w:val="20"/>
              </w:rPr>
              <w:t>100</w:t>
            </w:r>
            <w:r w:rsidR="00780059" w:rsidRPr="00CC18AA">
              <w:rPr>
                <w:szCs w:val="20"/>
              </w:rPr>
              <w:t xml:space="preserve"> (Whittaker Lagoon)</w:t>
            </w:r>
          </w:p>
        </w:tc>
      </w:tr>
      <w:tr w:rsidR="005D4453" w:rsidRPr="005D4453" w:rsidTr="002E4746">
        <w:tc>
          <w:tcPr>
            <w:tcW w:w="1187" w:type="pct"/>
            <w:shd w:val="clear" w:color="auto" w:fill="auto"/>
            <w:noWrap/>
            <w:vAlign w:val="center"/>
          </w:tcPr>
          <w:p w:rsidR="005D4453" w:rsidRPr="00CC18AA" w:rsidRDefault="005D4453" w:rsidP="00CC18AA">
            <w:pPr>
              <w:spacing w:before="60" w:after="60"/>
              <w:rPr>
                <w:szCs w:val="20"/>
              </w:rPr>
            </w:pPr>
            <w:r w:rsidRPr="00CC18AA">
              <w:rPr>
                <w:szCs w:val="20"/>
              </w:rPr>
              <w:t>Mallowa Creek</w:t>
            </w:r>
          </w:p>
        </w:tc>
        <w:tc>
          <w:tcPr>
            <w:tcW w:w="2384" w:type="pct"/>
            <w:shd w:val="clear" w:color="auto" w:fill="auto"/>
            <w:noWrap/>
            <w:vAlign w:val="center"/>
          </w:tcPr>
          <w:p w:rsidR="005D4453" w:rsidRPr="00CC18AA" w:rsidRDefault="005D4453" w:rsidP="00CC18AA">
            <w:pPr>
              <w:spacing w:before="60" w:after="60"/>
              <w:jc w:val="center"/>
              <w:rPr>
                <w:szCs w:val="20"/>
              </w:rPr>
            </w:pPr>
            <w:r w:rsidRPr="00CC18AA">
              <w:rPr>
                <w:szCs w:val="20"/>
              </w:rPr>
              <w:t>3,486</w:t>
            </w:r>
          </w:p>
        </w:tc>
        <w:tc>
          <w:tcPr>
            <w:tcW w:w="1429" w:type="pct"/>
            <w:shd w:val="clear" w:color="auto" w:fill="auto"/>
            <w:noWrap/>
            <w:vAlign w:val="center"/>
          </w:tcPr>
          <w:p w:rsidR="005D4453" w:rsidRPr="00CC18AA" w:rsidRDefault="005D4453" w:rsidP="00CC18AA">
            <w:pPr>
              <w:spacing w:before="60" w:after="60"/>
              <w:jc w:val="center"/>
              <w:rPr>
                <w:szCs w:val="20"/>
              </w:rPr>
            </w:pPr>
          </w:p>
        </w:tc>
      </w:tr>
      <w:tr w:rsidR="005D4453" w:rsidRPr="005D4453" w:rsidTr="002E4746">
        <w:tc>
          <w:tcPr>
            <w:tcW w:w="1187" w:type="pct"/>
            <w:shd w:val="clear" w:color="auto" w:fill="auto"/>
            <w:noWrap/>
            <w:vAlign w:val="center"/>
          </w:tcPr>
          <w:p w:rsidR="005D4453" w:rsidRPr="00CC18AA" w:rsidRDefault="005D4453" w:rsidP="00CC18AA">
            <w:pPr>
              <w:spacing w:before="60" w:after="60"/>
              <w:rPr>
                <w:szCs w:val="20"/>
              </w:rPr>
            </w:pPr>
            <w:r w:rsidRPr="00CC18AA">
              <w:rPr>
                <w:szCs w:val="20"/>
              </w:rPr>
              <w:t>Total</w:t>
            </w:r>
          </w:p>
        </w:tc>
        <w:tc>
          <w:tcPr>
            <w:tcW w:w="2384" w:type="pct"/>
            <w:shd w:val="clear" w:color="auto" w:fill="auto"/>
            <w:noWrap/>
            <w:vAlign w:val="center"/>
          </w:tcPr>
          <w:p w:rsidR="005D4453" w:rsidRPr="00CC18AA" w:rsidRDefault="005D4453" w:rsidP="00CC18AA">
            <w:pPr>
              <w:spacing w:before="60" w:after="60"/>
              <w:jc w:val="center"/>
              <w:rPr>
                <w:szCs w:val="20"/>
              </w:rPr>
            </w:pPr>
            <w:r w:rsidRPr="00CC18AA">
              <w:rPr>
                <w:szCs w:val="20"/>
              </w:rPr>
              <w:t>8,400</w:t>
            </w:r>
          </w:p>
        </w:tc>
        <w:tc>
          <w:tcPr>
            <w:tcW w:w="1429" w:type="pct"/>
            <w:shd w:val="clear" w:color="auto" w:fill="auto"/>
            <w:noWrap/>
            <w:vAlign w:val="center"/>
          </w:tcPr>
          <w:p w:rsidR="005D4453" w:rsidRPr="00CC18AA" w:rsidRDefault="005D4453" w:rsidP="00CC18AA">
            <w:pPr>
              <w:spacing w:before="60" w:after="60"/>
              <w:jc w:val="center"/>
              <w:rPr>
                <w:szCs w:val="20"/>
              </w:rPr>
            </w:pPr>
            <w:r w:rsidRPr="00CC18AA">
              <w:rPr>
                <w:szCs w:val="20"/>
              </w:rPr>
              <w:t>4,850</w:t>
            </w:r>
          </w:p>
        </w:tc>
      </w:tr>
    </w:tbl>
    <w:p w:rsidR="004F3A0B" w:rsidRDefault="004F3A0B" w:rsidP="00B35ECC"/>
    <w:p w:rsidR="00B35ECC" w:rsidRDefault="00B35ECC" w:rsidP="00E97BFA">
      <w:pPr>
        <w:pStyle w:val="Heading8"/>
      </w:pPr>
      <w:r>
        <w:t>2014-15 Monitoring outcomes</w:t>
      </w:r>
    </w:p>
    <w:p w:rsidR="00B35ECC" w:rsidRPr="00BB78E9" w:rsidRDefault="00B35ECC" w:rsidP="00B35ECC">
      <w:r>
        <w:t>In 2014-15</w:t>
      </w:r>
      <w:r w:rsidR="000F6A14">
        <w:t>,</w:t>
      </w:r>
      <w:r>
        <w:t xml:space="preserve"> the Gwydir River channel was connected for 48% of the time, Gingham </w:t>
      </w:r>
      <w:r w:rsidR="001C3C04">
        <w:t>watercourse</w:t>
      </w:r>
      <w:r>
        <w:t xml:space="preserve"> 24%, Mehi River 21% and Moomin </w:t>
      </w:r>
      <w:r w:rsidR="000F6A14">
        <w:t>Creek</w:t>
      </w:r>
      <w:r>
        <w:t xml:space="preserve"> 15%.  Connectivity was largely dominated by environmental water deliveries, although rainfall generated flow events also influenced connectivity in the Gingham </w:t>
      </w:r>
      <w:r w:rsidR="001C3C04">
        <w:t>watercourse</w:t>
      </w:r>
      <w:r>
        <w:t>.  An analysis of the character o</w:t>
      </w:r>
      <w:r w:rsidR="000F6A14">
        <w:t>f the in-channel flow pulse of C</w:t>
      </w:r>
      <w:r>
        <w:t xml:space="preserve">ommonwealth environmental water delivered in the Mehi channel in 2014-15 was also undertaken (Commonwealth of Australia 2015). </w:t>
      </w:r>
      <w:r w:rsidR="003046CC">
        <w:t xml:space="preserve"> </w:t>
      </w:r>
      <w:r>
        <w:t xml:space="preserve">This showed that the delivered flow mimicked the planned flow hydrograph for the most part with a noticeable flow peak with </w:t>
      </w:r>
      <w:r w:rsidR="000F6A14">
        <w:t xml:space="preserve">a </w:t>
      </w:r>
      <w:r>
        <w:t xml:space="preserve">relatively long recession making it the full length of the Mehi </w:t>
      </w:r>
      <w:r w:rsidR="00E64E44">
        <w:t xml:space="preserve">River </w:t>
      </w:r>
      <w:r>
        <w:t xml:space="preserve">channel. </w:t>
      </w:r>
    </w:p>
    <w:p w:rsidR="00B35ECC" w:rsidRDefault="00B35ECC" w:rsidP="00FB1AE6">
      <w:pPr>
        <w:pStyle w:val="Heading7"/>
      </w:pPr>
      <w:r w:rsidRPr="00FB1AE6">
        <w:t>Methods</w:t>
      </w:r>
    </w:p>
    <w:p w:rsidR="00B35ECC" w:rsidRDefault="00B35ECC" w:rsidP="00E70E57">
      <w:pPr>
        <w:pStyle w:val="Heading8"/>
      </w:pPr>
      <w:r w:rsidRPr="00FB1AE6">
        <w:t>Hydrological</w:t>
      </w:r>
      <w:r>
        <w:t xml:space="preserve"> connectivity</w:t>
      </w:r>
    </w:p>
    <w:p w:rsidR="00B35ECC" w:rsidRDefault="00B35ECC" w:rsidP="00B35ECC">
      <w:r>
        <w:t>An assessment of the hydrological connectivity experienced throughout the zones in the Selected Area was undertaken following the methods outlined in Commonwealth of Australia</w:t>
      </w:r>
      <w:r w:rsidRPr="005F0C22">
        <w:t xml:space="preserve"> (2014).</w:t>
      </w:r>
      <w:r>
        <w:t xml:space="preserve"> </w:t>
      </w:r>
      <w:r w:rsidR="003046CC">
        <w:t xml:space="preserve"> </w:t>
      </w:r>
      <w:r>
        <w:t xml:space="preserve">Here, flow thresholds measured at upstream gauging stations were identified that would ensure flow through the length of channel in each zone. </w:t>
      </w:r>
      <w:r w:rsidR="003046CC">
        <w:t xml:space="preserve"> </w:t>
      </w:r>
      <w:r>
        <w:t xml:space="preserve">These thresholds were estimated through an analysis of historical flow records (from 1990-2014) whereby corresponding peaks of small flow events were observed at both upstream and downstream gauging sites, suggesting connection throughout the length of the channel </w:t>
      </w:r>
      <w:r w:rsidRPr="009E68FD">
        <w:t>(</w:t>
      </w:r>
      <w:r w:rsidRPr="009E68FD">
        <w:fldChar w:fldCharType="begin"/>
      </w:r>
      <w:r w:rsidRPr="009E68FD">
        <w:instrText xml:space="preserve"> REF _Ref455578825 \h </w:instrText>
      </w:r>
      <w:r>
        <w:instrText xml:space="preserve"> \* MERGEFORMAT </w:instrText>
      </w:r>
      <w:r w:rsidRPr="009E68FD">
        <w:fldChar w:fldCharType="separate"/>
      </w:r>
      <w:r w:rsidR="005D5925">
        <w:t xml:space="preserve">Figure </w:t>
      </w:r>
      <w:r w:rsidR="005D5925">
        <w:rPr>
          <w:noProof/>
        </w:rPr>
        <w:t>A</w:t>
      </w:r>
      <w:r w:rsidR="005D5925">
        <w:rPr>
          <w:noProof/>
        </w:rPr>
        <w:noBreakHyphen/>
        <w:t>1</w:t>
      </w:r>
      <w:r w:rsidRPr="009E68FD">
        <w:fldChar w:fldCharType="end"/>
      </w:r>
      <w:r w:rsidRPr="009E68FD">
        <w:t>).</w:t>
      </w:r>
      <w:r w:rsidR="003046CC">
        <w:t xml:space="preserve"> </w:t>
      </w:r>
      <w:r>
        <w:t xml:space="preserve"> These thresholds were then compared with known average stream losses provided by Water</w:t>
      </w:r>
      <w:r w:rsidR="00822779">
        <w:t xml:space="preserve"> </w:t>
      </w:r>
      <w:r>
        <w:t xml:space="preserve">NSW. Due to the off river abstraction of flows in some channels, flows passing the downstream gauges were also quantified to confirm connectivity through the system. </w:t>
      </w:r>
      <w:r w:rsidR="003046CC">
        <w:t xml:space="preserve"> </w:t>
      </w:r>
      <w:r>
        <w:t>Here an arbitrary 5 ML/d level was used.</w:t>
      </w:r>
      <w:r w:rsidR="003046CC">
        <w:t xml:space="preserve"> </w:t>
      </w:r>
      <w:r w:rsidRPr="005B2814">
        <w:t xml:space="preserve"> </w:t>
      </w:r>
      <w:r>
        <w:t xml:space="preserve">The gauging stations used for this analysis are presented in </w:t>
      </w:r>
      <w:r>
        <w:fldChar w:fldCharType="begin"/>
      </w:r>
      <w:r>
        <w:instrText xml:space="preserve"> REF _Ref455578825 \h </w:instrText>
      </w:r>
      <w:r>
        <w:fldChar w:fldCharType="separate"/>
      </w:r>
      <w:r w:rsidR="005D5925">
        <w:t xml:space="preserve">Figure </w:t>
      </w:r>
      <w:r w:rsidR="005D5925">
        <w:rPr>
          <w:noProof/>
        </w:rPr>
        <w:t>A</w:t>
      </w:r>
      <w:r w:rsidR="005D5925">
        <w:noBreakHyphen/>
      </w:r>
      <w:r w:rsidR="005D5925">
        <w:rPr>
          <w:noProof/>
        </w:rPr>
        <w:t>1</w:t>
      </w:r>
      <w:r>
        <w:fldChar w:fldCharType="end"/>
      </w:r>
      <w:r>
        <w:t xml:space="preserve"> </w:t>
      </w:r>
      <w:r w:rsidRPr="006135F1">
        <w:t>and</w:t>
      </w:r>
      <w:r>
        <w:t xml:space="preserve"> </w:t>
      </w:r>
      <w:r>
        <w:fldChar w:fldCharType="begin"/>
      </w:r>
      <w:r>
        <w:instrText xml:space="preserve"> REF _Ref455578478 \h </w:instrText>
      </w:r>
      <w:r>
        <w:fldChar w:fldCharType="separate"/>
      </w:r>
      <w:r w:rsidR="005D5925" w:rsidRPr="000F6A14">
        <w:t xml:space="preserve">Table </w:t>
      </w:r>
      <w:r w:rsidR="005D5925">
        <w:rPr>
          <w:noProof/>
        </w:rPr>
        <w:t>A</w:t>
      </w:r>
      <w:r w:rsidR="005D5925">
        <w:noBreakHyphen/>
      </w:r>
      <w:r w:rsidR="005D5925">
        <w:rPr>
          <w:noProof/>
        </w:rPr>
        <w:t>2</w:t>
      </w:r>
      <w:r>
        <w:fldChar w:fldCharType="end"/>
      </w:r>
      <w:r>
        <w:t xml:space="preserve"> outlines the thresholds estimated to provide longitudinal connectivity.</w:t>
      </w:r>
    </w:p>
    <w:p w:rsidR="00B35ECC" w:rsidRDefault="00B35ECC" w:rsidP="00B35ECC">
      <w:r w:rsidRPr="005F0C22">
        <w:t xml:space="preserve">Once the thresholds were identified, a </w:t>
      </w:r>
      <w:r w:rsidR="000F6A14">
        <w:t>spells</w:t>
      </w:r>
      <w:r w:rsidRPr="005F0C22">
        <w:t xml:space="preserve"> analysis (Gordon </w:t>
      </w:r>
      <w:r w:rsidRPr="005F0C22">
        <w:rPr>
          <w:i/>
        </w:rPr>
        <w:t>et al.,</w:t>
      </w:r>
      <w:r w:rsidRPr="005F0C22">
        <w:t xml:space="preserve"> 1992) was undertaken to assess</w:t>
      </w:r>
      <w:r>
        <w:t xml:space="preserve"> the total duration and frequency of flows passing the gauge. </w:t>
      </w:r>
      <w:r w:rsidR="003046CC">
        <w:t xml:space="preserve"> </w:t>
      </w:r>
      <w:r>
        <w:t>Results for downstream gauges were then subtracted from those at upstream gauges to provide an estimate of full longitudinal connectivity along channels throughout the 2015-16 season.</w:t>
      </w:r>
      <w:r w:rsidRPr="006135F1">
        <w:t xml:space="preserve"> </w:t>
      </w:r>
    </w:p>
    <w:p w:rsidR="00B35ECC" w:rsidRDefault="00B35ECC" w:rsidP="00B70CB1">
      <w:r>
        <w:t xml:space="preserve">In 2015-16 monitoring was expanded into the Mallowa Creek system for all indicators.  No downstream gauge exists in this system making an assessment of hydrological connectivity impossible.  To </w:t>
      </w:r>
      <w:r>
        <w:lastRenderedPageBreak/>
        <w:t>determine duration of wet and dry spells an arbitrary figure of 5 ML/d entering the system through the Regulator (</w:t>
      </w:r>
      <w:r>
        <w:fldChar w:fldCharType="begin"/>
      </w:r>
      <w:r>
        <w:instrText xml:space="preserve"> REF _Ref455578825 \h </w:instrText>
      </w:r>
      <w:r>
        <w:fldChar w:fldCharType="separate"/>
      </w:r>
      <w:r w:rsidR="005D5925">
        <w:t xml:space="preserve">Figure </w:t>
      </w:r>
      <w:r w:rsidR="005D5925">
        <w:rPr>
          <w:noProof/>
        </w:rPr>
        <w:t>A</w:t>
      </w:r>
      <w:r w:rsidR="005D5925">
        <w:noBreakHyphen/>
      </w:r>
      <w:r w:rsidR="005D5925">
        <w:rPr>
          <w:noProof/>
        </w:rPr>
        <w:t>1</w:t>
      </w:r>
      <w:r>
        <w:fldChar w:fldCharType="end"/>
      </w:r>
      <w:r>
        <w:t>) was used to indicate a wet period.</w:t>
      </w:r>
    </w:p>
    <w:p w:rsidR="00B35ECC" w:rsidRPr="000F6A14" w:rsidRDefault="00B35ECC" w:rsidP="00B35ECC">
      <w:pPr>
        <w:pStyle w:val="Caption"/>
        <w:keepNext/>
      </w:pPr>
      <w:bookmarkStart w:id="3" w:name="_Ref455578478"/>
      <w:r w:rsidRPr="000F6A14">
        <w:t xml:space="preserve">Table </w:t>
      </w:r>
      <w:fldSimple w:instr=" STYLEREF 6 \s ">
        <w:r w:rsidR="005D5925">
          <w:rPr>
            <w:noProof/>
          </w:rPr>
          <w:t>A</w:t>
        </w:r>
      </w:fldSimple>
      <w:r w:rsidR="005D4453">
        <w:noBreakHyphen/>
      </w:r>
      <w:fldSimple w:instr=" SEQ Table \* ARABIC \s 6 ">
        <w:r w:rsidR="005D5925">
          <w:rPr>
            <w:noProof/>
          </w:rPr>
          <w:t>2</w:t>
        </w:r>
      </w:fldSimple>
      <w:bookmarkEnd w:id="3"/>
      <w:r w:rsidRPr="000F6A14">
        <w:t xml:space="preserve"> Thresholds at gauging stations used to determine hydrological connectivity</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401"/>
        <w:gridCol w:w="1120"/>
        <w:gridCol w:w="4192"/>
        <w:gridCol w:w="981"/>
        <w:gridCol w:w="1506"/>
      </w:tblGrid>
      <w:tr w:rsidR="00CC18AA" w:rsidRPr="005D4453" w:rsidTr="002E4746">
        <w:trPr>
          <w:trHeight w:val="1037"/>
        </w:trPr>
        <w:tc>
          <w:tcPr>
            <w:tcW w:w="1418" w:type="dxa"/>
            <w:shd w:val="clear" w:color="auto" w:fill="D9D9D9"/>
            <w:noWrap/>
            <w:vAlign w:val="center"/>
          </w:tcPr>
          <w:p w:rsidR="00B35ECC" w:rsidRPr="00CC18AA" w:rsidRDefault="00B35ECC" w:rsidP="00CC18AA">
            <w:pPr>
              <w:spacing w:before="60" w:after="60"/>
              <w:jc w:val="center"/>
              <w:rPr>
                <w:rFonts w:cs="Arial"/>
                <w:bCs/>
                <w:szCs w:val="20"/>
                <w:lang w:val="en-US"/>
              </w:rPr>
            </w:pPr>
            <w:r w:rsidRPr="00CC18AA">
              <w:rPr>
                <w:rFonts w:cs="Arial"/>
                <w:bCs/>
                <w:szCs w:val="20"/>
                <w:lang w:val="en-US"/>
              </w:rPr>
              <w:t>Zone</w:t>
            </w:r>
          </w:p>
        </w:tc>
        <w:tc>
          <w:tcPr>
            <w:tcW w:w="1134" w:type="dxa"/>
            <w:shd w:val="clear" w:color="auto" w:fill="D9D9D9"/>
            <w:noWrap/>
            <w:vAlign w:val="center"/>
          </w:tcPr>
          <w:p w:rsidR="00B35ECC" w:rsidRPr="00CC18AA" w:rsidRDefault="00B35ECC" w:rsidP="00CC18AA">
            <w:pPr>
              <w:spacing w:before="60" w:after="60"/>
              <w:jc w:val="center"/>
              <w:rPr>
                <w:rFonts w:cs="Arial"/>
                <w:bCs/>
                <w:szCs w:val="20"/>
                <w:lang w:val="en-US"/>
              </w:rPr>
            </w:pPr>
            <w:r w:rsidRPr="00CC18AA">
              <w:rPr>
                <w:rFonts w:cs="Arial"/>
                <w:bCs/>
                <w:szCs w:val="20"/>
                <w:lang w:val="en-US"/>
              </w:rPr>
              <w:t>Channel</w:t>
            </w:r>
          </w:p>
        </w:tc>
        <w:tc>
          <w:tcPr>
            <w:tcW w:w="4252" w:type="dxa"/>
            <w:shd w:val="clear" w:color="auto" w:fill="D9D9D9"/>
            <w:noWrap/>
            <w:vAlign w:val="center"/>
          </w:tcPr>
          <w:p w:rsidR="00B35ECC" w:rsidRPr="00CC18AA" w:rsidRDefault="00B35ECC" w:rsidP="00CC18AA">
            <w:pPr>
              <w:spacing w:before="60" w:after="60"/>
              <w:jc w:val="center"/>
              <w:rPr>
                <w:rFonts w:cs="Arial"/>
                <w:bCs/>
                <w:szCs w:val="20"/>
                <w:lang w:val="en-US"/>
              </w:rPr>
            </w:pPr>
            <w:r w:rsidRPr="00CC18AA">
              <w:rPr>
                <w:rFonts w:cs="Arial"/>
                <w:bCs/>
                <w:szCs w:val="20"/>
                <w:lang w:val="en-US"/>
              </w:rPr>
              <w:t>Gauging station (upstream or downstream)</w:t>
            </w:r>
          </w:p>
        </w:tc>
        <w:tc>
          <w:tcPr>
            <w:tcW w:w="993" w:type="dxa"/>
            <w:shd w:val="clear" w:color="auto" w:fill="D9D9D9"/>
            <w:noWrap/>
            <w:vAlign w:val="center"/>
          </w:tcPr>
          <w:p w:rsidR="00B35ECC" w:rsidRPr="00CC18AA" w:rsidRDefault="00B35ECC" w:rsidP="00CC18AA">
            <w:pPr>
              <w:spacing w:before="60" w:after="60"/>
              <w:jc w:val="center"/>
              <w:rPr>
                <w:rFonts w:cs="Arial"/>
                <w:bCs/>
                <w:szCs w:val="20"/>
                <w:lang w:val="en-US"/>
              </w:rPr>
            </w:pPr>
            <w:r w:rsidRPr="00CC18AA">
              <w:rPr>
                <w:rFonts w:cs="Arial"/>
                <w:bCs/>
                <w:szCs w:val="20"/>
                <w:lang w:val="en-US"/>
              </w:rPr>
              <w:t>Gauging station number</w:t>
            </w:r>
          </w:p>
        </w:tc>
        <w:tc>
          <w:tcPr>
            <w:tcW w:w="1525" w:type="dxa"/>
            <w:shd w:val="clear" w:color="auto" w:fill="D9D9D9"/>
            <w:noWrap/>
            <w:vAlign w:val="center"/>
          </w:tcPr>
          <w:p w:rsidR="00B35ECC" w:rsidRPr="00CC18AA" w:rsidRDefault="00B35ECC" w:rsidP="00CC18AA">
            <w:pPr>
              <w:spacing w:before="60" w:after="60"/>
              <w:jc w:val="center"/>
              <w:rPr>
                <w:rFonts w:cs="Arial"/>
                <w:bCs/>
                <w:szCs w:val="20"/>
                <w:lang w:val="en-US"/>
              </w:rPr>
            </w:pPr>
            <w:r w:rsidRPr="00CC18AA">
              <w:rPr>
                <w:rFonts w:cs="Arial"/>
                <w:bCs/>
                <w:szCs w:val="20"/>
                <w:lang w:val="en-US"/>
              </w:rPr>
              <w:t>Threshold for longitudinal connectivity</w:t>
            </w:r>
          </w:p>
        </w:tc>
      </w:tr>
      <w:tr w:rsidR="00CC18AA" w:rsidRPr="005D4453" w:rsidTr="002E4746">
        <w:tc>
          <w:tcPr>
            <w:tcW w:w="1418" w:type="dxa"/>
            <w:vMerge w:val="restart"/>
            <w:shd w:val="clear" w:color="auto" w:fill="auto"/>
            <w:noWrap/>
            <w:vAlign w:val="center"/>
          </w:tcPr>
          <w:p w:rsidR="00B35ECC" w:rsidRPr="00CC18AA" w:rsidRDefault="00B35ECC" w:rsidP="00CC18AA">
            <w:pPr>
              <w:spacing w:before="60" w:after="60"/>
              <w:jc w:val="left"/>
              <w:rPr>
                <w:rFonts w:cs="Arial"/>
                <w:bCs/>
                <w:szCs w:val="20"/>
                <w:lang w:val="en-US"/>
              </w:rPr>
            </w:pPr>
            <w:r w:rsidRPr="00CC18AA">
              <w:rPr>
                <w:rFonts w:cs="Arial"/>
                <w:bCs/>
                <w:szCs w:val="20"/>
                <w:lang w:val="en-US"/>
              </w:rPr>
              <w:t>Gwydir River</w:t>
            </w:r>
          </w:p>
        </w:tc>
        <w:tc>
          <w:tcPr>
            <w:tcW w:w="1134" w:type="dxa"/>
            <w:vMerge w:val="restart"/>
            <w:shd w:val="clear" w:color="auto" w:fill="auto"/>
            <w:noWrap/>
            <w:vAlign w:val="center"/>
          </w:tcPr>
          <w:p w:rsidR="00B35ECC" w:rsidRPr="00CC18AA" w:rsidRDefault="00B35ECC" w:rsidP="00CC18AA">
            <w:pPr>
              <w:spacing w:before="60" w:after="60"/>
              <w:jc w:val="left"/>
              <w:rPr>
                <w:rFonts w:cs="Arial"/>
                <w:szCs w:val="20"/>
                <w:lang w:val="en-US"/>
              </w:rPr>
            </w:pPr>
            <w:r w:rsidRPr="00CC18AA">
              <w:rPr>
                <w:rFonts w:cs="Arial"/>
                <w:szCs w:val="20"/>
                <w:lang w:val="en-US"/>
              </w:rPr>
              <w:t>Gwydir</w:t>
            </w:r>
          </w:p>
        </w:tc>
        <w:tc>
          <w:tcPr>
            <w:tcW w:w="4252" w:type="dxa"/>
            <w:shd w:val="clear" w:color="auto" w:fill="auto"/>
            <w:noWrap/>
            <w:vAlign w:val="center"/>
          </w:tcPr>
          <w:p w:rsidR="00B35ECC" w:rsidRPr="00CC18AA" w:rsidRDefault="00B35ECC" w:rsidP="00CC18AA">
            <w:pPr>
              <w:spacing w:before="60" w:after="60"/>
              <w:jc w:val="left"/>
              <w:rPr>
                <w:rFonts w:cs="Arial"/>
                <w:szCs w:val="20"/>
                <w:lang w:val="en-US"/>
              </w:rPr>
            </w:pPr>
            <w:r w:rsidRPr="00CC18AA">
              <w:rPr>
                <w:rFonts w:cs="Arial"/>
                <w:szCs w:val="20"/>
                <w:lang w:val="en-US"/>
              </w:rPr>
              <w:t>Gwydir DS Copeton Dam (U/S)</w:t>
            </w:r>
          </w:p>
        </w:tc>
        <w:tc>
          <w:tcPr>
            <w:tcW w:w="993" w:type="dxa"/>
            <w:shd w:val="clear" w:color="auto" w:fill="auto"/>
            <w:noWrap/>
            <w:vAlign w:val="center"/>
          </w:tcPr>
          <w:p w:rsidR="00B35ECC" w:rsidRPr="00CC18AA" w:rsidRDefault="00B35ECC" w:rsidP="00CC18AA">
            <w:pPr>
              <w:spacing w:before="60" w:after="60"/>
              <w:ind w:hanging="125"/>
              <w:jc w:val="center"/>
              <w:rPr>
                <w:rFonts w:cs="Arial"/>
                <w:szCs w:val="20"/>
                <w:lang w:val="en-US"/>
              </w:rPr>
            </w:pPr>
            <w:r w:rsidRPr="00CC18AA">
              <w:rPr>
                <w:rFonts w:cs="Arial"/>
                <w:szCs w:val="20"/>
                <w:lang w:val="en-US"/>
              </w:rPr>
              <w:t>418026</w:t>
            </w:r>
          </w:p>
        </w:tc>
        <w:tc>
          <w:tcPr>
            <w:tcW w:w="1525" w:type="dxa"/>
            <w:shd w:val="clear" w:color="auto" w:fill="auto"/>
            <w:noWrap/>
            <w:vAlign w:val="center"/>
          </w:tcPr>
          <w:p w:rsidR="00B35ECC" w:rsidRPr="00CC18AA" w:rsidRDefault="00B35ECC" w:rsidP="00CC18AA">
            <w:pPr>
              <w:spacing w:before="60" w:after="60"/>
              <w:jc w:val="center"/>
              <w:rPr>
                <w:rFonts w:cs="Arial"/>
                <w:szCs w:val="20"/>
                <w:lang w:val="en-US"/>
              </w:rPr>
            </w:pPr>
            <w:r w:rsidRPr="00CC18AA">
              <w:rPr>
                <w:rFonts w:cs="Arial"/>
                <w:szCs w:val="20"/>
                <w:lang w:val="en-US"/>
              </w:rPr>
              <w:t>100 ML/d</w:t>
            </w:r>
          </w:p>
        </w:tc>
      </w:tr>
      <w:tr w:rsidR="00CC18AA" w:rsidRPr="005D4453" w:rsidTr="002E4746">
        <w:tc>
          <w:tcPr>
            <w:tcW w:w="1418" w:type="dxa"/>
            <w:vMerge/>
            <w:shd w:val="clear" w:color="auto" w:fill="auto"/>
            <w:noWrap/>
            <w:vAlign w:val="center"/>
          </w:tcPr>
          <w:p w:rsidR="00B35ECC" w:rsidRPr="00CC18AA" w:rsidRDefault="00B35ECC" w:rsidP="00CC18AA">
            <w:pPr>
              <w:spacing w:before="60" w:after="60"/>
              <w:jc w:val="left"/>
              <w:rPr>
                <w:rFonts w:cs="Arial"/>
                <w:bCs/>
                <w:szCs w:val="20"/>
                <w:lang w:val="en-US"/>
              </w:rPr>
            </w:pPr>
          </w:p>
        </w:tc>
        <w:tc>
          <w:tcPr>
            <w:tcW w:w="1134" w:type="dxa"/>
            <w:vMerge/>
            <w:shd w:val="clear" w:color="auto" w:fill="auto"/>
            <w:noWrap/>
            <w:vAlign w:val="center"/>
          </w:tcPr>
          <w:p w:rsidR="00B35ECC" w:rsidRPr="00CC18AA" w:rsidRDefault="00B35ECC" w:rsidP="00CC18AA">
            <w:pPr>
              <w:spacing w:before="60" w:after="60"/>
              <w:jc w:val="left"/>
              <w:rPr>
                <w:rFonts w:cs="Arial"/>
                <w:szCs w:val="20"/>
                <w:lang w:val="en-US"/>
              </w:rPr>
            </w:pPr>
          </w:p>
        </w:tc>
        <w:tc>
          <w:tcPr>
            <w:tcW w:w="4252" w:type="dxa"/>
            <w:shd w:val="clear" w:color="auto" w:fill="auto"/>
            <w:noWrap/>
            <w:vAlign w:val="center"/>
          </w:tcPr>
          <w:p w:rsidR="00B35ECC" w:rsidRPr="00CC18AA" w:rsidRDefault="001D4CEC" w:rsidP="00CC18AA">
            <w:pPr>
              <w:spacing w:before="60" w:after="60"/>
              <w:jc w:val="left"/>
              <w:rPr>
                <w:rFonts w:cs="Arial"/>
                <w:szCs w:val="20"/>
                <w:lang w:val="en-US"/>
              </w:rPr>
            </w:pPr>
            <w:r w:rsidRPr="00CC18AA">
              <w:rPr>
                <w:rFonts w:cs="Arial"/>
                <w:szCs w:val="20"/>
                <w:lang w:val="en-US"/>
              </w:rPr>
              <w:t>Gwydir River @ Pallamalla</w:t>
            </w:r>
            <w:r w:rsidR="00B35ECC" w:rsidRPr="00CC18AA">
              <w:rPr>
                <w:rFonts w:cs="Arial"/>
                <w:szCs w:val="20"/>
                <w:lang w:val="en-US"/>
              </w:rPr>
              <w:t>wa (D/S)</w:t>
            </w:r>
          </w:p>
        </w:tc>
        <w:tc>
          <w:tcPr>
            <w:tcW w:w="993" w:type="dxa"/>
            <w:shd w:val="clear" w:color="auto" w:fill="auto"/>
            <w:noWrap/>
            <w:vAlign w:val="center"/>
          </w:tcPr>
          <w:p w:rsidR="00B35ECC" w:rsidRPr="00CC18AA" w:rsidRDefault="00B35ECC" w:rsidP="00CC18AA">
            <w:pPr>
              <w:spacing w:before="60" w:after="60"/>
              <w:ind w:hanging="125"/>
              <w:jc w:val="center"/>
              <w:rPr>
                <w:rFonts w:cs="Arial"/>
                <w:szCs w:val="20"/>
                <w:lang w:val="en-US"/>
              </w:rPr>
            </w:pPr>
            <w:r w:rsidRPr="00CC18AA">
              <w:rPr>
                <w:rFonts w:cs="Arial"/>
                <w:szCs w:val="20"/>
                <w:lang w:val="en-US"/>
              </w:rPr>
              <w:t>418001</w:t>
            </w:r>
          </w:p>
        </w:tc>
        <w:tc>
          <w:tcPr>
            <w:tcW w:w="1525" w:type="dxa"/>
            <w:shd w:val="clear" w:color="auto" w:fill="auto"/>
            <w:noWrap/>
            <w:vAlign w:val="center"/>
          </w:tcPr>
          <w:p w:rsidR="00B35ECC" w:rsidRPr="00CC18AA" w:rsidRDefault="00B35ECC" w:rsidP="00CC18AA">
            <w:pPr>
              <w:spacing w:before="60" w:after="60"/>
              <w:jc w:val="center"/>
              <w:rPr>
                <w:rFonts w:cs="Arial"/>
                <w:szCs w:val="20"/>
                <w:lang w:val="en-US"/>
              </w:rPr>
            </w:pPr>
            <w:r w:rsidRPr="00CC18AA">
              <w:rPr>
                <w:rFonts w:cs="Arial"/>
                <w:szCs w:val="20"/>
                <w:lang w:val="en-US"/>
              </w:rPr>
              <w:t>5 ML/d</w:t>
            </w:r>
          </w:p>
        </w:tc>
      </w:tr>
      <w:tr w:rsidR="00CC18AA" w:rsidRPr="005D4453" w:rsidTr="002E4746">
        <w:tc>
          <w:tcPr>
            <w:tcW w:w="1418" w:type="dxa"/>
            <w:vMerge w:val="restart"/>
            <w:shd w:val="clear" w:color="auto" w:fill="auto"/>
            <w:noWrap/>
            <w:vAlign w:val="center"/>
          </w:tcPr>
          <w:p w:rsidR="00B35ECC" w:rsidRPr="00CC18AA" w:rsidRDefault="00B35ECC" w:rsidP="00CC18AA">
            <w:pPr>
              <w:spacing w:before="60" w:after="60"/>
              <w:jc w:val="left"/>
              <w:rPr>
                <w:rFonts w:cs="Arial"/>
                <w:bCs/>
                <w:szCs w:val="20"/>
                <w:lang w:val="en-US"/>
              </w:rPr>
            </w:pPr>
            <w:r w:rsidRPr="00CC18AA">
              <w:rPr>
                <w:rFonts w:cs="Arial"/>
                <w:bCs/>
                <w:szCs w:val="20"/>
                <w:lang w:val="en-US"/>
              </w:rPr>
              <w:t xml:space="preserve">Gingham-Gwydir </w:t>
            </w:r>
            <w:r w:rsidR="001C3C04" w:rsidRPr="00CC18AA">
              <w:rPr>
                <w:rFonts w:cs="Arial"/>
                <w:bCs/>
                <w:szCs w:val="20"/>
                <w:lang w:val="en-US"/>
              </w:rPr>
              <w:t>watercourse</w:t>
            </w:r>
          </w:p>
        </w:tc>
        <w:tc>
          <w:tcPr>
            <w:tcW w:w="1134" w:type="dxa"/>
            <w:vMerge w:val="restart"/>
            <w:shd w:val="clear" w:color="auto" w:fill="auto"/>
            <w:noWrap/>
            <w:vAlign w:val="center"/>
          </w:tcPr>
          <w:p w:rsidR="00B35ECC" w:rsidRPr="00CC18AA" w:rsidRDefault="007865BF" w:rsidP="00CC18AA">
            <w:pPr>
              <w:spacing w:before="60" w:after="60"/>
              <w:jc w:val="left"/>
              <w:rPr>
                <w:rFonts w:cs="Arial"/>
                <w:szCs w:val="20"/>
                <w:lang w:val="en-US"/>
              </w:rPr>
            </w:pPr>
            <w:r w:rsidRPr="00CC18AA">
              <w:rPr>
                <w:rFonts w:cs="Arial"/>
                <w:szCs w:val="20"/>
                <w:lang w:val="en-US"/>
              </w:rPr>
              <w:t>L</w:t>
            </w:r>
            <w:r w:rsidR="001C3C04" w:rsidRPr="00CC18AA">
              <w:rPr>
                <w:rFonts w:cs="Arial"/>
                <w:szCs w:val="20"/>
                <w:lang w:val="en-US"/>
              </w:rPr>
              <w:t>ower</w:t>
            </w:r>
            <w:r w:rsidR="00B35ECC" w:rsidRPr="00CC18AA">
              <w:rPr>
                <w:rFonts w:cs="Arial"/>
                <w:szCs w:val="20"/>
                <w:lang w:val="en-US"/>
              </w:rPr>
              <w:t xml:space="preserve"> Gwydir</w:t>
            </w:r>
          </w:p>
        </w:tc>
        <w:tc>
          <w:tcPr>
            <w:tcW w:w="4252" w:type="dxa"/>
            <w:shd w:val="clear" w:color="auto" w:fill="auto"/>
            <w:noWrap/>
            <w:vAlign w:val="center"/>
          </w:tcPr>
          <w:p w:rsidR="00B35ECC" w:rsidRPr="00CC18AA" w:rsidRDefault="00B35ECC" w:rsidP="00CC18AA">
            <w:pPr>
              <w:spacing w:before="60" w:after="60"/>
              <w:jc w:val="left"/>
              <w:rPr>
                <w:rFonts w:cs="Arial"/>
                <w:szCs w:val="20"/>
                <w:lang w:val="en-US"/>
              </w:rPr>
            </w:pPr>
            <w:r w:rsidRPr="00CC18AA">
              <w:rPr>
                <w:rFonts w:cs="Arial"/>
                <w:szCs w:val="20"/>
                <w:lang w:val="en-US"/>
              </w:rPr>
              <w:t>Gwydir (south arm) DS Tyreel regulator (U/S)</w:t>
            </w:r>
          </w:p>
        </w:tc>
        <w:tc>
          <w:tcPr>
            <w:tcW w:w="993" w:type="dxa"/>
            <w:shd w:val="clear" w:color="auto" w:fill="auto"/>
            <w:noWrap/>
            <w:vAlign w:val="center"/>
          </w:tcPr>
          <w:p w:rsidR="00B35ECC" w:rsidRPr="00CC18AA" w:rsidRDefault="00B35ECC" w:rsidP="00CC18AA">
            <w:pPr>
              <w:spacing w:before="60" w:after="60"/>
              <w:ind w:hanging="125"/>
              <w:jc w:val="center"/>
              <w:rPr>
                <w:rFonts w:cs="Arial"/>
                <w:szCs w:val="20"/>
                <w:lang w:val="en-US"/>
              </w:rPr>
            </w:pPr>
            <w:r w:rsidRPr="00CC18AA">
              <w:rPr>
                <w:rFonts w:cs="Arial"/>
                <w:szCs w:val="20"/>
                <w:lang w:val="en-US"/>
              </w:rPr>
              <w:t>418063</w:t>
            </w:r>
          </w:p>
        </w:tc>
        <w:tc>
          <w:tcPr>
            <w:tcW w:w="1525" w:type="dxa"/>
            <w:shd w:val="clear" w:color="auto" w:fill="auto"/>
            <w:noWrap/>
            <w:vAlign w:val="center"/>
          </w:tcPr>
          <w:p w:rsidR="00B35ECC" w:rsidRPr="00CC18AA" w:rsidRDefault="00B35ECC" w:rsidP="00CC18AA">
            <w:pPr>
              <w:spacing w:before="60" w:after="60"/>
              <w:jc w:val="center"/>
              <w:rPr>
                <w:rFonts w:cs="Arial"/>
                <w:szCs w:val="20"/>
                <w:lang w:val="en-US"/>
              </w:rPr>
            </w:pPr>
            <w:r w:rsidRPr="00CC18AA">
              <w:rPr>
                <w:rFonts w:cs="Arial"/>
                <w:szCs w:val="20"/>
                <w:lang w:val="en-US"/>
              </w:rPr>
              <w:t>40 ML/d</w:t>
            </w:r>
          </w:p>
        </w:tc>
      </w:tr>
      <w:tr w:rsidR="00CC18AA" w:rsidRPr="005D4453" w:rsidTr="002E4746">
        <w:tc>
          <w:tcPr>
            <w:tcW w:w="1418" w:type="dxa"/>
            <w:vMerge/>
            <w:shd w:val="clear" w:color="auto" w:fill="auto"/>
            <w:noWrap/>
            <w:vAlign w:val="center"/>
          </w:tcPr>
          <w:p w:rsidR="00B35ECC" w:rsidRPr="00CC18AA" w:rsidRDefault="00B35ECC" w:rsidP="00CC18AA">
            <w:pPr>
              <w:spacing w:before="60" w:after="60"/>
              <w:jc w:val="left"/>
              <w:rPr>
                <w:rFonts w:cs="Arial"/>
                <w:bCs/>
                <w:szCs w:val="20"/>
                <w:lang w:val="en-US"/>
              </w:rPr>
            </w:pPr>
          </w:p>
        </w:tc>
        <w:tc>
          <w:tcPr>
            <w:tcW w:w="1134" w:type="dxa"/>
            <w:vMerge/>
            <w:shd w:val="clear" w:color="auto" w:fill="auto"/>
            <w:noWrap/>
            <w:vAlign w:val="center"/>
          </w:tcPr>
          <w:p w:rsidR="00B35ECC" w:rsidRPr="00CC18AA" w:rsidRDefault="00B35ECC" w:rsidP="00CC18AA">
            <w:pPr>
              <w:spacing w:before="60" w:after="60"/>
              <w:jc w:val="left"/>
              <w:rPr>
                <w:rFonts w:cs="Arial"/>
                <w:szCs w:val="20"/>
                <w:lang w:val="en-US"/>
              </w:rPr>
            </w:pPr>
          </w:p>
        </w:tc>
        <w:tc>
          <w:tcPr>
            <w:tcW w:w="4252" w:type="dxa"/>
            <w:shd w:val="clear" w:color="auto" w:fill="auto"/>
            <w:noWrap/>
            <w:vAlign w:val="center"/>
          </w:tcPr>
          <w:p w:rsidR="00B35ECC" w:rsidRPr="00CC18AA" w:rsidRDefault="00B35ECC" w:rsidP="00CC18AA">
            <w:pPr>
              <w:spacing w:before="60" w:after="60"/>
              <w:jc w:val="left"/>
              <w:rPr>
                <w:rFonts w:cs="Arial"/>
                <w:szCs w:val="20"/>
                <w:lang w:val="en-US"/>
              </w:rPr>
            </w:pPr>
            <w:r w:rsidRPr="00CC18AA">
              <w:rPr>
                <w:rFonts w:cs="Arial"/>
                <w:szCs w:val="20"/>
                <w:lang w:val="en-US"/>
              </w:rPr>
              <w:t>Gwydir @ Millewa (D/S)</w:t>
            </w:r>
          </w:p>
        </w:tc>
        <w:tc>
          <w:tcPr>
            <w:tcW w:w="993" w:type="dxa"/>
            <w:shd w:val="clear" w:color="auto" w:fill="auto"/>
            <w:noWrap/>
            <w:vAlign w:val="center"/>
          </w:tcPr>
          <w:p w:rsidR="00B35ECC" w:rsidRPr="00CC18AA" w:rsidRDefault="00B35ECC" w:rsidP="00CC18AA">
            <w:pPr>
              <w:spacing w:before="60" w:after="60"/>
              <w:ind w:hanging="125"/>
              <w:jc w:val="center"/>
              <w:rPr>
                <w:rFonts w:cs="Arial"/>
                <w:szCs w:val="20"/>
                <w:lang w:val="en-US"/>
              </w:rPr>
            </w:pPr>
            <w:r w:rsidRPr="00CC18AA">
              <w:rPr>
                <w:rFonts w:cs="Arial"/>
                <w:szCs w:val="20"/>
                <w:lang w:val="en-US"/>
              </w:rPr>
              <w:t>418066</w:t>
            </w:r>
          </w:p>
        </w:tc>
        <w:tc>
          <w:tcPr>
            <w:tcW w:w="1525" w:type="dxa"/>
            <w:shd w:val="clear" w:color="auto" w:fill="auto"/>
            <w:noWrap/>
            <w:vAlign w:val="center"/>
          </w:tcPr>
          <w:p w:rsidR="00B35ECC" w:rsidRPr="00CC18AA" w:rsidRDefault="00B35ECC" w:rsidP="00CC18AA">
            <w:pPr>
              <w:spacing w:before="60" w:after="60"/>
              <w:jc w:val="center"/>
              <w:rPr>
                <w:rFonts w:cs="Arial"/>
                <w:szCs w:val="20"/>
                <w:lang w:val="en-US"/>
              </w:rPr>
            </w:pPr>
            <w:r w:rsidRPr="00CC18AA">
              <w:rPr>
                <w:rFonts w:cs="Arial"/>
                <w:szCs w:val="20"/>
                <w:lang w:val="en-US"/>
              </w:rPr>
              <w:t>5 ML/d</w:t>
            </w:r>
          </w:p>
        </w:tc>
      </w:tr>
      <w:tr w:rsidR="00CC18AA" w:rsidRPr="005D4453" w:rsidTr="002E4746">
        <w:tc>
          <w:tcPr>
            <w:tcW w:w="1418" w:type="dxa"/>
            <w:vMerge/>
            <w:shd w:val="clear" w:color="auto" w:fill="auto"/>
            <w:noWrap/>
            <w:vAlign w:val="center"/>
          </w:tcPr>
          <w:p w:rsidR="00B35ECC" w:rsidRPr="00CC18AA" w:rsidRDefault="00B35ECC" w:rsidP="00CC18AA">
            <w:pPr>
              <w:spacing w:before="60" w:after="60"/>
              <w:jc w:val="left"/>
              <w:rPr>
                <w:rFonts w:cs="Arial"/>
                <w:bCs/>
                <w:szCs w:val="20"/>
                <w:lang w:val="en-US"/>
              </w:rPr>
            </w:pPr>
          </w:p>
        </w:tc>
        <w:tc>
          <w:tcPr>
            <w:tcW w:w="1134" w:type="dxa"/>
            <w:vMerge w:val="restart"/>
            <w:shd w:val="clear" w:color="auto" w:fill="auto"/>
            <w:noWrap/>
            <w:vAlign w:val="center"/>
          </w:tcPr>
          <w:p w:rsidR="00B35ECC" w:rsidRPr="00CC18AA" w:rsidRDefault="00B35ECC" w:rsidP="00CC18AA">
            <w:pPr>
              <w:spacing w:before="60" w:after="60"/>
              <w:jc w:val="left"/>
              <w:rPr>
                <w:rFonts w:cs="Arial"/>
                <w:szCs w:val="20"/>
                <w:lang w:val="en-US"/>
              </w:rPr>
            </w:pPr>
            <w:r w:rsidRPr="00CC18AA">
              <w:rPr>
                <w:rFonts w:cs="Arial"/>
                <w:szCs w:val="20"/>
                <w:lang w:val="en-US"/>
              </w:rPr>
              <w:t>Gingham</w:t>
            </w:r>
          </w:p>
        </w:tc>
        <w:tc>
          <w:tcPr>
            <w:tcW w:w="4252" w:type="dxa"/>
            <w:shd w:val="clear" w:color="auto" w:fill="auto"/>
            <w:noWrap/>
            <w:vAlign w:val="center"/>
          </w:tcPr>
          <w:p w:rsidR="00B35ECC" w:rsidRPr="00CC18AA" w:rsidRDefault="00B35ECC" w:rsidP="00CC18AA">
            <w:pPr>
              <w:spacing w:before="60" w:after="60"/>
              <w:jc w:val="left"/>
              <w:rPr>
                <w:rFonts w:cs="Arial"/>
                <w:szCs w:val="20"/>
                <w:lang w:val="en-US"/>
              </w:rPr>
            </w:pPr>
            <w:r w:rsidRPr="00CC18AA">
              <w:rPr>
                <w:rFonts w:cs="Arial"/>
                <w:szCs w:val="20"/>
                <w:lang w:val="en-US"/>
              </w:rPr>
              <w:t>Gingham channel @ Teralba (U/S)</w:t>
            </w:r>
          </w:p>
        </w:tc>
        <w:tc>
          <w:tcPr>
            <w:tcW w:w="993" w:type="dxa"/>
            <w:shd w:val="clear" w:color="auto" w:fill="auto"/>
            <w:noWrap/>
            <w:vAlign w:val="center"/>
          </w:tcPr>
          <w:p w:rsidR="00B35ECC" w:rsidRPr="00CC18AA" w:rsidRDefault="00B35ECC" w:rsidP="00CC18AA">
            <w:pPr>
              <w:spacing w:before="60" w:after="60"/>
              <w:ind w:hanging="125"/>
              <w:jc w:val="center"/>
              <w:rPr>
                <w:rFonts w:cs="Arial"/>
                <w:szCs w:val="20"/>
                <w:lang w:val="en-US"/>
              </w:rPr>
            </w:pPr>
            <w:r w:rsidRPr="00CC18AA">
              <w:rPr>
                <w:rFonts w:cs="Arial"/>
                <w:szCs w:val="20"/>
                <w:lang w:val="en-US"/>
              </w:rPr>
              <w:t>418074</w:t>
            </w:r>
          </w:p>
        </w:tc>
        <w:tc>
          <w:tcPr>
            <w:tcW w:w="1525" w:type="dxa"/>
            <w:shd w:val="clear" w:color="auto" w:fill="auto"/>
            <w:noWrap/>
            <w:vAlign w:val="center"/>
          </w:tcPr>
          <w:p w:rsidR="00B35ECC" w:rsidRPr="00CC18AA" w:rsidRDefault="00B35ECC" w:rsidP="00CC18AA">
            <w:pPr>
              <w:spacing w:before="60" w:after="60"/>
              <w:jc w:val="center"/>
              <w:rPr>
                <w:rFonts w:cs="Arial"/>
                <w:szCs w:val="20"/>
                <w:lang w:val="en-US"/>
              </w:rPr>
            </w:pPr>
            <w:r w:rsidRPr="00CC18AA">
              <w:rPr>
                <w:rFonts w:cs="Arial"/>
                <w:szCs w:val="20"/>
                <w:lang w:val="en-US"/>
              </w:rPr>
              <w:t>50 ML/d</w:t>
            </w:r>
          </w:p>
        </w:tc>
      </w:tr>
      <w:tr w:rsidR="00CC18AA" w:rsidRPr="005D4453" w:rsidTr="002E4746">
        <w:tc>
          <w:tcPr>
            <w:tcW w:w="1418" w:type="dxa"/>
            <w:vMerge/>
            <w:shd w:val="clear" w:color="auto" w:fill="auto"/>
            <w:noWrap/>
            <w:vAlign w:val="center"/>
          </w:tcPr>
          <w:p w:rsidR="00B35ECC" w:rsidRPr="00CC18AA" w:rsidRDefault="00B35ECC" w:rsidP="00CC18AA">
            <w:pPr>
              <w:spacing w:before="60" w:after="60"/>
              <w:jc w:val="left"/>
              <w:rPr>
                <w:rFonts w:cs="Arial"/>
                <w:bCs/>
                <w:szCs w:val="20"/>
                <w:lang w:val="en-US"/>
              </w:rPr>
            </w:pPr>
          </w:p>
        </w:tc>
        <w:tc>
          <w:tcPr>
            <w:tcW w:w="1134" w:type="dxa"/>
            <w:vMerge/>
            <w:shd w:val="clear" w:color="auto" w:fill="auto"/>
            <w:noWrap/>
            <w:vAlign w:val="center"/>
          </w:tcPr>
          <w:p w:rsidR="00B35ECC" w:rsidRPr="00CC18AA" w:rsidRDefault="00B35ECC" w:rsidP="00CC18AA">
            <w:pPr>
              <w:spacing w:before="60" w:after="60"/>
              <w:jc w:val="left"/>
              <w:rPr>
                <w:rFonts w:cs="Arial"/>
                <w:szCs w:val="20"/>
                <w:lang w:val="en-US"/>
              </w:rPr>
            </w:pPr>
          </w:p>
        </w:tc>
        <w:tc>
          <w:tcPr>
            <w:tcW w:w="4252" w:type="dxa"/>
            <w:shd w:val="clear" w:color="auto" w:fill="auto"/>
            <w:noWrap/>
            <w:vAlign w:val="center"/>
          </w:tcPr>
          <w:p w:rsidR="00B35ECC" w:rsidRPr="00CC18AA" w:rsidRDefault="00B35ECC" w:rsidP="00CC18AA">
            <w:pPr>
              <w:spacing w:before="60" w:after="60"/>
              <w:jc w:val="left"/>
              <w:rPr>
                <w:rFonts w:cs="Arial"/>
                <w:szCs w:val="20"/>
                <w:lang w:val="en-US"/>
              </w:rPr>
            </w:pPr>
            <w:r w:rsidRPr="00CC18AA">
              <w:rPr>
                <w:rFonts w:cs="Arial"/>
                <w:szCs w:val="20"/>
                <w:lang w:val="en-US"/>
              </w:rPr>
              <w:t>Gingham channel @ Gingham bridge (D/S)</w:t>
            </w:r>
          </w:p>
        </w:tc>
        <w:tc>
          <w:tcPr>
            <w:tcW w:w="993" w:type="dxa"/>
            <w:shd w:val="clear" w:color="auto" w:fill="auto"/>
            <w:noWrap/>
            <w:vAlign w:val="center"/>
          </w:tcPr>
          <w:p w:rsidR="00B35ECC" w:rsidRPr="00CC18AA" w:rsidRDefault="00B35ECC" w:rsidP="00CC18AA">
            <w:pPr>
              <w:spacing w:before="60" w:after="60"/>
              <w:ind w:hanging="125"/>
              <w:jc w:val="center"/>
              <w:rPr>
                <w:rFonts w:cs="Arial"/>
                <w:szCs w:val="20"/>
                <w:lang w:val="en-US"/>
              </w:rPr>
            </w:pPr>
            <w:r w:rsidRPr="00CC18AA">
              <w:rPr>
                <w:rFonts w:cs="Arial"/>
                <w:szCs w:val="20"/>
                <w:lang w:val="en-US"/>
              </w:rPr>
              <w:t>418079</w:t>
            </w:r>
          </w:p>
        </w:tc>
        <w:tc>
          <w:tcPr>
            <w:tcW w:w="1525" w:type="dxa"/>
            <w:shd w:val="clear" w:color="auto" w:fill="auto"/>
            <w:noWrap/>
            <w:vAlign w:val="center"/>
          </w:tcPr>
          <w:p w:rsidR="00B35ECC" w:rsidRPr="00CC18AA" w:rsidRDefault="00B35ECC" w:rsidP="00CC18AA">
            <w:pPr>
              <w:spacing w:before="60" w:after="60"/>
              <w:jc w:val="center"/>
              <w:rPr>
                <w:rFonts w:cs="Arial"/>
                <w:szCs w:val="20"/>
                <w:lang w:val="en-US"/>
              </w:rPr>
            </w:pPr>
            <w:r w:rsidRPr="00CC18AA">
              <w:rPr>
                <w:rFonts w:cs="Arial"/>
                <w:szCs w:val="20"/>
                <w:lang w:val="en-US"/>
              </w:rPr>
              <w:t>5 ML/d</w:t>
            </w:r>
          </w:p>
        </w:tc>
      </w:tr>
      <w:tr w:rsidR="00CC18AA" w:rsidRPr="005D4453" w:rsidTr="002E4746">
        <w:trPr>
          <w:trHeight w:val="416"/>
        </w:trPr>
        <w:tc>
          <w:tcPr>
            <w:tcW w:w="1418" w:type="dxa"/>
            <w:vMerge w:val="restart"/>
            <w:shd w:val="clear" w:color="auto" w:fill="auto"/>
            <w:noWrap/>
            <w:vAlign w:val="center"/>
          </w:tcPr>
          <w:p w:rsidR="00B35ECC" w:rsidRPr="00CC18AA" w:rsidRDefault="00B35ECC" w:rsidP="00CC18AA">
            <w:pPr>
              <w:spacing w:before="60" w:after="60"/>
              <w:jc w:val="left"/>
              <w:rPr>
                <w:rFonts w:cs="Arial"/>
                <w:bCs/>
                <w:szCs w:val="20"/>
                <w:lang w:val="en-US"/>
              </w:rPr>
            </w:pPr>
            <w:r w:rsidRPr="00CC18AA">
              <w:rPr>
                <w:rFonts w:cs="Arial"/>
                <w:bCs/>
                <w:szCs w:val="20"/>
                <w:lang w:val="en-US"/>
              </w:rPr>
              <w:t>Mehi-Moomin</w:t>
            </w:r>
          </w:p>
        </w:tc>
        <w:tc>
          <w:tcPr>
            <w:tcW w:w="1134" w:type="dxa"/>
            <w:vMerge w:val="restart"/>
            <w:shd w:val="clear" w:color="auto" w:fill="auto"/>
            <w:noWrap/>
            <w:vAlign w:val="center"/>
          </w:tcPr>
          <w:p w:rsidR="00B35ECC" w:rsidRPr="00CC18AA" w:rsidRDefault="00B35ECC" w:rsidP="00CC18AA">
            <w:pPr>
              <w:spacing w:before="60" w:after="60"/>
              <w:jc w:val="left"/>
              <w:rPr>
                <w:rFonts w:cs="Arial"/>
                <w:szCs w:val="20"/>
                <w:lang w:val="en-US"/>
              </w:rPr>
            </w:pPr>
            <w:r w:rsidRPr="00CC18AA">
              <w:rPr>
                <w:rFonts w:cs="Arial"/>
                <w:szCs w:val="20"/>
                <w:lang w:val="en-US"/>
              </w:rPr>
              <w:t>Mehi</w:t>
            </w:r>
          </w:p>
        </w:tc>
        <w:tc>
          <w:tcPr>
            <w:tcW w:w="4252" w:type="dxa"/>
            <w:shd w:val="clear" w:color="auto" w:fill="auto"/>
            <w:noWrap/>
            <w:vAlign w:val="center"/>
          </w:tcPr>
          <w:p w:rsidR="00B35ECC" w:rsidRPr="00CC18AA" w:rsidRDefault="00B35ECC" w:rsidP="00CC18AA">
            <w:pPr>
              <w:spacing w:before="60" w:after="60"/>
              <w:jc w:val="left"/>
              <w:rPr>
                <w:rFonts w:cs="Arial"/>
                <w:szCs w:val="20"/>
                <w:lang w:val="en-US"/>
              </w:rPr>
            </w:pPr>
            <w:r w:rsidRPr="00CC18AA">
              <w:rPr>
                <w:rFonts w:cs="Arial"/>
                <w:szCs w:val="20"/>
                <w:lang w:val="en-US"/>
              </w:rPr>
              <w:t>Mehi River @ D/S Tareelaroi Regulator (U/S)</w:t>
            </w:r>
          </w:p>
        </w:tc>
        <w:tc>
          <w:tcPr>
            <w:tcW w:w="993" w:type="dxa"/>
            <w:shd w:val="clear" w:color="auto" w:fill="auto"/>
            <w:noWrap/>
            <w:vAlign w:val="center"/>
          </w:tcPr>
          <w:p w:rsidR="00B35ECC" w:rsidRPr="00CC18AA" w:rsidRDefault="00B35ECC" w:rsidP="00CC18AA">
            <w:pPr>
              <w:spacing w:before="60" w:after="60"/>
              <w:ind w:hanging="125"/>
              <w:jc w:val="center"/>
              <w:rPr>
                <w:rFonts w:cs="Arial"/>
                <w:szCs w:val="20"/>
                <w:lang w:val="en-US"/>
              </w:rPr>
            </w:pPr>
            <w:r w:rsidRPr="00CC18AA">
              <w:rPr>
                <w:rFonts w:cs="Arial"/>
                <w:szCs w:val="20"/>
                <w:lang w:val="en-US"/>
              </w:rPr>
              <w:t>418044</w:t>
            </w:r>
          </w:p>
        </w:tc>
        <w:tc>
          <w:tcPr>
            <w:tcW w:w="1525" w:type="dxa"/>
            <w:shd w:val="clear" w:color="auto" w:fill="auto"/>
            <w:noWrap/>
            <w:vAlign w:val="center"/>
          </w:tcPr>
          <w:p w:rsidR="00B35ECC" w:rsidRPr="00CC18AA" w:rsidRDefault="00B35ECC" w:rsidP="00CC18AA">
            <w:pPr>
              <w:spacing w:before="60" w:after="60"/>
              <w:jc w:val="center"/>
              <w:rPr>
                <w:rFonts w:cs="Arial"/>
                <w:szCs w:val="20"/>
                <w:lang w:val="en-US"/>
              </w:rPr>
            </w:pPr>
            <w:r w:rsidRPr="00CC18AA">
              <w:rPr>
                <w:rFonts w:cs="Arial"/>
                <w:szCs w:val="20"/>
                <w:lang w:val="en-US"/>
              </w:rPr>
              <w:t>300 ML/d</w:t>
            </w:r>
          </w:p>
        </w:tc>
      </w:tr>
      <w:tr w:rsidR="00CC18AA" w:rsidRPr="005D4453" w:rsidTr="002E4746">
        <w:trPr>
          <w:trHeight w:val="280"/>
        </w:trPr>
        <w:tc>
          <w:tcPr>
            <w:tcW w:w="1418" w:type="dxa"/>
            <w:vMerge/>
            <w:shd w:val="clear" w:color="auto" w:fill="auto"/>
            <w:noWrap/>
            <w:vAlign w:val="center"/>
          </w:tcPr>
          <w:p w:rsidR="00B35ECC" w:rsidRPr="00CC18AA" w:rsidRDefault="00B35ECC" w:rsidP="00CC18AA">
            <w:pPr>
              <w:spacing w:before="60" w:after="60"/>
              <w:jc w:val="left"/>
              <w:rPr>
                <w:rFonts w:cs="Arial"/>
                <w:bCs/>
                <w:szCs w:val="20"/>
                <w:lang w:val="en-US"/>
              </w:rPr>
            </w:pPr>
          </w:p>
        </w:tc>
        <w:tc>
          <w:tcPr>
            <w:tcW w:w="1134" w:type="dxa"/>
            <w:vMerge/>
            <w:shd w:val="clear" w:color="auto" w:fill="auto"/>
            <w:noWrap/>
            <w:vAlign w:val="center"/>
          </w:tcPr>
          <w:p w:rsidR="00B35ECC" w:rsidRPr="00CC18AA" w:rsidRDefault="00B35ECC" w:rsidP="00CC18AA">
            <w:pPr>
              <w:spacing w:before="60" w:after="60"/>
              <w:jc w:val="left"/>
              <w:rPr>
                <w:rFonts w:cs="Arial"/>
                <w:szCs w:val="20"/>
                <w:lang w:val="en-US"/>
              </w:rPr>
            </w:pPr>
          </w:p>
        </w:tc>
        <w:tc>
          <w:tcPr>
            <w:tcW w:w="4252" w:type="dxa"/>
            <w:shd w:val="clear" w:color="auto" w:fill="auto"/>
            <w:noWrap/>
            <w:vAlign w:val="center"/>
          </w:tcPr>
          <w:p w:rsidR="00B35ECC" w:rsidRPr="00CC18AA" w:rsidRDefault="00B35ECC" w:rsidP="00CC18AA">
            <w:pPr>
              <w:spacing w:before="60" w:after="60"/>
              <w:jc w:val="left"/>
              <w:rPr>
                <w:rFonts w:cs="Arial"/>
                <w:szCs w:val="20"/>
                <w:lang w:val="en-US"/>
              </w:rPr>
            </w:pPr>
            <w:r w:rsidRPr="00CC18AA">
              <w:rPr>
                <w:rFonts w:cs="Arial"/>
                <w:szCs w:val="20"/>
                <w:lang w:val="en-US"/>
              </w:rPr>
              <w:t>Mehi River @ near Collarenebri (D/S)</w:t>
            </w:r>
          </w:p>
        </w:tc>
        <w:tc>
          <w:tcPr>
            <w:tcW w:w="993" w:type="dxa"/>
            <w:shd w:val="clear" w:color="auto" w:fill="auto"/>
            <w:noWrap/>
            <w:vAlign w:val="center"/>
          </w:tcPr>
          <w:p w:rsidR="00B35ECC" w:rsidRPr="00CC18AA" w:rsidRDefault="00B35ECC" w:rsidP="00CC18AA">
            <w:pPr>
              <w:spacing w:before="60" w:after="60"/>
              <w:ind w:hanging="125"/>
              <w:jc w:val="center"/>
              <w:rPr>
                <w:rFonts w:cs="Arial"/>
                <w:szCs w:val="20"/>
                <w:lang w:val="en-US"/>
              </w:rPr>
            </w:pPr>
            <w:r w:rsidRPr="00CC18AA">
              <w:rPr>
                <w:rFonts w:cs="Arial"/>
                <w:szCs w:val="20"/>
                <w:lang w:val="en-US"/>
              </w:rPr>
              <w:t>418055</w:t>
            </w:r>
          </w:p>
        </w:tc>
        <w:tc>
          <w:tcPr>
            <w:tcW w:w="1525" w:type="dxa"/>
            <w:shd w:val="clear" w:color="auto" w:fill="auto"/>
            <w:noWrap/>
            <w:vAlign w:val="center"/>
          </w:tcPr>
          <w:p w:rsidR="00B35ECC" w:rsidRPr="00CC18AA" w:rsidRDefault="00B35ECC" w:rsidP="00CC18AA">
            <w:pPr>
              <w:spacing w:before="60" w:after="60"/>
              <w:jc w:val="center"/>
              <w:rPr>
                <w:rFonts w:cs="Arial"/>
                <w:szCs w:val="20"/>
                <w:lang w:val="en-US"/>
              </w:rPr>
            </w:pPr>
            <w:r w:rsidRPr="00CC18AA">
              <w:rPr>
                <w:rFonts w:cs="Arial"/>
                <w:szCs w:val="20"/>
                <w:lang w:val="en-US"/>
              </w:rPr>
              <w:t>5 ML/d</w:t>
            </w:r>
          </w:p>
        </w:tc>
      </w:tr>
      <w:tr w:rsidR="00CC18AA" w:rsidRPr="005D4453" w:rsidTr="002E4746">
        <w:tc>
          <w:tcPr>
            <w:tcW w:w="1418" w:type="dxa"/>
            <w:vMerge/>
            <w:shd w:val="clear" w:color="auto" w:fill="auto"/>
            <w:noWrap/>
            <w:vAlign w:val="center"/>
          </w:tcPr>
          <w:p w:rsidR="00B35ECC" w:rsidRPr="00CC18AA" w:rsidRDefault="00B35ECC" w:rsidP="00CC18AA">
            <w:pPr>
              <w:spacing w:before="60" w:after="60"/>
              <w:jc w:val="left"/>
              <w:rPr>
                <w:rFonts w:cs="Arial"/>
                <w:bCs/>
                <w:szCs w:val="20"/>
                <w:lang w:val="en-US"/>
              </w:rPr>
            </w:pPr>
          </w:p>
        </w:tc>
        <w:tc>
          <w:tcPr>
            <w:tcW w:w="1134" w:type="dxa"/>
            <w:vMerge w:val="restart"/>
            <w:shd w:val="clear" w:color="auto" w:fill="auto"/>
            <w:noWrap/>
            <w:vAlign w:val="center"/>
          </w:tcPr>
          <w:p w:rsidR="00B35ECC" w:rsidRPr="00CC18AA" w:rsidRDefault="00B35ECC" w:rsidP="00CC18AA">
            <w:pPr>
              <w:spacing w:before="60" w:after="60"/>
              <w:jc w:val="left"/>
              <w:rPr>
                <w:rFonts w:cs="Arial"/>
                <w:szCs w:val="20"/>
                <w:lang w:val="en-US"/>
              </w:rPr>
            </w:pPr>
            <w:r w:rsidRPr="00CC18AA">
              <w:rPr>
                <w:rFonts w:cs="Arial"/>
                <w:szCs w:val="20"/>
                <w:lang w:val="en-US"/>
              </w:rPr>
              <w:t>Moomin</w:t>
            </w:r>
          </w:p>
        </w:tc>
        <w:tc>
          <w:tcPr>
            <w:tcW w:w="4252" w:type="dxa"/>
            <w:shd w:val="clear" w:color="auto" w:fill="auto"/>
            <w:noWrap/>
            <w:vAlign w:val="center"/>
          </w:tcPr>
          <w:p w:rsidR="00B35ECC" w:rsidRPr="00CC18AA" w:rsidRDefault="00B35ECC" w:rsidP="00CC18AA">
            <w:pPr>
              <w:spacing w:before="60" w:after="60"/>
              <w:jc w:val="left"/>
              <w:rPr>
                <w:rFonts w:cs="Arial"/>
                <w:szCs w:val="20"/>
                <w:lang w:val="en-US"/>
              </w:rPr>
            </w:pPr>
            <w:r w:rsidRPr="00CC18AA">
              <w:rPr>
                <w:rFonts w:cs="Arial"/>
                <w:szCs w:val="20"/>
                <w:lang w:val="en-US"/>
              </w:rPr>
              <w:t>Moomin @ Combadello Cutting (U/S)</w:t>
            </w:r>
          </w:p>
        </w:tc>
        <w:tc>
          <w:tcPr>
            <w:tcW w:w="993" w:type="dxa"/>
            <w:shd w:val="clear" w:color="auto" w:fill="auto"/>
            <w:noWrap/>
            <w:vAlign w:val="center"/>
          </w:tcPr>
          <w:p w:rsidR="00B35ECC" w:rsidRPr="00CC18AA" w:rsidRDefault="00B35ECC" w:rsidP="00CC18AA">
            <w:pPr>
              <w:spacing w:before="60" w:after="60"/>
              <w:ind w:hanging="125"/>
              <w:jc w:val="center"/>
              <w:rPr>
                <w:rFonts w:cs="Arial"/>
                <w:szCs w:val="20"/>
                <w:lang w:val="en-US"/>
              </w:rPr>
            </w:pPr>
            <w:r w:rsidRPr="00CC18AA">
              <w:rPr>
                <w:rFonts w:cs="Arial"/>
                <w:szCs w:val="20"/>
                <w:lang w:val="en-US"/>
              </w:rPr>
              <w:t>418048</w:t>
            </w:r>
          </w:p>
        </w:tc>
        <w:tc>
          <w:tcPr>
            <w:tcW w:w="1525" w:type="dxa"/>
            <w:shd w:val="clear" w:color="auto" w:fill="auto"/>
            <w:noWrap/>
            <w:vAlign w:val="center"/>
          </w:tcPr>
          <w:p w:rsidR="00B35ECC" w:rsidRPr="00CC18AA" w:rsidRDefault="00B35ECC" w:rsidP="00CC18AA">
            <w:pPr>
              <w:spacing w:before="60" w:after="60"/>
              <w:jc w:val="center"/>
              <w:rPr>
                <w:rFonts w:cs="Arial"/>
                <w:szCs w:val="20"/>
                <w:lang w:val="en-US"/>
              </w:rPr>
            </w:pPr>
            <w:r w:rsidRPr="00CC18AA">
              <w:rPr>
                <w:rFonts w:cs="Arial"/>
                <w:szCs w:val="20"/>
                <w:lang w:val="en-US"/>
              </w:rPr>
              <w:t>30 ML/d</w:t>
            </w:r>
          </w:p>
        </w:tc>
      </w:tr>
      <w:tr w:rsidR="00CC18AA" w:rsidRPr="005D4453" w:rsidTr="002E4746">
        <w:tc>
          <w:tcPr>
            <w:tcW w:w="1418" w:type="dxa"/>
            <w:vMerge/>
            <w:shd w:val="clear" w:color="auto" w:fill="auto"/>
            <w:noWrap/>
            <w:vAlign w:val="center"/>
          </w:tcPr>
          <w:p w:rsidR="00B35ECC" w:rsidRPr="00CC18AA" w:rsidRDefault="00B35ECC" w:rsidP="00CC18AA">
            <w:pPr>
              <w:spacing w:before="60" w:after="60"/>
              <w:jc w:val="left"/>
              <w:rPr>
                <w:rFonts w:cs="Arial"/>
                <w:bCs/>
                <w:szCs w:val="20"/>
                <w:lang w:val="en-US"/>
              </w:rPr>
            </w:pPr>
          </w:p>
        </w:tc>
        <w:tc>
          <w:tcPr>
            <w:tcW w:w="1134" w:type="dxa"/>
            <w:vMerge/>
            <w:shd w:val="clear" w:color="auto" w:fill="auto"/>
            <w:noWrap/>
            <w:vAlign w:val="center"/>
          </w:tcPr>
          <w:p w:rsidR="00B35ECC" w:rsidRPr="00CC18AA" w:rsidRDefault="00B35ECC" w:rsidP="00CC18AA">
            <w:pPr>
              <w:spacing w:before="60" w:after="60"/>
              <w:jc w:val="left"/>
              <w:rPr>
                <w:rFonts w:cs="Arial"/>
                <w:szCs w:val="20"/>
                <w:lang w:val="en-US"/>
              </w:rPr>
            </w:pPr>
          </w:p>
        </w:tc>
        <w:tc>
          <w:tcPr>
            <w:tcW w:w="4252" w:type="dxa"/>
            <w:shd w:val="clear" w:color="auto" w:fill="auto"/>
            <w:noWrap/>
            <w:vAlign w:val="center"/>
          </w:tcPr>
          <w:p w:rsidR="00B35ECC" w:rsidRPr="00CC18AA" w:rsidRDefault="00B35ECC" w:rsidP="00CC18AA">
            <w:pPr>
              <w:spacing w:before="60" w:after="60"/>
              <w:jc w:val="left"/>
              <w:rPr>
                <w:rFonts w:cs="Arial"/>
                <w:szCs w:val="20"/>
                <w:lang w:val="en-US"/>
              </w:rPr>
            </w:pPr>
            <w:r w:rsidRPr="00CC18AA">
              <w:rPr>
                <w:rFonts w:cs="Arial"/>
                <w:szCs w:val="20"/>
                <w:lang w:val="en-US"/>
              </w:rPr>
              <w:t>Moomin @ Moomin plains (D/S)</w:t>
            </w:r>
          </w:p>
        </w:tc>
        <w:tc>
          <w:tcPr>
            <w:tcW w:w="993" w:type="dxa"/>
            <w:shd w:val="clear" w:color="auto" w:fill="auto"/>
            <w:noWrap/>
            <w:vAlign w:val="center"/>
          </w:tcPr>
          <w:p w:rsidR="00B35ECC" w:rsidRPr="00CC18AA" w:rsidRDefault="00B35ECC" w:rsidP="00CC18AA">
            <w:pPr>
              <w:spacing w:before="60" w:after="60"/>
              <w:ind w:hanging="125"/>
              <w:jc w:val="center"/>
              <w:rPr>
                <w:rFonts w:cs="Arial"/>
                <w:szCs w:val="20"/>
                <w:lang w:val="en-US"/>
              </w:rPr>
            </w:pPr>
            <w:r w:rsidRPr="00CC18AA">
              <w:rPr>
                <w:rFonts w:cs="Arial"/>
                <w:szCs w:val="20"/>
                <w:lang w:val="en-US"/>
              </w:rPr>
              <w:t>418070</w:t>
            </w:r>
          </w:p>
        </w:tc>
        <w:tc>
          <w:tcPr>
            <w:tcW w:w="1525" w:type="dxa"/>
            <w:shd w:val="clear" w:color="auto" w:fill="auto"/>
            <w:noWrap/>
            <w:vAlign w:val="center"/>
          </w:tcPr>
          <w:p w:rsidR="00B35ECC" w:rsidRPr="00CC18AA" w:rsidRDefault="00B35ECC" w:rsidP="00CC18AA">
            <w:pPr>
              <w:spacing w:before="60" w:after="60"/>
              <w:jc w:val="center"/>
              <w:rPr>
                <w:rFonts w:cs="Arial"/>
                <w:szCs w:val="20"/>
                <w:lang w:val="en-US"/>
              </w:rPr>
            </w:pPr>
            <w:r w:rsidRPr="00CC18AA">
              <w:rPr>
                <w:rFonts w:cs="Arial"/>
                <w:szCs w:val="20"/>
                <w:lang w:val="en-US"/>
              </w:rPr>
              <w:t>5 ML/d</w:t>
            </w:r>
          </w:p>
        </w:tc>
      </w:tr>
    </w:tbl>
    <w:p w:rsidR="00B35ECC" w:rsidRDefault="00B35ECC" w:rsidP="00B35ECC">
      <w:pPr>
        <w:rPr>
          <w:highlight w:val="yellow"/>
        </w:rPr>
      </w:pPr>
    </w:p>
    <w:p w:rsidR="00B35ECC" w:rsidRDefault="00B35ECC" w:rsidP="00B35ECC">
      <w:pPr>
        <w:rPr>
          <w:highlight w:val="yellow"/>
        </w:rPr>
        <w:sectPr w:rsidR="00B35ECC" w:rsidSect="00E23B8D">
          <w:headerReference w:type="even" r:id="rId7"/>
          <w:headerReference w:type="default" r:id="rId8"/>
          <w:footerReference w:type="even" r:id="rId9"/>
          <w:footerReference w:type="default" r:id="rId10"/>
          <w:headerReference w:type="first" r:id="rId11"/>
          <w:footerReference w:type="first" r:id="rId12"/>
          <w:type w:val="nextColumn"/>
          <w:pgSz w:w="11899" w:h="16838"/>
          <w:pgMar w:top="1418" w:right="1219" w:bottom="1457" w:left="1480" w:header="811" w:footer="306" w:gutter="0"/>
          <w:pgNumType w:start="1" w:chapStyle="6"/>
          <w:cols w:space="708"/>
          <w:docGrid w:linePitch="360"/>
        </w:sectPr>
      </w:pPr>
    </w:p>
    <w:p w:rsidR="00B35ECC" w:rsidRDefault="004176FF" w:rsidP="003B535A">
      <w:pPr>
        <w:keepNext/>
        <w:spacing w:after="0" w:line="240" w:lineRule="auto"/>
        <w:jc w:val="center"/>
      </w:pPr>
      <w:r w:rsidRPr="00CC18AA">
        <w:rPr>
          <w:noProof/>
          <w:sz w:val="16"/>
          <w:szCs w:val="16"/>
          <w:lang w:eastAsia="en-AU"/>
        </w:rPr>
        <w:drawing>
          <wp:inline distT="0" distB="0" distL="0" distR="0">
            <wp:extent cx="8039100" cy="5686425"/>
            <wp:effectExtent l="0" t="0" r="0" b="952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8039100" cy="5686425"/>
                    </a:xfrm>
                    <a:prstGeom prst="rect">
                      <a:avLst/>
                    </a:prstGeom>
                    <a:noFill/>
                    <a:ln>
                      <a:noFill/>
                    </a:ln>
                  </pic:spPr>
                </pic:pic>
              </a:graphicData>
            </a:graphic>
          </wp:inline>
        </w:drawing>
      </w:r>
    </w:p>
    <w:p w:rsidR="00B35ECC" w:rsidRDefault="00B35ECC" w:rsidP="00B35ECC">
      <w:pPr>
        <w:pStyle w:val="Caption"/>
      </w:pPr>
      <w:bookmarkStart w:id="4" w:name="_Ref455578825"/>
      <w:r>
        <w:t xml:space="preserve">Figure </w:t>
      </w:r>
      <w:fldSimple w:instr=" STYLEREF 6 \s ">
        <w:r w:rsidR="00673DAF">
          <w:rPr>
            <w:noProof/>
          </w:rPr>
          <w:t>A</w:t>
        </w:r>
      </w:fldSimple>
      <w:r w:rsidR="00673DAF">
        <w:noBreakHyphen/>
      </w:r>
      <w:fldSimple w:instr=" SEQ Figure \* ARABIC \s 6 ">
        <w:r w:rsidR="00673DAF">
          <w:rPr>
            <w:noProof/>
          </w:rPr>
          <w:t>1</w:t>
        </w:r>
      </w:fldSimple>
      <w:bookmarkEnd w:id="4"/>
      <w:r>
        <w:t xml:space="preserve"> Location of flow gauging stations used in the hydrological connectivity analysis</w:t>
      </w:r>
    </w:p>
    <w:p w:rsidR="005F23F1" w:rsidRPr="005F23F1" w:rsidRDefault="005F23F1" w:rsidP="005F23F1">
      <w:pPr>
        <w:sectPr w:rsidR="005F23F1" w:rsidRPr="005F23F1" w:rsidSect="003B535A">
          <w:headerReference w:type="default" r:id="rId14"/>
          <w:footerReference w:type="default" r:id="rId15"/>
          <w:type w:val="nextColumn"/>
          <w:pgSz w:w="16838" w:h="11899" w:orient="landscape"/>
          <w:pgMar w:top="1276" w:right="1219" w:bottom="1276" w:left="1480" w:header="811" w:footer="306" w:gutter="0"/>
          <w:pgNumType w:chapStyle="6"/>
          <w:cols w:space="708"/>
          <w:docGrid w:linePitch="360"/>
        </w:sectPr>
      </w:pPr>
    </w:p>
    <w:p w:rsidR="00B35ECC" w:rsidRPr="00FB1AE6" w:rsidRDefault="00B35ECC" w:rsidP="00FB1AE6">
      <w:pPr>
        <w:pStyle w:val="Heading7"/>
      </w:pPr>
      <w:r w:rsidRPr="00FB1AE6">
        <w:t>Results</w:t>
      </w:r>
    </w:p>
    <w:p w:rsidR="00B35ECC" w:rsidRDefault="00B35ECC" w:rsidP="00FB1AE6">
      <w:pPr>
        <w:pStyle w:val="Heading8"/>
      </w:pPr>
      <w:r>
        <w:t>Longitudinal connectivity</w:t>
      </w:r>
    </w:p>
    <w:p w:rsidR="00B35ECC" w:rsidRDefault="00B35ECC" w:rsidP="00F85BC6">
      <w:r>
        <w:t>In 2015-16, hydrological connectivity occurred in all monitored channels in the Gwydir Selected Area (</w:t>
      </w:r>
      <w:r>
        <w:fldChar w:fldCharType="begin"/>
      </w:r>
      <w:r>
        <w:instrText xml:space="preserve"> REF _Ref455578179 \h </w:instrText>
      </w:r>
      <w:r>
        <w:fldChar w:fldCharType="separate"/>
      </w:r>
      <w:r w:rsidR="005D5925">
        <w:t xml:space="preserve">Table </w:t>
      </w:r>
      <w:r w:rsidR="005D5925">
        <w:rPr>
          <w:noProof/>
        </w:rPr>
        <w:t>A</w:t>
      </w:r>
      <w:r w:rsidR="005D5925">
        <w:noBreakHyphen/>
      </w:r>
      <w:r w:rsidR="005D5925">
        <w:rPr>
          <w:noProof/>
        </w:rPr>
        <w:t>3</w:t>
      </w:r>
      <w:r>
        <w:fldChar w:fldCharType="end"/>
      </w:r>
      <w:r>
        <w:t xml:space="preserve">).  The Gwydir River had 38% connection (i.e. 38% of days were above the relevant connection threshold at both gauges during 2015-16), the </w:t>
      </w:r>
      <w:r w:rsidR="001C3C04">
        <w:t>lower</w:t>
      </w:r>
      <w:r>
        <w:t xml:space="preserve"> Gwydir River 45% connection, Gingham </w:t>
      </w:r>
      <w:r w:rsidR="001C3C04">
        <w:t>watercourse</w:t>
      </w:r>
      <w:r>
        <w:t xml:space="preserve"> 13% connection, Mehi River 5% connection and Moomin Creek 12% connection.  Mallowa Creek had water flowing into it (was ‘wet’) for 15% of days in 2015-16.</w:t>
      </w:r>
    </w:p>
    <w:p w:rsidR="00B35ECC" w:rsidRDefault="00B35ECC" w:rsidP="00206EC9">
      <w:r>
        <w:t xml:space="preserve">The Gwydir River and </w:t>
      </w:r>
      <w:r w:rsidR="001C3C04">
        <w:t>lower</w:t>
      </w:r>
      <w:r>
        <w:t xml:space="preserve"> Gwydir River experienced the longest average duration of connection with 23 and 15 days respectively.  Mehi River and Moomin Creek experienced the shortest average duration of connection with 9 and 8 days respectively.  Mallowa Creek was ‘wet’ for an average duration of 19 days per event.</w:t>
      </w:r>
    </w:p>
    <w:p w:rsidR="00B35ECC" w:rsidRDefault="00B35ECC" w:rsidP="00B35ECC">
      <w:pPr>
        <w:pStyle w:val="Caption"/>
        <w:keepNext/>
      </w:pPr>
      <w:bookmarkStart w:id="5" w:name="_Ref455578179"/>
      <w:r>
        <w:t xml:space="preserve">Table </w:t>
      </w:r>
      <w:fldSimple w:instr=" STYLEREF 6 \s ">
        <w:r w:rsidR="005D5925">
          <w:rPr>
            <w:noProof/>
          </w:rPr>
          <w:t>A</w:t>
        </w:r>
      </w:fldSimple>
      <w:r w:rsidR="005D4453">
        <w:noBreakHyphen/>
      </w:r>
      <w:fldSimple w:instr=" SEQ Table \* ARABIC \s 6 ">
        <w:r w:rsidR="005D5925">
          <w:rPr>
            <w:noProof/>
          </w:rPr>
          <w:t>3</w:t>
        </w:r>
      </w:fldSimple>
      <w:bookmarkEnd w:id="5"/>
      <w:r>
        <w:t xml:space="preserve"> Variables describing the duration and character of hydrological connectivity in the channels of the Gwydir river system Selected Area</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430"/>
        <w:gridCol w:w="2173"/>
        <w:gridCol w:w="1175"/>
        <w:gridCol w:w="1185"/>
        <w:gridCol w:w="1310"/>
        <w:gridCol w:w="968"/>
        <w:gridCol w:w="967"/>
      </w:tblGrid>
      <w:tr w:rsidR="00CC18AA" w:rsidRPr="005D4453" w:rsidTr="00CC18AA">
        <w:trPr>
          <w:trHeight w:val="900"/>
        </w:trPr>
        <w:tc>
          <w:tcPr>
            <w:tcW w:w="0" w:type="auto"/>
            <w:shd w:val="clear" w:color="auto" w:fill="D9D9D9"/>
            <w:vAlign w:val="center"/>
            <w:hideMark/>
          </w:tcPr>
          <w:p w:rsidR="00B35ECC" w:rsidRPr="00CC18AA" w:rsidRDefault="00B35ECC" w:rsidP="00CC18AA">
            <w:pPr>
              <w:spacing w:before="60" w:after="60"/>
              <w:jc w:val="center"/>
              <w:rPr>
                <w:rFonts w:cs="Arial"/>
                <w:bCs/>
                <w:color w:val="000000"/>
                <w:szCs w:val="20"/>
                <w:lang w:val="en-US"/>
              </w:rPr>
            </w:pPr>
            <w:r w:rsidRPr="00CC18AA">
              <w:rPr>
                <w:rFonts w:cs="Arial"/>
                <w:bCs/>
                <w:color w:val="000000"/>
                <w:szCs w:val="20"/>
                <w:lang w:val="en-US"/>
              </w:rPr>
              <w:t>Monitoring Zone</w:t>
            </w:r>
          </w:p>
        </w:tc>
        <w:tc>
          <w:tcPr>
            <w:tcW w:w="0" w:type="auto"/>
            <w:shd w:val="clear" w:color="auto" w:fill="D9D9D9"/>
            <w:noWrap/>
            <w:vAlign w:val="center"/>
            <w:hideMark/>
          </w:tcPr>
          <w:p w:rsidR="00B35ECC" w:rsidRPr="00CC18AA" w:rsidRDefault="00B35ECC" w:rsidP="00CC18AA">
            <w:pPr>
              <w:spacing w:before="60" w:after="60"/>
              <w:jc w:val="center"/>
              <w:rPr>
                <w:rFonts w:cs="Arial"/>
                <w:bCs/>
                <w:color w:val="000000"/>
                <w:szCs w:val="20"/>
                <w:lang w:val="en-US"/>
              </w:rPr>
            </w:pPr>
            <w:r w:rsidRPr="00CC18AA">
              <w:rPr>
                <w:rFonts w:cs="Arial"/>
                <w:bCs/>
                <w:color w:val="000000"/>
                <w:szCs w:val="20"/>
                <w:lang w:val="en-US"/>
              </w:rPr>
              <w:t>Channel</w:t>
            </w:r>
          </w:p>
        </w:tc>
        <w:tc>
          <w:tcPr>
            <w:tcW w:w="0" w:type="auto"/>
            <w:shd w:val="clear" w:color="auto" w:fill="D9D9D9"/>
            <w:vAlign w:val="center"/>
            <w:hideMark/>
          </w:tcPr>
          <w:p w:rsidR="00B35ECC" w:rsidRPr="00CC18AA" w:rsidRDefault="00B35ECC" w:rsidP="00CC18AA">
            <w:pPr>
              <w:spacing w:before="60" w:after="60"/>
              <w:jc w:val="center"/>
              <w:rPr>
                <w:rFonts w:cs="Arial"/>
                <w:bCs/>
                <w:color w:val="000000"/>
                <w:szCs w:val="20"/>
                <w:lang w:val="en-US"/>
              </w:rPr>
            </w:pPr>
            <w:r w:rsidRPr="00CC18AA">
              <w:rPr>
                <w:rFonts w:cs="Arial"/>
                <w:bCs/>
                <w:color w:val="000000"/>
                <w:szCs w:val="20"/>
                <w:lang w:val="en-US"/>
              </w:rPr>
              <w:t>Days connected (%)</w:t>
            </w:r>
          </w:p>
        </w:tc>
        <w:tc>
          <w:tcPr>
            <w:tcW w:w="0" w:type="auto"/>
            <w:shd w:val="clear" w:color="auto" w:fill="D9D9D9"/>
            <w:vAlign w:val="center"/>
            <w:hideMark/>
          </w:tcPr>
          <w:p w:rsidR="00B35ECC" w:rsidRPr="00CC18AA" w:rsidRDefault="00B35ECC" w:rsidP="00CC18AA">
            <w:pPr>
              <w:spacing w:before="60" w:after="60"/>
              <w:jc w:val="center"/>
              <w:rPr>
                <w:rFonts w:cs="Arial"/>
                <w:bCs/>
                <w:color w:val="000000"/>
                <w:szCs w:val="20"/>
                <w:lang w:val="en-US"/>
              </w:rPr>
            </w:pPr>
            <w:r w:rsidRPr="00CC18AA">
              <w:rPr>
                <w:rFonts w:cs="Arial"/>
                <w:bCs/>
                <w:color w:val="000000"/>
                <w:szCs w:val="20"/>
                <w:lang w:val="en-US"/>
              </w:rPr>
              <w:t>No. of times connected</w:t>
            </w:r>
          </w:p>
        </w:tc>
        <w:tc>
          <w:tcPr>
            <w:tcW w:w="0" w:type="auto"/>
            <w:shd w:val="clear" w:color="auto" w:fill="D9D9D9"/>
            <w:vAlign w:val="center"/>
            <w:hideMark/>
          </w:tcPr>
          <w:p w:rsidR="00B35ECC" w:rsidRPr="00CC18AA" w:rsidRDefault="00B35ECC" w:rsidP="00CC18AA">
            <w:pPr>
              <w:spacing w:before="60" w:after="60"/>
              <w:jc w:val="center"/>
              <w:rPr>
                <w:rFonts w:cs="Arial"/>
                <w:bCs/>
                <w:color w:val="000000"/>
                <w:szCs w:val="20"/>
                <w:lang w:val="en-US"/>
              </w:rPr>
            </w:pPr>
            <w:r w:rsidRPr="00CC18AA">
              <w:rPr>
                <w:rFonts w:cs="Arial"/>
                <w:bCs/>
                <w:color w:val="000000"/>
                <w:szCs w:val="20"/>
                <w:lang w:val="en-US"/>
              </w:rPr>
              <w:t>Average duration of connection events (days)</w:t>
            </w:r>
          </w:p>
        </w:tc>
        <w:tc>
          <w:tcPr>
            <w:tcW w:w="0" w:type="auto"/>
            <w:shd w:val="clear" w:color="auto" w:fill="D9D9D9"/>
            <w:vAlign w:val="center"/>
            <w:hideMark/>
          </w:tcPr>
          <w:p w:rsidR="00B35ECC" w:rsidRPr="00CC18AA" w:rsidRDefault="00B35ECC" w:rsidP="00CC18AA">
            <w:pPr>
              <w:spacing w:before="60" w:after="60"/>
              <w:jc w:val="center"/>
              <w:rPr>
                <w:rFonts w:cs="Arial"/>
                <w:bCs/>
                <w:color w:val="000000"/>
                <w:szCs w:val="20"/>
                <w:lang w:val="en-US"/>
              </w:rPr>
            </w:pPr>
            <w:r w:rsidRPr="00CC18AA">
              <w:rPr>
                <w:rFonts w:cs="Arial"/>
                <w:bCs/>
                <w:color w:val="000000"/>
                <w:szCs w:val="20"/>
                <w:lang w:val="en-US"/>
              </w:rPr>
              <w:t>Longest wet (days)</w:t>
            </w:r>
          </w:p>
        </w:tc>
        <w:tc>
          <w:tcPr>
            <w:tcW w:w="0" w:type="auto"/>
            <w:shd w:val="clear" w:color="auto" w:fill="D9D9D9"/>
            <w:vAlign w:val="center"/>
            <w:hideMark/>
          </w:tcPr>
          <w:p w:rsidR="00B35ECC" w:rsidRPr="00CC18AA" w:rsidRDefault="00B35ECC" w:rsidP="00CC18AA">
            <w:pPr>
              <w:spacing w:before="60" w:after="60"/>
              <w:jc w:val="center"/>
              <w:rPr>
                <w:rFonts w:cs="Arial"/>
                <w:bCs/>
                <w:color w:val="000000"/>
                <w:szCs w:val="20"/>
                <w:lang w:val="en-US"/>
              </w:rPr>
            </w:pPr>
            <w:r w:rsidRPr="00CC18AA">
              <w:rPr>
                <w:rFonts w:cs="Arial"/>
                <w:bCs/>
                <w:color w:val="000000"/>
                <w:szCs w:val="20"/>
                <w:lang w:val="en-US"/>
              </w:rPr>
              <w:t>Longest dry (days)</w:t>
            </w:r>
          </w:p>
        </w:tc>
      </w:tr>
      <w:tr w:rsidR="00CC18AA" w:rsidRPr="005D4453" w:rsidTr="00CC18AA">
        <w:trPr>
          <w:trHeight w:val="300"/>
        </w:trPr>
        <w:tc>
          <w:tcPr>
            <w:tcW w:w="0" w:type="auto"/>
            <w:shd w:val="clear" w:color="auto" w:fill="auto"/>
            <w:vAlign w:val="center"/>
            <w:hideMark/>
          </w:tcPr>
          <w:p w:rsidR="00B35ECC" w:rsidRPr="00CC18AA" w:rsidRDefault="00B35ECC" w:rsidP="00CC18AA">
            <w:pPr>
              <w:spacing w:before="60" w:after="60"/>
              <w:jc w:val="left"/>
              <w:rPr>
                <w:rFonts w:cs="Arial"/>
                <w:bCs/>
                <w:color w:val="000000"/>
                <w:szCs w:val="20"/>
                <w:lang w:val="en-US"/>
              </w:rPr>
            </w:pPr>
            <w:r w:rsidRPr="00CC18AA">
              <w:rPr>
                <w:rFonts w:cs="Arial"/>
                <w:bCs/>
                <w:color w:val="000000"/>
                <w:szCs w:val="20"/>
                <w:lang w:val="en-US"/>
              </w:rPr>
              <w:t>Gwydir River</w:t>
            </w:r>
          </w:p>
        </w:tc>
        <w:tc>
          <w:tcPr>
            <w:tcW w:w="0" w:type="auto"/>
            <w:shd w:val="clear" w:color="auto" w:fill="auto"/>
            <w:noWrap/>
            <w:hideMark/>
          </w:tcPr>
          <w:p w:rsidR="00B35ECC" w:rsidRPr="00CC18AA" w:rsidRDefault="00B35ECC" w:rsidP="00CC18AA">
            <w:pPr>
              <w:spacing w:before="60" w:after="60"/>
              <w:jc w:val="left"/>
              <w:rPr>
                <w:rFonts w:cs="Arial"/>
                <w:color w:val="000000"/>
                <w:szCs w:val="20"/>
                <w:lang w:val="en-US"/>
              </w:rPr>
            </w:pPr>
            <w:r w:rsidRPr="00CC18AA">
              <w:rPr>
                <w:rFonts w:cs="Arial"/>
                <w:color w:val="000000"/>
                <w:szCs w:val="20"/>
                <w:lang w:val="en-US"/>
              </w:rPr>
              <w:t>Gwydir River</w:t>
            </w:r>
          </w:p>
        </w:tc>
        <w:tc>
          <w:tcPr>
            <w:tcW w:w="0" w:type="auto"/>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38</w:t>
            </w:r>
          </w:p>
        </w:tc>
        <w:tc>
          <w:tcPr>
            <w:tcW w:w="0" w:type="auto"/>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6</w:t>
            </w:r>
          </w:p>
        </w:tc>
        <w:tc>
          <w:tcPr>
            <w:tcW w:w="0" w:type="auto"/>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23</w:t>
            </w:r>
          </w:p>
        </w:tc>
        <w:tc>
          <w:tcPr>
            <w:tcW w:w="0" w:type="auto"/>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71</w:t>
            </w:r>
          </w:p>
        </w:tc>
        <w:tc>
          <w:tcPr>
            <w:tcW w:w="0" w:type="auto"/>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107</w:t>
            </w:r>
          </w:p>
        </w:tc>
      </w:tr>
      <w:tr w:rsidR="00CC18AA" w:rsidRPr="005D4453" w:rsidTr="00CC18AA">
        <w:trPr>
          <w:trHeight w:val="300"/>
        </w:trPr>
        <w:tc>
          <w:tcPr>
            <w:tcW w:w="0" w:type="auto"/>
            <w:vMerge w:val="restart"/>
            <w:shd w:val="clear" w:color="auto" w:fill="auto"/>
            <w:vAlign w:val="center"/>
            <w:hideMark/>
          </w:tcPr>
          <w:p w:rsidR="00B35ECC" w:rsidRPr="00CC18AA" w:rsidRDefault="005D4453" w:rsidP="00CC18AA">
            <w:pPr>
              <w:spacing w:before="60" w:after="60"/>
              <w:jc w:val="left"/>
              <w:rPr>
                <w:rFonts w:cs="Arial"/>
                <w:bCs/>
                <w:color w:val="000000"/>
                <w:szCs w:val="20"/>
                <w:lang w:val="en-US"/>
              </w:rPr>
            </w:pPr>
            <w:r w:rsidRPr="00CC18AA">
              <w:rPr>
                <w:rFonts w:cs="Arial"/>
                <w:bCs/>
                <w:color w:val="000000"/>
                <w:szCs w:val="20"/>
                <w:lang w:val="en-US"/>
              </w:rPr>
              <w:t>l</w:t>
            </w:r>
            <w:r w:rsidR="001C3C04" w:rsidRPr="00CC18AA">
              <w:rPr>
                <w:rFonts w:cs="Arial"/>
                <w:bCs/>
                <w:color w:val="000000"/>
                <w:szCs w:val="20"/>
                <w:lang w:val="en-US"/>
              </w:rPr>
              <w:t>ower</w:t>
            </w:r>
            <w:r w:rsidR="00B35ECC" w:rsidRPr="00CC18AA">
              <w:rPr>
                <w:rFonts w:cs="Arial"/>
                <w:bCs/>
                <w:color w:val="000000"/>
                <w:szCs w:val="20"/>
                <w:lang w:val="en-US"/>
              </w:rPr>
              <w:t xml:space="preserve"> Gwydir River and Gingham </w:t>
            </w:r>
            <w:r w:rsidR="001C3C04" w:rsidRPr="00CC18AA">
              <w:rPr>
                <w:rFonts w:cs="Arial"/>
                <w:bCs/>
                <w:color w:val="000000"/>
                <w:szCs w:val="20"/>
                <w:lang w:val="en-US"/>
              </w:rPr>
              <w:t>watercourse</w:t>
            </w:r>
          </w:p>
        </w:tc>
        <w:tc>
          <w:tcPr>
            <w:tcW w:w="0" w:type="auto"/>
            <w:shd w:val="clear" w:color="auto" w:fill="auto"/>
            <w:noWrap/>
            <w:hideMark/>
          </w:tcPr>
          <w:p w:rsidR="00B35ECC" w:rsidRPr="00CC18AA" w:rsidRDefault="005D4453" w:rsidP="00CC18AA">
            <w:pPr>
              <w:spacing w:before="60" w:after="60"/>
              <w:jc w:val="left"/>
              <w:rPr>
                <w:rFonts w:cs="Arial"/>
                <w:color w:val="000000"/>
                <w:szCs w:val="20"/>
                <w:lang w:val="en-US"/>
              </w:rPr>
            </w:pPr>
            <w:r w:rsidRPr="00CC18AA">
              <w:rPr>
                <w:rFonts w:cs="Arial"/>
                <w:color w:val="000000"/>
                <w:szCs w:val="20"/>
                <w:lang w:val="en-US"/>
              </w:rPr>
              <w:t>l</w:t>
            </w:r>
            <w:r w:rsidR="001C3C04" w:rsidRPr="00CC18AA">
              <w:rPr>
                <w:rFonts w:cs="Arial"/>
                <w:color w:val="000000"/>
                <w:szCs w:val="20"/>
                <w:lang w:val="en-US"/>
              </w:rPr>
              <w:t>ower</w:t>
            </w:r>
            <w:r w:rsidR="00B35ECC" w:rsidRPr="00CC18AA">
              <w:rPr>
                <w:rFonts w:cs="Arial"/>
                <w:color w:val="000000"/>
                <w:szCs w:val="20"/>
                <w:lang w:val="en-US"/>
              </w:rPr>
              <w:t xml:space="preserve"> Gwydir River</w:t>
            </w:r>
          </w:p>
        </w:tc>
        <w:tc>
          <w:tcPr>
            <w:tcW w:w="0" w:type="auto"/>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45</w:t>
            </w:r>
          </w:p>
        </w:tc>
        <w:tc>
          <w:tcPr>
            <w:tcW w:w="0" w:type="auto"/>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11</w:t>
            </w:r>
          </w:p>
        </w:tc>
        <w:tc>
          <w:tcPr>
            <w:tcW w:w="0" w:type="auto"/>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15</w:t>
            </w:r>
          </w:p>
        </w:tc>
        <w:tc>
          <w:tcPr>
            <w:tcW w:w="0" w:type="auto"/>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30</w:t>
            </w:r>
          </w:p>
        </w:tc>
        <w:tc>
          <w:tcPr>
            <w:tcW w:w="0" w:type="auto"/>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119</w:t>
            </w:r>
          </w:p>
        </w:tc>
      </w:tr>
      <w:tr w:rsidR="00CC18AA" w:rsidRPr="005D4453" w:rsidTr="00CC18AA">
        <w:trPr>
          <w:trHeight w:val="675"/>
        </w:trPr>
        <w:tc>
          <w:tcPr>
            <w:tcW w:w="0" w:type="auto"/>
            <w:vMerge/>
            <w:shd w:val="clear" w:color="auto" w:fill="auto"/>
            <w:vAlign w:val="center"/>
            <w:hideMark/>
          </w:tcPr>
          <w:p w:rsidR="00B35ECC" w:rsidRPr="00CC18AA" w:rsidRDefault="00B35ECC" w:rsidP="00CC18AA">
            <w:pPr>
              <w:spacing w:before="60" w:after="60"/>
              <w:jc w:val="left"/>
              <w:rPr>
                <w:rFonts w:cs="Arial"/>
                <w:bCs/>
                <w:color w:val="000000"/>
                <w:szCs w:val="20"/>
                <w:lang w:val="en-US"/>
              </w:rPr>
            </w:pPr>
          </w:p>
        </w:tc>
        <w:tc>
          <w:tcPr>
            <w:tcW w:w="0" w:type="auto"/>
            <w:shd w:val="clear" w:color="auto" w:fill="auto"/>
            <w:noWrap/>
            <w:vAlign w:val="center"/>
            <w:hideMark/>
          </w:tcPr>
          <w:p w:rsidR="00B35ECC" w:rsidRPr="00CC18AA" w:rsidRDefault="00B35ECC" w:rsidP="00CC18AA">
            <w:pPr>
              <w:spacing w:before="60" w:after="60"/>
              <w:jc w:val="left"/>
              <w:rPr>
                <w:rFonts w:cs="Arial"/>
                <w:color w:val="000000"/>
                <w:szCs w:val="20"/>
                <w:lang w:val="en-US"/>
              </w:rPr>
            </w:pPr>
            <w:r w:rsidRPr="00CC18AA">
              <w:rPr>
                <w:rFonts w:cs="Arial"/>
                <w:color w:val="000000"/>
                <w:szCs w:val="20"/>
                <w:lang w:val="en-US"/>
              </w:rPr>
              <w:t xml:space="preserve">Gingham </w:t>
            </w:r>
            <w:r w:rsidR="001C3C04" w:rsidRPr="00CC18AA">
              <w:rPr>
                <w:rFonts w:cs="Arial"/>
                <w:color w:val="000000"/>
                <w:szCs w:val="20"/>
                <w:lang w:val="en-US"/>
              </w:rPr>
              <w:t>watercourse</w:t>
            </w:r>
          </w:p>
        </w:tc>
        <w:tc>
          <w:tcPr>
            <w:tcW w:w="0" w:type="auto"/>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13</w:t>
            </w:r>
          </w:p>
        </w:tc>
        <w:tc>
          <w:tcPr>
            <w:tcW w:w="0" w:type="auto"/>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4</w:t>
            </w:r>
          </w:p>
        </w:tc>
        <w:tc>
          <w:tcPr>
            <w:tcW w:w="0" w:type="auto"/>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12</w:t>
            </w:r>
          </w:p>
        </w:tc>
        <w:tc>
          <w:tcPr>
            <w:tcW w:w="0" w:type="auto"/>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23</w:t>
            </w:r>
          </w:p>
        </w:tc>
        <w:tc>
          <w:tcPr>
            <w:tcW w:w="0" w:type="auto"/>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287</w:t>
            </w:r>
          </w:p>
        </w:tc>
      </w:tr>
      <w:tr w:rsidR="00CC18AA" w:rsidRPr="005D4453" w:rsidTr="00CC18AA">
        <w:trPr>
          <w:trHeight w:val="300"/>
        </w:trPr>
        <w:tc>
          <w:tcPr>
            <w:tcW w:w="0" w:type="auto"/>
            <w:vMerge w:val="restart"/>
            <w:shd w:val="clear" w:color="auto" w:fill="auto"/>
            <w:vAlign w:val="center"/>
            <w:hideMark/>
          </w:tcPr>
          <w:p w:rsidR="00B35ECC" w:rsidRPr="00CC18AA" w:rsidRDefault="00B35ECC" w:rsidP="00CC18AA">
            <w:pPr>
              <w:spacing w:before="60" w:after="60"/>
              <w:jc w:val="left"/>
              <w:rPr>
                <w:rFonts w:cs="Arial"/>
                <w:bCs/>
                <w:color w:val="000000"/>
                <w:szCs w:val="20"/>
                <w:lang w:val="en-US"/>
              </w:rPr>
            </w:pPr>
            <w:r w:rsidRPr="00CC18AA">
              <w:rPr>
                <w:rFonts w:cs="Arial"/>
                <w:bCs/>
                <w:color w:val="000000"/>
                <w:szCs w:val="20"/>
                <w:lang w:val="en-US"/>
              </w:rPr>
              <w:t>Mehi River and Moomin Creek</w:t>
            </w:r>
          </w:p>
        </w:tc>
        <w:tc>
          <w:tcPr>
            <w:tcW w:w="0" w:type="auto"/>
            <w:shd w:val="clear" w:color="auto" w:fill="auto"/>
            <w:noWrap/>
            <w:hideMark/>
          </w:tcPr>
          <w:p w:rsidR="00B35ECC" w:rsidRPr="00CC18AA" w:rsidRDefault="00B35ECC" w:rsidP="00CC18AA">
            <w:pPr>
              <w:spacing w:before="60" w:after="60"/>
              <w:jc w:val="left"/>
              <w:rPr>
                <w:rFonts w:cs="Arial"/>
                <w:color w:val="000000"/>
                <w:szCs w:val="20"/>
                <w:lang w:val="en-US"/>
              </w:rPr>
            </w:pPr>
            <w:r w:rsidRPr="00CC18AA">
              <w:rPr>
                <w:rFonts w:cs="Arial"/>
                <w:color w:val="000000"/>
                <w:szCs w:val="20"/>
                <w:lang w:val="en-US"/>
              </w:rPr>
              <w:t>Mehi River</w:t>
            </w:r>
          </w:p>
        </w:tc>
        <w:tc>
          <w:tcPr>
            <w:tcW w:w="0" w:type="auto"/>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5</w:t>
            </w:r>
          </w:p>
        </w:tc>
        <w:tc>
          <w:tcPr>
            <w:tcW w:w="0" w:type="auto"/>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2</w:t>
            </w:r>
          </w:p>
        </w:tc>
        <w:tc>
          <w:tcPr>
            <w:tcW w:w="0" w:type="auto"/>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9</w:t>
            </w:r>
          </w:p>
        </w:tc>
        <w:tc>
          <w:tcPr>
            <w:tcW w:w="0" w:type="auto"/>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15</w:t>
            </w:r>
          </w:p>
        </w:tc>
        <w:tc>
          <w:tcPr>
            <w:tcW w:w="0" w:type="auto"/>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150</w:t>
            </w:r>
          </w:p>
        </w:tc>
      </w:tr>
      <w:tr w:rsidR="00CC18AA" w:rsidRPr="005D4453" w:rsidTr="00CC18AA">
        <w:trPr>
          <w:trHeight w:val="300"/>
        </w:trPr>
        <w:tc>
          <w:tcPr>
            <w:tcW w:w="0" w:type="auto"/>
            <w:vMerge/>
            <w:shd w:val="clear" w:color="auto" w:fill="auto"/>
            <w:hideMark/>
          </w:tcPr>
          <w:p w:rsidR="00B35ECC" w:rsidRPr="00CC18AA" w:rsidRDefault="00B35ECC" w:rsidP="00CC18AA">
            <w:pPr>
              <w:spacing w:before="60" w:after="60"/>
              <w:jc w:val="left"/>
              <w:rPr>
                <w:rFonts w:cs="Arial"/>
                <w:bCs/>
                <w:color w:val="000000"/>
                <w:szCs w:val="20"/>
                <w:lang w:val="en-US"/>
              </w:rPr>
            </w:pPr>
          </w:p>
        </w:tc>
        <w:tc>
          <w:tcPr>
            <w:tcW w:w="0" w:type="auto"/>
            <w:shd w:val="clear" w:color="auto" w:fill="auto"/>
            <w:noWrap/>
            <w:hideMark/>
          </w:tcPr>
          <w:p w:rsidR="00B35ECC" w:rsidRPr="00CC18AA" w:rsidRDefault="00B35ECC" w:rsidP="00CC18AA">
            <w:pPr>
              <w:spacing w:before="60" w:after="60"/>
              <w:jc w:val="left"/>
              <w:rPr>
                <w:rFonts w:cs="Arial"/>
                <w:color w:val="000000"/>
                <w:szCs w:val="20"/>
                <w:lang w:val="en-US"/>
              </w:rPr>
            </w:pPr>
            <w:r w:rsidRPr="00CC18AA">
              <w:rPr>
                <w:rFonts w:cs="Arial"/>
                <w:color w:val="000000"/>
                <w:szCs w:val="20"/>
                <w:lang w:val="en-US"/>
              </w:rPr>
              <w:t>Moomin Creek</w:t>
            </w:r>
          </w:p>
        </w:tc>
        <w:tc>
          <w:tcPr>
            <w:tcW w:w="0" w:type="auto"/>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12</w:t>
            </w:r>
          </w:p>
        </w:tc>
        <w:tc>
          <w:tcPr>
            <w:tcW w:w="0" w:type="auto"/>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6</w:t>
            </w:r>
          </w:p>
        </w:tc>
        <w:tc>
          <w:tcPr>
            <w:tcW w:w="0" w:type="auto"/>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8</w:t>
            </w:r>
          </w:p>
        </w:tc>
        <w:tc>
          <w:tcPr>
            <w:tcW w:w="0" w:type="auto"/>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25</w:t>
            </w:r>
          </w:p>
        </w:tc>
        <w:tc>
          <w:tcPr>
            <w:tcW w:w="0" w:type="auto"/>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120</w:t>
            </w:r>
          </w:p>
        </w:tc>
      </w:tr>
      <w:tr w:rsidR="00CC18AA" w:rsidRPr="005D4453" w:rsidTr="00CC18AA">
        <w:trPr>
          <w:trHeight w:val="300"/>
        </w:trPr>
        <w:tc>
          <w:tcPr>
            <w:tcW w:w="0" w:type="auto"/>
            <w:vMerge/>
            <w:shd w:val="clear" w:color="auto" w:fill="auto"/>
            <w:hideMark/>
          </w:tcPr>
          <w:p w:rsidR="00B35ECC" w:rsidRPr="00CC18AA" w:rsidRDefault="00B35ECC" w:rsidP="00CC18AA">
            <w:pPr>
              <w:spacing w:before="60" w:after="60"/>
              <w:jc w:val="left"/>
              <w:rPr>
                <w:rFonts w:cs="Arial"/>
                <w:bCs/>
                <w:color w:val="000000"/>
                <w:szCs w:val="20"/>
                <w:lang w:val="en-US"/>
              </w:rPr>
            </w:pPr>
          </w:p>
        </w:tc>
        <w:tc>
          <w:tcPr>
            <w:tcW w:w="0" w:type="auto"/>
            <w:shd w:val="clear" w:color="auto" w:fill="auto"/>
            <w:noWrap/>
            <w:hideMark/>
          </w:tcPr>
          <w:p w:rsidR="00B35ECC" w:rsidRPr="00CC18AA" w:rsidRDefault="00B35ECC" w:rsidP="00CC18AA">
            <w:pPr>
              <w:spacing w:before="60" w:after="60"/>
              <w:jc w:val="left"/>
              <w:rPr>
                <w:rFonts w:cs="Arial"/>
                <w:color w:val="000000"/>
                <w:szCs w:val="20"/>
                <w:lang w:val="en-US"/>
              </w:rPr>
            </w:pPr>
            <w:r w:rsidRPr="00CC18AA">
              <w:rPr>
                <w:rFonts w:cs="Arial"/>
                <w:color w:val="000000"/>
                <w:szCs w:val="20"/>
                <w:lang w:val="en-US"/>
              </w:rPr>
              <w:t>Mallowa Creek</w:t>
            </w:r>
          </w:p>
        </w:tc>
        <w:tc>
          <w:tcPr>
            <w:tcW w:w="0" w:type="auto"/>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15*</w:t>
            </w:r>
          </w:p>
        </w:tc>
        <w:tc>
          <w:tcPr>
            <w:tcW w:w="0" w:type="auto"/>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3*</w:t>
            </w:r>
          </w:p>
        </w:tc>
        <w:tc>
          <w:tcPr>
            <w:tcW w:w="0" w:type="auto"/>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19*</w:t>
            </w:r>
          </w:p>
        </w:tc>
        <w:tc>
          <w:tcPr>
            <w:tcW w:w="0" w:type="auto"/>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26</w:t>
            </w:r>
          </w:p>
        </w:tc>
        <w:tc>
          <w:tcPr>
            <w:tcW w:w="0" w:type="auto"/>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142</w:t>
            </w:r>
          </w:p>
        </w:tc>
      </w:tr>
    </w:tbl>
    <w:p w:rsidR="00B35ECC" w:rsidRPr="004223E0" w:rsidRDefault="00B35ECC" w:rsidP="00B35ECC">
      <w:pPr>
        <w:pStyle w:val="Bullets1"/>
        <w:numPr>
          <w:ilvl w:val="0"/>
          <w:numId w:val="0"/>
        </w:numPr>
        <w:rPr>
          <w:sz w:val="16"/>
          <w:szCs w:val="16"/>
        </w:rPr>
      </w:pPr>
      <w:r w:rsidRPr="004223E0">
        <w:rPr>
          <w:sz w:val="16"/>
          <w:szCs w:val="16"/>
        </w:rPr>
        <w:t>* Mallowa Creek lacks a downstream gauging station.  Connection is described as ‘wet’ periods where &gt;5ML/day water enters the system through the Regulator (refer Methods)</w:t>
      </w:r>
    </w:p>
    <w:p w:rsidR="003046CC" w:rsidRDefault="003046CC" w:rsidP="00B35ECC"/>
    <w:p w:rsidR="00B35ECC" w:rsidRDefault="00B35ECC" w:rsidP="00B35ECC">
      <w:r>
        <w:t>Connection in the Gwydir River channel was dominated by a 71 day connection event over the summer period (</w:t>
      </w:r>
      <w:r>
        <w:fldChar w:fldCharType="begin"/>
      </w:r>
      <w:r>
        <w:instrText xml:space="preserve"> REF _Ref455579171 \h </w:instrText>
      </w:r>
      <w:r>
        <w:fldChar w:fldCharType="separate"/>
      </w:r>
      <w:r w:rsidR="005D5925">
        <w:t xml:space="preserve">Figure </w:t>
      </w:r>
      <w:r w:rsidR="005D5925">
        <w:rPr>
          <w:noProof/>
        </w:rPr>
        <w:t>A</w:t>
      </w:r>
      <w:r w:rsidR="005D5925">
        <w:noBreakHyphen/>
      </w:r>
      <w:r w:rsidR="005D5925">
        <w:rPr>
          <w:noProof/>
        </w:rPr>
        <w:t>2</w:t>
      </w:r>
      <w:r>
        <w:fldChar w:fldCharType="end"/>
      </w:r>
      <w:r>
        <w:t xml:space="preserve">).  Three separate environmental flows were released during this period </w:t>
      </w:r>
      <w:r w:rsidR="000F6A14">
        <w:t>that</w:t>
      </w:r>
      <w:r>
        <w:t xml:space="preserve"> maintained connectivity.  The third flow in this series, delivered in late January, restored connectivity after a brief disconnection of two days to provide another short connection event lasting 11 days.  Four other periods of connection, lasting between six and 21 days occurred during the 2015-16 water year, primarily driven by environmental water deliveries.  Connectivity in this section occurred through spring, summer and autumn with no connectivity recorded in winter.</w:t>
      </w:r>
    </w:p>
    <w:p w:rsidR="003046CC" w:rsidRDefault="003046CC" w:rsidP="00B35ECC">
      <w:r>
        <w:t>Connectivity in the lower Gwydir River channel was characterised by multiple short to moderate periods of connectivity ranging between three and 30 days (</w:t>
      </w:r>
      <w:r>
        <w:fldChar w:fldCharType="begin"/>
      </w:r>
      <w:r>
        <w:instrText xml:space="preserve"> REF _Ref455579183 \h </w:instrText>
      </w:r>
      <w:r>
        <w:fldChar w:fldCharType="separate"/>
      </w:r>
      <w:r w:rsidR="005D5925">
        <w:t xml:space="preserve">Figure </w:t>
      </w:r>
      <w:r w:rsidR="005D5925">
        <w:rPr>
          <w:noProof/>
        </w:rPr>
        <w:t>A</w:t>
      </w:r>
      <w:r w:rsidR="005D5925">
        <w:noBreakHyphen/>
      </w:r>
      <w:r w:rsidR="005D5925">
        <w:rPr>
          <w:noProof/>
        </w:rPr>
        <w:t>3</w:t>
      </w:r>
      <w:r>
        <w:fldChar w:fldCharType="end"/>
      </w:r>
      <w:r>
        <w:t xml:space="preserve">).  The longest periods of connectivity occurred during winter and spring (July 2015 – October 2015) with three separate events of 22, 29 and 30 days duration, separated by small disconnection periods of two and three days.  The earliest of these connection events was a continuation of a rainfall driven event that occurred in late June 2015.  Environmental water contributed to one short period of connectivity in late January to early February 2016 that aimed to reinstate supplementary flow abstracted from this channel. </w:t>
      </w:r>
    </w:p>
    <w:p w:rsidR="00B35ECC" w:rsidRDefault="004176FF" w:rsidP="00B35ECC">
      <w:pPr>
        <w:spacing w:line="240" w:lineRule="auto"/>
      </w:pPr>
      <w:r w:rsidRPr="008F5E11">
        <w:rPr>
          <w:noProof/>
          <w:lang w:eastAsia="en-AU"/>
        </w:rPr>
        <w:drawing>
          <wp:inline distT="0" distB="0" distL="0" distR="0">
            <wp:extent cx="5791200" cy="3657600"/>
            <wp:effectExtent l="0" t="0" r="0" b="0"/>
            <wp:docPr id="2"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832A5" w:rsidRDefault="00B35ECC" w:rsidP="00E23B8D">
      <w:pPr>
        <w:pStyle w:val="Caption"/>
        <w:spacing w:after="360"/>
      </w:pPr>
      <w:bookmarkStart w:id="6" w:name="_Ref455579171"/>
      <w:r>
        <w:t xml:space="preserve">Figure </w:t>
      </w:r>
      <w:fldSimple w:instr=" STYLEREF 6 \s ">
        <w:r w:rsidR="00673DAF">
          <w:rPr>
            <w:noProof/>
          </w:rPr>
          <w:t>A</w:t>
        </w:r>
      </w:fldSimple>
      <w:r w:rsidR="00673DAF">
        <w:noBreakHyphen/>
      </w:r>
      <w:fldSimple w:instr=" SEQ Figure \* ARABIC \s 6 ">
        <w:r w:rsidR="00673DAF">
          <w:rPr>
            <w:noProof/>
          </w:rPr>
          <w:t>2</w:t>
        </w:r>
      </w:fldSimple>
      <w:bookmarkEnd w:id="6"/>
      <w:r>
        <w:t xml:space="preserve"> River flows down the Gwydir River and the timing of environmental water releases and longitudinal connectivity down this channel</w:t>
      </w:r>
    </w:p>
    <w:p w:rsidR="00B35ECC" w:rsidRDefault="004176FF" w:rsidP="00B35ECC">
      <w:pPr>
        <w:keepNext/>
        <w:spacing w:line="240" w:lineRule="auto"/>
      </w:pPr>
      <w:r w:rsidRPr="008F5E11">
        <w:rPr>
          <w:noProof/>
          <w:lang w:eastAsia="en-AU"/>
        </w:rPr>
        <w:drawing>
          <wp:inline distT="0" distB="0" distL="0" distR="0">
            <wp:extent cx="5838825" cy="3629025"/>
            <wp:effectExtent l="0" t="0" r="0" b="0"/>
            <wp:docPr id="3"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F23F1" w:rsidRDefault="00B35ECC" w:rsidP="00B35ECC">
      <w:pPr>
        <w:pStyle w:val="Caption"/>
      </w:pPr>
      <w:bookmarkStart w:id="7" w:name="_Ref455579183"/>
      <w:r>
        <w:t xml:space="preserve">Figure </w:t>
      </w:r>
      <w:fldSimple w:instr=" STYLEREF 6 \s ">
        <w:r w:rsidR="00673DAF">
          <w:rPr>
            <w:noProof/>
          </w:rPr>
          <w:t>A</w:t>
        </w:r>
      </w:fldSimple>
      <w:r w:rsidR="00673DAF">
        <w:noBreakHyphen/>
      </w:r>
      <w:fldSimple w:instr=" SEQ Figure \* ARABIC \s 6 ">
        <w:r w:rsidR="00673DAF">
          <w:rPr>
            <w:noProof/>
          </w:rPr>
          <w:t>3</w:t>
        </w:r>
      </w:fldSimple>
      <w:bookmarkEnd w:id="7"/>
      <w:r>
        <w:t xml:space="preserve"> </w:t>
      </w:r>
      <w:r w:rsidRPr="0029426E">
        <w:t>River flows down the</w:t>
      </w:r>
      <w:r>
        <w:t xml:space="preserve"> </w:t>
      </w:r>
      <w:r w:rsidR="001C3C04">
        <w:t>lower</w:t>
      </w:r>
      <w:r w:rsidRPr="0029426E">
        <w:t xml:space="preserve"> Gwydir River and the timing of environmental water releases and longitudinal connectivity down this channel.</w:t>
      </w:r>
    </w:p>
    <w:p w:rsidR="00B35ECC" w:rsidRDefault="003046CC" w:rsidP="005F23F1">
      <w:r>
        <w:br w:type="page"/>
      </w:r>
      <w:r w:rsidR="00B35ECC" w:rsidRPr="00274DCC">
        <w:t xml:space="preserve">There was limited connectivity in the Gingham </w:t>
      </w:r>
      <w:r w:rsidR="001C3C04">
        <w:t>watercourse</w:t>
      </w:r>
      <w:r w:rsidR="00B35ECC" w:rsidRPr="00274DCC">
        <w:t xml:space="preserve"> during the 2015-16 water year (</w:t>
      </w:r>
      <w:r w:rsidR="00B35ECC" w:rsidRPr="00034C11">
        <w:fldChar w:fldCharType="begin"/>
      </w:r>
      <w:r w:rsidR="00B35ECC" w:rsidRPr="00274DCC">
        <w:instrText xml:space="preserve"> REF _Ref455579194 \h  \* MERGEFORMAT </w:instrText>
      </w:r>
      <w:r w:rsidR="00B35ECC" w:rsidRPr="00034C11">
        <w:fldChar w:fldCharType="separate"/>
      </w:r>
      <w:r w:rsidR="005D5925">
        <w:t>Figure A</w:t>
      </w:r>
      <w:r w:rsidR="005D5925">
        <w:noBreakHyphen/>
        <w:t>4</w:t>
      </w:r>
      <w:r w:rsidR="00B35ECC" w:rsidRPr="00034C11">
        <w:fldChar w:fldCharType="end"/>
      </w:r>
      <w:r w:rsidR="00B35ECC" w:rsidRPr="00274DCC">
        <w:t>).  The earliest of five days duration in July 2015 was a continuation of a rainfall driven event that occurred in late June of 2015.  Two other periods of connection occurred in late July/August 2015 and late August/September 2015 of 19 and 23 days duration respectively</w:t>
      </w:r>
      <w:r w:rsidR="00B35ECC">
        <w:t xml:space="preserve"> which were also rainfall driven.  There was a single environmental release </w:t>
      </w:r>
      <w:r w:rsidR="00F7561F">
        <w:t xml:space="preserve">in January 2016 </w:t>
      </w:r>
      <w:r w:rsidR="00B35ECC">
        <w:t xml:space="preserve">accounted for in the Gingham </w:t>
      </w:r>
      <w:r w:rsidR="001C3C04">
        <w:t>watercourse</w:t>
      </w:r>
      <w:r w:rsidR="00F7561F">
        <w:t>.</w:t>
      </w:r>
      <w:r w:rsidR="00B35ECC">
        <w:t xml:space="preserve"> While this didn’t connect the system all the way to Gingham Bridge it increase</w:t>
      </w:r>
      <w:r w:rsidR="00F7561F">
        <w:t>d</w:t>
      </w:r>
      <w:r w:rsidR="00B35ECC">
        <w:t xml:space="preserve"> flow through the system and </w:t>
      </w:r>
      <w:r w:rsidR="00F7561F">
        <w:t>increased</w:t>
      </w:r>
      <w:r w:rsidR="00B35ECC">
        <w:t xml:space="preserve"> </w:t>
      </w:r>
      <w:r w:rsidR="00F7561F">
        <w:t xml:space="preserve">water </w:t>
      </w:r>
      <w:r w:rsidR="00B35ECC">
        <w:t>levels in Gingham Waterhole.</w:t>
      </w:r>
    </w:p>
    <w:p w:rsidR="00B35ECC" w:rsidRDefault="00B35ECC" w:rsidP="00B35ECC">
      <w:pPr>
        <w:rPr>
          <w:lang w:val="en-US"/>
        </w:rPr>
      </w:pPr>
      <w:r>
        <w:rPr>
          <w:lang w:val="en-US"/>
        </w:rPr>
        <w:t xml:space="preserve">The lack of a gauging station at the furthest downstream extent of the </w:t>
      </w:r>
      <w:r w:rsidR="001C3C04">
        <w:rPr>
          <w:lang w:val="en-US"/>
        </w:rPr>
        <w:t>lower</w:t>
      </w:r>
      <w:r>
        <w:rPr>
          <w:lang w:val="en-US"/>
        </w:rPr>
        <w:t xml:space="preserve"> Gwydir wetlands precluded analysis of longitudinal connectivity through the entire wetland area using the current methods.  However, observations from a monitoring camera at Wandoona Waterhole in the western wetlands suggests that water was flowing into this wetland from July 2015 (a continuation of flows which commenced in April 2015) through to November 2015, and again in late January – early February 2016.  This suggests that environmental </w:t>
      </w:r>
      <w:r w:rsidR="00F7561F">
        <w:rPr>
          <w:lang w:val="en-US"/>
        </w:rPr>
        <w:t>water</w:t>
      </w:r>
      <w:r>
        <w:rPr>
          <w:lang w:val="en-US"/>
        </w:rPr>
        <w:t xml:space="preserve"> released in January 2016 made it through to the western extent of this wetland.</w:t>
      </w:r>
    </w:p>
    <w:p w:rsidR="00E23B8D" w:rsidRDefault="00E23B8D" w:rsidP="00B35ECC">
      <w:r>
        <w:t>Connectivity in the Mehi River was restricted to two short events of three and 15 days in late August 2015 and late January 2016 respectively (</w:t>
      </w:r>
      <w:r>
        <w:fldChar w:fldCharType="begin"/>
      </w:r>
      <w:r>
        <w:instrText xml:space="preserve"> REF _Ref455579202 \h  \* MERGEFORMAT </w:instrText>
      </w:r>
      <w:r>
        <w:fldChar w:fldCharType="separate"/>
      </w:r>
      <w:r w:rsidR="005D5925">
        <w:t xml:space="preserve">Figure </w:t>
      </w:r>
      <w:r w:rsidR="005D5925">
        <w:rPr>
          <w:noProof/>
        </w:rPr>
        <w:t>A</w:t>
      </w:r>
      <w:r w:rsidR="005D5925">
        <w:rPr>
          <w:noProof/>
        </w:rPr>
        <w:noBreakHyphen/>
        <w:t>5</w:t>
      </w:r>
      <w:r>
        <w:fldChar w:fldCharType="end"/>
      </w:r>
      <w:r>
        <w:t>).  Environmental water released in late January 2016 contributed to the second connection event. Other environmental water releases in November 2015 and early January 2016 had no direct impact on full connectivity in the Mehi River, due to diversion of this water into the Mallowa system.</w:t>
      </w:r>
    </w:p>
    <w:p w:rsidR="003046CC" w:rsidRPr="003046CC" w:rsidRDefault="003046CC" w:rsidP="00B35ECC"/>
    <w:p w:rsidR="00B35ECC" w:rsidRDefault="004176FF" w:rsidP="00B35ECC">
      <w:pPr>
        <w:keepNext/>
        <w:spacing w:line="240" w:lineRule="auto"/>
      </w:pPr>
      <w:r w:rsidRPr="008F5E11">
        <w:rPr>
          <w:noProof/>
          <w:lang w:eastAsia="en-AU"/>
        </w:rPr>
        <w:drawing>
          <wp:inline distT="0" distB="0" distL="0" distR="0">
            <wp:extent cx="5895975" cy="4286250"/>
            <wp:effectExtent l="0" t="0" r="0" b="0"/>
            <wp:docPr id="4"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35ECC" w:rsidRDefault="00B35ECC" w:rsidP="005D4453">
      <w:pPr>
        <w:pStyle w:val="Caption"/>
        <w:spacing w:after="360"/>
      </w:pPr>
      <w:bookmarkStart w:id="8" w:name="_Ref455579194"/>
      <w:r>
        <w:t xml:space="preserve">Figure </w:t>
      </w:r>
      <w:fldSimple w:instr=" STYLEREF 6 \s ">
        <w:r w:rsidR="00673DAF">
          <w:rPr>
            <w:noProof/>
          </w:rPr>
          <w:t>A</w:t>
        </w:r>
      </w:fldSimple>
      <w:r w:rsidR="00673DAF">
        <w:noBreakHyphen/>
      </w:r>
      <w:fldSimple w:instr=" SEQ Figure \* ARABIC \s 6 ">
        <w:r w:rsidR="00673DAF">
          <w:rPr>
            <w:noProof/>
          </w:rPr>
          <w:t>4</w:t>
        </w:r>
      </w:fldSimple>
      <w:bookmarkEnd w:id="8"/>
      <w:r>
        <w:t xml:space="preserve"> </w:t>
      </w:r>
      <w:r w:rsidRPr="003E4BEA">
        <w:t xml:space="preserve">River flows down the </w:t>
      </w:r>
      <w:r>
        <w:t xml:space="preserve">Gingham </w:t>
      </w:r>
      <w:r w:rsidR="001C3C04">
        <w:t>watercourse</w:t>
      </w:r>
      <w:r w:rsidRPr="003E4BEA">
        <w:t xml:space="preserve"> and the timing of environmental water releases and longitudinal connectivity down this channel.</w:t>
      </w:r>
    </w:p>
    <w:p w:rsidR="00B35ECC" w:rsidRDefault="004176FF" w:rsidP="00B35ECC">
      <w:pPr>
        <w:keepNext/>
        <w:spacing w:line="240" w:lineRule="auto"/>
      </w:pPr>
      <w:r w:rsidRPr="008F5E11">
        <w:rPr>
          <w:noProof/>
          <w:lang w:eastAsia="en-AU"/>
        </w:rPr>
        <w:drawing>
          <wp:inline distT="0" distB="0" distL="0" distR="0">
            <wp:extent cx="5819775" cy="3409950"/>
            <wp:effectExtent l="0" t="0" r="0" b="0"/>
            <wp:docPr id="5"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82B27" w:rsidRDefault="00B35ECC" w:rsidP="00E23B8D">
      <w:pPr>
        <w:pStyle w:val="Caption"/>
        <w:spacing w:after="360"/>
      </w:pPr>
      <w:bookmarkStart w:id="9" w:name="_Ref455579202"/>
      <w:r>
        <w:t xml:space="preserve">Figure </w:t>
      </w:r>
      <w:fldSimple w:instr=" STYLEREF 6 \s ">
        <w:r w:rsidR="00673DAF">
          <w:rPr>
            <w:noProof/>
          </w:rPr>
          <w:t>A</w:t>
        </w:r>
      </w:fldSimple>
      <w:r w:rsidR="00673DAF">
        <w:noBreakHyphen/>
      </w:r>
      <w:fldSimple w:instr=" SEQ Figure \* ARABIC \s 6 ">
        <w:r w:rsidR="00673DAF">
          <w:rPr>
            <w:noProof/>
          </w:rPr>
          <w:t>5</w:t>
        </w:r>
      </w:fldSimple>
      <w:bookmarkEnd w:id="9"/>
      <w:r>
        <w:t xml:space="preserve"> </w:t>
      </w:r>
      <w:r w:rsidRPr="003427CC">
        <w:t xml:space="preserve">River flows down the </w:t>
      </w:r>
      <w:r>
        <w:t>Mehi</w:t>
      </w:r>
      <w:r w:rsidRPr="003427CC">
        <w:t xml:space="preserve"> River and the timing of environmental water releases and longitudinal connectivity down this channel.</w:t>
      </w:r>
    </w:p>
    <w:p w:rsidR="00B35ECC" w:rsidRDefault="00B35ECC" w:rsidP="00B35ECC">
      <w:r>
        <w:t>Connectivity in Moomin Creek was limited in 2015-16 (</w:t>
      </w:r>
      <w:r>
        <w:fldChar w:fldCharType="begin"/>
      </w:r>
      <w:r>
        <w:instrText xml:space="preserve"> REF _Ref455579214 \h  \* MERGEFORMAT </w:instrText>
      </w:r>
      <w:r>
        <w:fldChar w:fldCharType="separate"/>
      </w:r>
      <w:r w:rsidR="005D5925">
        <w:t xml:space="preserve">Figure </w:t>
      </w:r>
      <w:r w:rsidR="005D5925">
        <w:rPr>
          <w:noProof/>
        </w:rPr>
        <w:t>A</w:t>
      </w:r>
      <w:r w:rsidR="005D5925">
        <w:rPr>
          <w:noProof/>
        </w:rPr>
        <w:noBreakHyphen/>
        <w:t>6</w:t>
      </w:r>
      <w:r>
        <w:fldChar w:fldCharType="end"/>
      </w:r>
      <w:r>
        <w:t>).  The longest periods of connectivity occurred in late July/early August and late August in response to rainfall (25 and 10 days respectively).  Four other brief periods of connection occurred throughout the water year of between two and ten days duration aided by stock and domestic deliveries.  No environmental water was delivered into Moomin Creek in the 2015-16 water year.</w:t>
      </w:r>
    </w:p>
    <w:p w:rsidR="00B35ECC" w:rsidRDefault="004176FF" w:rsidP="00B35ECC">
      <w:pPr>
        <w:keepNext/>
        <w:spacing w:line="240" w:lineRule="auto"/>
      </w:pPr>
      <w:r w:rsidRPr="008F5E11">
        <w:rPr>
          <w:noProof/>
          <w:lang w:eastAsia="en-AU"/>
        </w:rPr>
        <w:drawing>
          <wp:inline distT="0" distB="0" distL="0" distR="0">
            <wp:extent cx="5791200" cy="3486150"/>
            <wp:effectExtent l="0" t="0" r="0" b="0"/>
            <wp:docPr id="6"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73B42" w:rsidRPr="00573B42" w:rsidRDefault="00B35ECC" w:rsidP="005D4453">
      <w:pPr>
        <w:pStyle w:val="Caption"/>
        <w:spacing w:after="360"/>
      </w:pPr>
      <w:bookmarkStart w:id="10" w:name="_Ref455579214"/>
      <w:r>
        <w:t xml:space="preserve">Figure </w:t>
      </w:r>
      <w:fldSimple w:instr=" STYLEREF 6 \s ">
        <w:r w:rsidR="00673DAF">
          <w:rPr>
            <w:noProof/>
          </w:rPr>
          <w:t>A</w:t>
        </w:r>
      </w:fldSimple>
      <w:r w:rsidR="00673DAF">
        <w:noBreakHyphen/>
      </w:r>
      <w:fldSimple w:instr=" SEQ Figure \* ARABIC \s 6 ">
        <w:r w:rsidR="00673DAF">
          <w:rPr>
            <w:noProof/>
          </w:rPr>
          <w:t>6</w:t>
        </w:r>
      </w:fldSimple>
      <w:bookmarkEnd w:id="10"/>
      <w:r>
        <w:t xml:space="preserve"> </w:t>
      </w:r>
      <w:r w:rsidRPr="00D20A5B">
        <w:t xml:space="preserve">River flows down </w:t>
      </w:r>
      <w:r>
        <w:t>Moomin Creek</w:t>
      </w:r>
      <w:r w:rsidRPr="00D20A5B">
        <w:t xml:space="preserve"> and the timing of environmental water releases and longitudinal connectivity down this channel.</w:t>
      </w:r>
    </w:p>
    <w:p w:rsidR="00B35ECC" w:rsidRDefault="00B35ECC" w:rsidP="00B35ECC">
      <w:r>
        <w:t>Environmental water was delivered to Mallowa Creek on three occasions in the 2015-16 water year (</w:t>
      </w:r>
      <w:r>
        <w:fldChar w:fldCharType="begin"/>
      </w:r>
      <w:r>
        <w:instrText xml:space="preserve"> REF _Ref455579223 \h  \* MERGEFORMAT </w:instrText>
      </w:r>
      <w:r>
        <w:fldChar w:fldCharType="separate"/>
      </w:r>
      <w:r w:rsidR="005D5925">
        <w:t xml:space="preserve">Figure </w:t>
      </w:r>
      <w:r w:rsidR="005D5925">
        <w:rPr>
          <w:noProof/>
        </w:rPr>
        <w:t>A</w:t>
      </w:r>
      <w:r w:rsidR="005D5925">
        <w:rPr>
          <w:noProof/>
        </w:rPr>
        <w:noBreakHyphen/>
        <w:t>7</w:t>
      </w:r>
      <w:r>
        <w:fldChar w:fldCharType="end"/>
      </w:r>
      <w:r>
        <w:t>).  These environmental flows were the main contribution of flow to the Mallowa system during this water year.</w:t>
      </w:r>
    </w:p>
    <w:p w:rsidR="003046CC" w:rsidRDefault="003046CC" w:rsidP="00B35ECC"/>
    <w:p w:rsidR="00B35ECC" w:rsidRDefault="004176FF" w:rsidP="00B35ECC">
      <w:pPr>
        <w:keepNext/>
        <w:spacing w:line="240" w:lineRule="auto"/>
      </w:pPr>
      <w:r w:rsidRPr="008F5E11">
        <w:rPr>
          <w:noProof/>
          <w:lang w:eastAsia="en-AU"/>
        </w:rPr>
        <w:drawing>
          <wp:inline distT="0" distB="0" distL="0" distR="0">
            <wp:extent cx="5867400" cy="3324225"/>
            <wp:effectExtent l="0" t="0" r="0" b="0"/>
            <wp:docPr id="7"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D4453" w:rsidRDefault="00B35ECC" w:rsidP="00B35ECC">
      <w:pPr>
        <w:pStyle w:val="Caption"/>
      </w:pPr>
      <w:bookmarkStart w:id="11" w:name="_Ref455579223"/>
      <w:r>
        <w:t xml:space="preserve">Figure </w:t>
      </w:r>
      <w:fldSimple w:instr=" STYLEREF 6 \s ">
        <w:r w:rsidR="00673DAF">
          <w:rPr>
            <w:noProof/>
          </w:rPr>
          <w:t>A</w:t>
        </w:r>
      </w:fldSimple>
      <w:r w:rsidR="00673DAF">
        <w:noBreakHyphen/>
      </w:r>
      <w:fldSimple w:instr=" SEQ Figure \* ARABIC \s 6 ">
        <w:r w:rsidR="00673DAF">
          <w:rPr>
            <w:noProof/>
          </w:rPr>
          <w:t>7</w:t>
        </w:r>
      </w:fldSimple>
      <w:bookmarkEnd w:id="11"/>
      <w:r>
        <w:t xml:space="preserve"> </w:t>
      </w:r>
      <w:r w:rsidRPr="003745DD">
        <w:t xml:space="preserve">River flows down </w:t>
      </w:r>
      <w:r>
        <w:t>Mallowa Creek</w:t>
      </w:r>
      <w:r w:rsidRPr="003745DD">
        <w:t xml:space="preserve"> and the timing of environmental water releas</w:t>
      </w:r>
      <w:r>
        <w:t>es and 'wet' periods in</w:t>
      </w:r>
      <w:r w:rsidRPr="003745DD">
        <w:t xml:space="preserve"> this channel.</w:t>
      </w:r>
    </w:p>
    <w:p w:rsidR="00B35ECC" w:rsidRDefault="00B35ECC" w:rsidP="009C1DAC">
      <w:pPr>
        <w:pStyle w:val="Heading7"/>
      </w:pPr>
      <w:r>
        <w:t>Discussion</w:t>
      </w:r>
    </w:p>
    <w:p w:rsidR="00B35ECC" w:rsidRDefault="00B35ECC" w:rsidP="00B35ECC">
      <w:pPr>
        <w:rPr>
          <w:lang w:val="en-US"/>
        </w:rPr>
      </w:pPr>
      <w:r>
        <w:rPr>
          <w:lang w:val="en-US"/>
        </w:rPr>
        <w:t>The environmental watering strategy for the Selected Area employs a multi-year wetting and drying strategy in which 2015-16 was a planned dry year, with the application of environmental water aimed largely at maintaining in-channel flow rather than large-scale wetland inundation.  Local rainfall, irrigation and stock and domestic deliveries contributed to flows in all channels except Mallowa Creek in which flow was almost entirely dependent on environmental water releases.  Environmental water was targeted at Mallowa Creek and associated wetlands in the 2015-16 water year as part of a watering commitment to support an ongoing rehabilitation project in that system.</w:t>
      </w:r>
    </w:p>
    <w:p w:rsidR="00B35ECC" w:rsidRDefault="00B35ECC" w:rsidP="00B35ECC">
      <w:pPr>
        <w:rPr>
          <w:lang w:val="en-US"/>
        </w:rPr>
      </w:pPr>
      <w:r>
        <w:rPr>
          <w:lang w:val="en-US"/>
        </w:rPr>
        <w:t xml:space="preserve">Longitudinal connectivity was greatest along the Gwydir and </w:t>
      </w:r>
      <w:r w:rsidR="001C3C04">
        <w:rPr>
          <w:lang w:val="en-US"/>
        </w:rPr>
        <w:t>lower</w:t>
      </w:r>
      <w:r>
        <w:rPr>
          <w:lang w:val="en-US"/>
        </w:rPr>
        <w:t xml:space="preserve"> Gwydir River reaches during 2015-16, characterised by multiple medium to long duration events.  Connectivity in these reaches was seldom dependent on environmental water releases with many connection events associated with rainfall.  Connectivity in all other channels was sporadic and generally brief.  </w:t>
      </w:r>
    </w:p>
    <w:p w:rsidR="00B35ECC" w:rsidRDefault="00B35ECC" w:rsidP="009C1DAC">
      <w:pPr>
        <w:pStyle w:val="Heading7"/>
      </w:pPr>
      <w:r>
        <w:t>Conclusion</w:t>
      </w:r>
      <w:r w:rsidRPr="00CD2E2F">
        <w:t xml:space="preserve"> </w:t>
      </w:r>
    </w:p>
    <w:p w:rsidR="00B35ECC" w:rsidRDefault="00B35ECC" w:rsidP="00B35ECC">
      <w:r>
        <w:t xml:space="preserve">Environmental water contributed to connectivity in the Gwydir, </w:t>
      </w:r>
      <w:r w:rsidR="001C3C04">
        <w:t>lower</w:t>
      </w:r>
      <w:r>
        <w:t xml:space="preserve"> Gwydir and Mehi River channels and was responsible for all significant flow in Mallowa Creek during 2015-16.  Full connectivity in the Gingham </w:t>
      </w:r>
      <w:r w:rsidR="001C3C04">
        <w:t>watercourse</w:t>
      </w:r>
      <w:r>
        <w:t xml:space="preserve"> and Moomin Creek was due almost entirely to rainfall events and other water releases associated with stock and domestic use.  As expected in a planned dry </w:t>
      </w:r>
      <w:r w:rsidR="00340152">
        <w:t>y</w:t>
      </w:r>
      <w:r>
        <w:t>ear, connectivity in 2015-16 was markedly reduced compared to 2014-15 where more frequent and sustained deliveries resulted in longer periods of connectivity across all channels.</w:t>
      </w:r>
    </w:p>
    <w:p w:rsidR="00B35ECC" w:rsidRDefault="00B35ECC" w:rsidP="009C1DAC">
      <w:pPr>
        <w:pStyle w:val="Heading7"/>
      </w:pPr>
      <w:r>
        <w:t>References</w:t>
      </w:r>
    </w:p>
    <w:p w:rsidR="00B35ECC" w:rsidRPr="003B535A" w:rsidRDefault="00B35ECC" w:rsidP="00B35ECC">
      <w:r>
        <w:t>Commonwealth of Australia</w:t>
      </w:r>
      <w:r w:rsidR="003B535A">
        <w:t>.</w:t>
      </w:r>
      <w:r>
        <w:t xml:space="preserve"> 2014.</w:t>
      </w:r>
      <w:r w:rsidRPr="004335CD">
        <w:t xml:space="preserve"> </w:t>
      </w:r>
      <w:r w:rsidRPr="00F51322">
        <w:rPr>
          <w:i/>
        </w:rPr>
        <w:t>Commonwealth Environmental Water Office Long Term Intervention Monitoring Project Gwydir River System Selected Area</w:t>
      </w:r>
      <w:r>
        <w:rPr>
          <w:i/>
        </w:rPr>
        <w:t>.</w:t>
      </w:r>
      <w:r w:rsidR="003B535A">
        <w:t xml:space="preserve"> Commonwealth of Australia.</w:t>
      </w:r>
    </w:p>
    <w:p w:rsidR="00B35ECC" w:rsidRDefault="00B35ECC" w:rsidP="00206EC9">
      <w:r>
        <w:t>Commonwealth of Australia</w:t>
      </w:r>
      <w:r w:rsidR="003B535A">
        <w:t>.</w:t>
      </w:r>
      <w:r>
        <w:t xml:space="preserve"> 2015. </w:t>
      </w:r>
      <w:r w:rsidRPr="008A7199">
        <w:rPr>
          <w:i/>
        </w:rPr>
        <w:t>Commonwealth Environmental Water Office Long Term intervention Monitoring Project Gwydir River System Selected Area – 2014-15 Evaluation Report</w:t>
      </w:r>
      <w:r>
        <w:t>.</w:t>
      </w:r>
      <w:r w:rsidR="003B535A">
        <w:t xml:space="preserve"> Commonwealth of Australia.</w:t>
      </w:r>
    </w:p>
    <w:p w:rsidR="00B35ECC" w:rsidRDefault="009F0217" w:rsidP="00B35ECC">
      <w:r>
        <w:t>Gordon, N.</w:t>
      </w:r>
      <w:r w:rsidR="00B35ECC" w:rsidRPr="004335CD">
        <w:t>D., Mc</w:t>
      </w:r>
      <w:r w:rsidR="003B535A">
        <w:t>Mahon T.A. and Finlayson, B.L. 1992</w:t>
      </w:r>
      <w:r w:rsidR="00B35ECC" w:rsidRPr="004335CD">
        <w:t xml:space="preserve">. </w:t>
      </w:r>
      <w:r w:rsidR="00B35ECC" w:rsidRPr="004335CD">
        <w:rPr>
          <w:i/>
          <w:iCs/>
        </w:rPr>
        <w:t xml:space="preserve">Stream Hydrology - An introduction for Ecologists. </w:t>
      </w:r>
      <w:r w:rsidR="00B35ECC" w:rsidRPr="004335CD">
        <w:t>Brisbane, Wiley.</w:t>
      </w:r>
    </w:p>
    <w:p w:rsidR="00B35ECC" w:rsidRDefault="00B35ECC" w:rsidP="00B35ECC">
      <w:pPr>
        <w:sectPr w:rsidR="00B35ECC" w:rsidSect="003046CC">
          <w:headerReference w:type="default" r:id="rId22"/>
          <w:footerReference w:type="default" r:id="rId23"/>
          <w:type w:val="nextColumn"/>
          <w:pgSz w:w="11907" w:h="16839" w:code="9"/>
          <w:pgMar w:top="1418" w:right="1219" w:bottom="1276" w:left="1480" w:header="851" w:footer="306" w:gutter="0"/>
          <w:pgNumType w:chapStyle="6"/>
          <w:cols w:space="708"/>
          <w:docGrid w:linePitch="360"/>
        </w:sectPr>
      </w:pPr>
    </w:p>
    <w:p w:rsidR="00B35ECC" w:rsidRDefault="00B35ECC" w:rsidP="009C1DAC">
      <w:pPr>
        <w:pStyle w:val="Heading6"/>
      </w:pPr>
      <w:bookmarkStart w:id="12" w:name="_Ref457987879"/>
      <w:bookmarkStart w:id="13" w:name="_Ref372640382"/>
      <w:r>
        <w:t>Hydrology (Watercourse)</w:t>
      </w:r>
      <w:bookmarkEnd w:id="12"/>
      <w:r w:rsidRPr="002E188B">
        <w:t xml:space="preserve"> </w:t>
      </w:r>
    </w:p>
    <w:bookmarkEnd w:id="13"/>
    <w:p w:rsidR="00B35ECC" w:rsidRDefault="00B35ECC" w:rsidP="009C1DAC">
      <w:pPr>
        <w:pStyle w:val="Heading7"/>
      </w:pPr>
      <w:r>
        <w:t>Introduction</w:t>
      </w:r>
    </w:p>
    <w:p w:rsidR="00B35ECC" w:rsidRPr="004335CD" w:rsidRDefault="00B35ECC" w:rsidP="00B35ECC">
      <w:r w:rsidRPr="004335CD">
        <w:t xml:space="preserve">The </w:t>
      </w:r>
      <w:r>
        <w:t>l</w:t>
      </w:r>
      <w:r w:rsidRPr="004335CD">
        <w:t xml:space="preserve">ower Gwydir wetlands have long been targets for environmental water due to their extensive wetland vegetation communities and waterholes </w:t>
      </w:r>
      <w:r w:rsidR="00F7561F">
        <w:t>that</w:t>
      </w:r>
      <w:r w:rsidRPr="004335CD">
        <w:t xml:space="preserve"> support many important species (DECCW</w:t>
      </w:r>
      <w:r>
        <w:t xml:space="preserve"> </w:t>
      </w:r>
      <w:r w:rsidRPr="004335CD">
        <w:t xml:space="preserve">2011). </w:t>
      </w:r>
      <w:r w:rsidR="003046CC">
        <w:t xml:space="preserve"> </w:t>
      </w:r>
      <w:r w:rsidRPr="004335CD">
        <w:t xml:space="preserve">Watering targets for the wetlands tend to specify the inundation of particular extents and vegetation communities. </w:t>
      </w:r>
      <w:r w:rsidR="003046CC">
        <w:t xml:space="preserve"> </w:t>
      </w:r>
      <w:r w:rsidRPr="004335CD">
        <w:t xml:space="preserve">Therefore, knowledge of the extent and volume of water held in the wetlands throughout each watering season is essential base information </w:t>
      </w:r>
      <w:r>
        <w:t>from</w:t>
      </w:r>
      <w:r w:rsidRPr="004335CD">
        <w:t xml:space="preserve"> which to evaluate the success </w:t>
      </w:r>
      <w:r w:rsidR="006177FD">
        <w:t xml:space="preserve">of environmental watering. </w:t>
      </w:r>
      <w:r w:rsidR="003046CC">
        <w:t xml:space="preserve"> </w:t>
      </w:r>
      <w:r w:rsidR="006177FD">
        <w:t>The Hydrology (W</w:t>
      </w:r>
      <w:r w:rsidRPr="004335CD">
        <w:t>atercourse) indicator aims to achieve this, by combining information from a range of sources, to build relationships between inflows, inundation extent and volumes of water in the Gwydir and Gingham wetlands.</w:t>
      </w:r>
      <w:r w:rsidR="003046CC">
        <w:t xml:space="preserve"> </w:t>
      </w:r>
      <w:r w:rsidRPr="004335CD">
        <w:t xml:space="preserve"> </w:t>
      </w:r>
      <w:r>
        <w:t xml:space="preserve">Monitoring was expanded in the 2015-16 water year to include the Mehi River and Moomin Creek monitoring zone which incorporates the Mallowa wetlands. </w:t>
      </w:r>
      <w:r w:rsidR="003046CC">
        <w:t xml:space="preserve"> </w:t>
      </w:r>
      <w:r w:rsidRPr="004335CD">
        <w:t>Specifically, this chapter addresses the following question:</w:t>
      </w:r>
    </w:p>
    <w:p w:rsidR="00B35ECC" w:rsidRPr="004335CD" w:rsidRDefault="00B35ECC" w:rsidP="005E1E2E">
      <w:pPr>
        <w:pStyle w:val="Bullets1"/>
        <w:numPr>
          <w:ilvl w:val="0"/>
          <w:numId w:val="10"/>
        </w:numPr>
        <w:spacing w:after="240"/>
        <w:ind w:left="1134" w:hanging="567"/>
      </w:pPr>
      <w:r w:rsidRPr="004335CD">
        <w:t>What did Commonwealth environmental water contribute to hydrological connectivity of the Gingham</w:t>
      </w:r>
      <w:r w:rsidR="006177FD">
        <w:t xml:space="preserve">, </w:t>
      </w:r>
      <w:r w:rsidR="001C3C04">
        <w:t>lower</w:t>
      </w:r>
      <w:r w:rsidR="006177FD">
        <w:t xml:space="preserve"> </w:t>
      </w:r>
      <w:r w:rsidRPr="004335CD">
        <w:t xml:space="preserve">Gwydir </w:t>
      </w:r>
      <w:r w:rsidR="006177FD">
        <w:t>and Mallowa</w:t>
      </w:r>
      <w:r w:rsidR="00F7561F">
        <w:t xml:space="preserve"> w</w:t>
      </w:r>
      <w:r w:rsidRPr="004335CD">
        <w:t>etlands?</w:t>
      </w:r>
    </w:p>
    <w:p w:rsidR="00B35ECC" w:rsidRDefault="00B35ECC" w:rsidP="009C1DAC">
      <w:pPr>
        <w:pStyle w:val="Heading8"/>
      </w:pPr>
      <w:r>
        <w:t>Environmental watering in 2015-16</w:t>
      </w:r>
    </w:p>
    <w:p w:rsidR="00B35ECC" w:rsidRDefault="00B35ECC" w:rsidP="00B35ECC">
      <w:r w:rsidRPr="004335CD">
        <w:t xml:space="preserve">During </w:t>
      </w:r>
      <w:r>
        <w:t>2015-16</w:t>
      </w:r>
      <w:r w:rsidRPr="004335CD">
        <w:t xml:space="preserve"> </w:t>
      </w:r>
      <w:r>
        <w:t xml:space="preserve">Commonwealth </w:t>
      </w:r>
      <w:r w:rsidRPr="004335CD">
        <w:t>environmental water was delivered to a number of assets within the Gwydir River system (</w:t>
      </w:r>
      <w:r w:rsidR="009273DA">
        <w:fldChar w:fldCharType="begin"/>
      </w:r>
      <w:r w:rsidR="009273DA">
        <w:instrText xml:space="preserve"> REF _Ref457987841 \r \h </w:instrText>
      </w:r>
      <w:r w:rsidR="009273DA">
        <w:fldChar w:fldCharType="separate"/>
      </w:r>
      <w:r w:rsidR="005D5925">
        <w:t>Appendix A</w:t>
      </w:r>
      <w:r w:rsidR="009273DA">
        <w:fldChar w:fldCharType="end"/>
      </w:r>
      <w:r w:rsidRPr="004335CD">
        <w:t>).</w:t>
      </w:r>
      <w:r w:rsidR="003046CC">
        <w:t xml:space="preserve"> </w:t>
      </w:r>
      <w:r w:rsidRPr="004335CD">
        <w:t xml:space="preserve"> </w:t>
      </w:r>
      <w:r>
        <w:t>In November 2015, a flow event occurred down the Mehi River and supplementary water licences owned by the CEWO were triggered.</w:t>
      </w:r>
      <w:r w:rsidR="003046CC">
        <w:t xml:space="preserve"> </w:t>
      </w:r>
      <w:r>
        <w:t xml:space="preserve"> A total of 1,300 ML were accounted for with 964 ML of this water flowing down the Mehi River, and 336 ML directed down Mallowa Creek.</w:t>
      </w:r>
    </w:p>
    <w:p w:rsidR="00B35ECC" w:rsidRDefault="00B35ECC" w:rsidP="00B35ECC">
      <w:r>
        <w:t xml:space="preserve">Through January 2016, flows were delivered into the Mallowa Creek system to inundate fringing wetlands in association with </w:t>
      </w:r>
      <w:r w:rsidR="00F7561F">
        <w:t>WaterNSW</w:t>
      </w:r>
      <w:r>
        <w:t xml:space="preserve"> bulk water deliveries. </w:t>
      </w:r>
      <w:r w:rsidR="003046CC">
        <w:t xml:space="preserve"> </w:t>
      </w:r>
      <w:r>
        <w:t xml:space="preserve">Flows were also delivered into the </w:t>
      </w:r>
      <w:r w:rsidR="001C3C04">
        <w:t>lower</w:t>
      </w:r>
      <w:r>
        <w:t xml:space="preserve"> Gwydir River and Gingham watercourse in February 2016, to replace flows that were abstracted in a supplementary flow event. </w:t>
      </w:r>
      <w:r w:rsidR="003046CC">
        <w:t xml:space="preserve"> </w:t>
      </w:r>
      <w:r>
        <w:t xml:space="preserve">While not large in volume, these flows </w:t>
      </w:r>
      <w:r w:rsidR="00F7561F">
        <w:t>made</w:t>
      </w:r>
      <w:r>
        <w:t xml:space="preserve"> it into the wetlands.</w:t>
      </w:r>
    </w:p>
    <w:p w:rsidR="000A32AE" w:rsidRPr="00B8381C" w:rsidRDefault="000A32AE" w:rsidP="00B35ECC">
      <w:r>
        <w:t xml:space="preserve">Due to critically low flows experienced in the lower Gwydir system in March and April 2016, water was delivered down the lower Gwydir, Gingham, Mehi and Carole channels as part of a dry river flow action in early April. </w:t>
      </w:r>
      <w:r w:rsidR="003046CC">
        <w:t xml:space="preserve"> </w:t>
      </w:r>
      <w:r>
        <w:t>This followed a period of 30-40 days of nil flows conditions across the catchment.</w:t>
      </w:r>
    </w:p>
    <w:p w:rsidR="00B35ECC" w:rsidRDefault="00B35ECC" w:rsidP="009C1DAC">
      <w:pPr>
        <w:pStyle w:val="Heading8"/>
      </w:pPr>
      <w:r>
        <w:t>2014-15 monitoring outcomes</w:t>
      </w:r>
    </w:p>
    <w:p w:rsidR="00B35ECC" w:rsidRDefault="00B35ECC" w:rsidP="00B35ECC">
      <w:r>
        <w:t xml:space="preserve">Inundation mapping using Landsat imagery showed that inundation in the </w:t>
      </w:r>
      <w:r w:rsidR="001C3C04">
        <w:t>lower</w:t>
      </w:r>
      <w:r>
        <w:t xml:space="preserve"> Gwydir wetlands was between 20 ha (July 2014) and 2,433 ha (February 2015) during the 2014-15 water year.  Peak inundation followed a period of extended environmental water delivery from October 2015 through to February 20</w:t>
      </w:r>
      <w:r w:rsidR="00F7561F">
        <w:t>16.  Inundation in the Gingham w</w:t>
      </w:r>
      <w:r>
        <w:t xml:space="preserve">etlands was between 96 ha (July 2014) and 3,909 ha (February 2015).  Peak inundation was also linked to delivery of environmental water through the Gingham </w:t>
      </w:r>
      <w:r w:rsidR="001C3C04">
        <w:t>watercourse</w:t>
      </w:r>
      <w:r>
        <w:t>, with an extended delivery to this channel from November 2014 to March 2015.</w:t>
      </w:r>
    </w:p>
    <w:p w:rsidR="00B35ECC" w:rsidRDefault="00B35ECC" w:rsidP="00B35ECC">
      <w:r>
        <w:t xml:space="preserve">At the peak of the inundation extent, seven different vegetation communities in the </w:t>
      </w:r>
      <w:r w:rsidR="001C3C04">
        <w:t>lower</w:t>
      </w:r>
      <w:r>
        <w:t xml:space="preserve"> Gwydir </w:t>
      </w:r>
      <w:r w:rsidR="00F7561F">
        <w:t>w</w:t>
      </w:r>
      <w:r>
        <w:t xml:space="preserve">etlands and 16 vegetation communities in the Gingham </w:t>
      </w:r>
      <w:r w:rsidR="00F7561F">
        <w:t>watercourse</w:t>
      </w:r>
      <w:r>
        <w:t xml:space="preserve"> were inundated.  The extent and volume of inundation in these two wetlands was maintained by rainfall induced flows later in the water year and as a result a range of key semi-permanent and floodplain species were inundated for extended periods of time (4-6 months).</w:t>
      </w:r>
    </w:p>
    <w:p w:rsidR="00B35ECC" w:rsidRDefault="00B35ECC" w:rsidP="009C1DAC">
      <w:pPr>
        <w:pStyle w:val="Heading7"/>
      </w:pPr>
      <w:r>
        <w:t>Methods</w:t>
      </w:r>
    </w:p>
    <w:p w:rsidR="00B35ECC" w:rsidRPr="004335CD" w:rsidRDefault="00B35ECC" w:rsidP="00B35ECC">
      <w:pPr>
        <w:rPr>
          <w:lang w:eastAsia="en-AU"/>
        </w:rPr>
      </w:pPr>
      <w:r>
        <w:rPr>
          <w:lang w:eastAsia="en-AU"/>
        </w:rPr>
        <w:t>Four</w:t>
      </w:r>
      <w:r w:rsidRPr="004335CD">
        <w:rPr>
          <w:lang w:eastAsia="en-AU"/>
        </w:rPr>
        <w:t xml:space="preserve"> data sources w</w:t>
      </w:r>
      <w:r>
        <w:rPr>
          <w:lang w:eastAsia="en-AU"/>
        </w:rPr>
        <w:t>ere</w:t>
      </w:r>
      <w:r w:rsidRPr="004335CD">
        <w:rPr>
          <w:lang w:eastAsia="en-AU"/>
        </w:rPr>
        <w:t xml:space="preserve"> used to build a model of inundation extent and volume in the Gwydir and Gingham systems (Commonwealth of Australia 2015). These included:</w:t>
      </w:r>
    </w:p>
    <w:p w:rsidR="00B35ECC" w:rsidRPr="004335CD" w:rsidRDefault="00B35ECC" w:rsidP="003046CC">
      <w:pPr>
        <w:pStyle w:val="Bullets1"/>
        <w:tabs>
          <w:tab w:val="clear" w:pos="720"/>
          <w:tab w:val="num" w:pos="1134"/>
        </w:tabs>
        <w:ind w:left="1134" w:hanging="567"/>
      </w:pPr>
      <w:r w:rsidRPr="004335CD">
        <w:t>Landsat imagery</w:t>
      </w:r>
    </w:p>
    <w:p w:rsidR="00B35ECC" w:rsidRPr="004335CD" w:rsidRDefault="00B35ECC" w:rsidP="003046CC">
      <w:pPr>
        <w:pStyle w:val="Bullets1"/>
        <w:tabs>
          <w:tab w:val="clear" w:pos="720"/>
          <w:tab w:val="num" w:pos="1134"/>
        </w:tabs>
        <w:ind w:left="1134" w:hanging="567"/>
      </w:pPr>
      <w:r w:rsidRPr="004335CD">
        <w:t>Existing vegetation mapping</w:t>
      </w:r>
    </w:p>
    <w:p w:rsidR="00B35ECC" w:rsidRPr="004335CD" w:rsidRDefault="00B35ECC" w:rsidP="003046CC">
      <w:pPr>
        <w:pStyle w:val="Bullets1"/>
        <w:tabs>
          <w:tab w:val="clear" w:pos="720"/>
          <w:tab w:val="num" w:pos="1134"/>
        </w:tabs>
        <w:ind w:left="1134" w:hanging="567"/>
      </w:pPr>
      <w:r w:rsidRPr="004335CD">
        <w:t>Water level records associated with remote cameras</w:t>
      </w:r>
    </w:p>
    <w:p w:rsidR="00B35ECC" w:rsidRPr="004335CD" w:rsidRDefault="00B35ECC" w:rsidP="003046CC">
      <w:pPr>
        <w:pStyle w:val="Bullets1"/>
        <w:tabs>
          <w:tab w:val="clear" w:pos="720"/>
          <w:tab w:val="num" w:pos="1134"/>
        </w:tabs>
        <w:spacing w:after="240"/>
        <w:ind w:left="1134" w:hanging="567"/>
      </w:pPr>
      <w:r w:rsidRPr="004335CD">
        <w:t>Point water level observations throughout the water year</w:t>
      </w:r>
    </w:p>
    <w:p w:rsidR="00B35ECC" w:rsidRDefault="00B35ECC" w:rsidP="00B35ECC">
      <w:pPr>
        <w:rPr>
          <w:szCs w:val="20"/>
        </w:rPr>
      </w:pPr>
      <w:r w:rsidRPr="004335CD">
        <w:rPr>
          <w:szCs w:val="20"/>
        </w:rPr>
        <w:t>These data sources were scrutinised and combined to produce relationships with inflow, inundation extent and volume.</w:t>
      </w:r>
      <w:r w:rsidR="003046CC">
        <w:rPr>
          <w:szCs w:val="20"/>
        </w:rPr>
        <w:t xml:space="preserve"> </w:t>
      </w:r>
      <w:r w:rsidRPr="004335CD">
        <w:rPr>
          <w:szCs w:val="20"/>
        </w:rPr>
        <w:t xml:space="preserve"> Existing vegetation mapping was used to determine the area and volume of inundation associated with each vegetation community in </w:t>
      </w:r>
      <w:r>
        <w:rPr>
          <w:szCs w:val="20"/>
        </w:rPr>
        <w:t>all three</w:t>
      </w:r>
      <w:r w:rsidRPr="004335CD">
        <w:rPr>
          <w:szCs w:val="20"/>
        </w:rPr>
        <w:t xml:space="preserve"> wetland systems</w:t>
      </w:r>
      <w:r>
        <w:rPr>
          <w:szCs w:val="20"/>
        </w:rPr>
        <w:t xml:space="preserve"> (</w:t>
      </w:r>
      <w:r>
        <w:rPr>
          <w:szCs w:val="20"/>
        </w:rPr>
        <w:fldChar w:fldCharType="begin"/>
      </w:r>
      <w:r>
        <w:rPr>
          <w:szCs w:val="20"/>
        </w:rPr>
        <w:instrText xml:space="preserve"> REF _Ref457560448 \h </w:instrText>
      </w:r>
      <w:r>
        <w:rPr>
          <w:szCs w:val="20"/>
        </w:rPr>
      </w:r>
      <w:r>
        <w:rPr>
          <w:szCs w:val="20"/>
        </w:rPr>
        <w:fldChar w:fldCharType="separate"/>
      </w:r>
      <w:r w:rsidR="005D5925">
        <w:t xml:space="preserve">Figure </w:t>
      </w:r>
      <w:r w:rsidR="005D5925">
        <w:rPr>
          <w:noProof/>
        </w:rPr>
        <w:t>B</w:t>
      </w:r>
      <w:r w:rsidR="005D5925">
        <w:noBreakHyphen/>
      </w:r>
      <w:r w:rsidR="005D5925">
        <w:rPr>
          <w:noProof/>
        </w:rPr>
        <w:t>1</w:t>
      </w:r>
      <w:r>
        <w:rPr>
          <w:szCs w:val="20"/>
        </w:rPr>
        <w:fldChar w:fldCharType="end"/>
      </w:r>
      <w:r>
        <w:rPr>
          <w:szCs w:val="20"/>
        </w:rPr>
        <w:t>)</w:t>
      </w:r>
      <w:r w:rsidRPr="004335CD">
        <w:rPr>
          <w:szCs w:val="20"/>
        </w:rPr>
        <w:t xml:space="preserve">. </w:t>
      </w:r>
    </w:p>
    <w:p w:rsidR="00B35ECC" w:rsidRDefault="004176FF" w:rsidP="00B35ECC">
      <w:pPr>
        <w:keepNext/>
        <w:spacing w:line="240" w:lineRule="auto"/>
      </w:pPr>
      <w:r w:rsidRPr="008F5E11">
        <w:rPr>
          <w:noProof/>
          <w:lang w:eastAsia="en-AU"/>
        </w:rPr>
        <w:drawing>
          <wp:inline distT="0" distB="0" distL="0" distR="0">
            <wp:extent cx="5762625" cy="4076700"/>
            <wp:effectExtent l="0" t="0" r="9525" b="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762625" cy="4076700"/>
                    </a:xfrm>
                    <a:prstGeom prst="rect">
                      <a:avLst/>
                    </a:prstGeom>
                    <a:noFill/>
                    <a:ln>
                      <a:noFill/>
                    </a:ln>
                  </pic:spPr>
                </pic:pic>
              </a:graphicData>
            </a:graphic>
          </wp:inline>
        </w:drawing>
      </w:r>
    </w:p>
    <w:p w:rsidR="00E23B8D" w:rsidRDefault="00B35ECC" w:rsidP="00B35ECC">
      <w:pPr>
        <w:pStyle w:val="Caption"/>
      </w:pPr>
      <w:bookmarkStart w:id="14" w:name="_Ref457560448"/>
      <w:r>
        <w:t xml:space="preserve">Figure </w:t>
      </w:r>
      <w:fldSimple w:instr=" STYLEREF 6 \s ">
        <w:r w:rsidR="00673DAF">
          <w:rPr>
            <w:noProof/>
          </w:rPr>
          <w:t>B</w:t>
        </w:r>
      </w:fldSimple>
      <w:r w:rsidR="00673DAF">
        <w:noBreakHyphen/>
      </w:r>
      <w:fldSimple w:instr=" SEQ Figure \* ARABIC \s 6 ">
        <w:r w:rsidR="00673DAF">
          <w:rPr>
            <w:noProof/>
          </w:rPr>
          <w:t>1</w:t>
        </w:r>
      </w:fldSimple>
      <w:bookmarkEnd w:id="14"/>
      <w:r>
        <w:t xml:space="preserve"> Extent of </w:t>
      </w:r>
      <w:r w:rsidR="001C3C04">
        <w:t>lower</w:t>
      </w:r>
      <w:r>
        <w:t xml:space="preserve"> Gwydir, Gingham and Mallowa wetlands in the Gwydir river system Selected Area</w:t>
      </w:r>
    </w:p>
    <w:p w:rsidR="00B35ECC" w:rsidRDefault="00B35ECC" w:rsidP="009C1DAC">
      <w:pPr>
        <w:pStyle w:val="Heading8"/>
      </w:pPr>
      <w:r>
        <w:t>Inundation mapping</w:t>
      </w:r>
    </w:p>
    <w:p w:rsidR="00B35ECC" w:rsidRDefault="00B35ECC" w:rsidP="00B35ECC">
      <w:pPr>
        <w:rPr>
          <w:szCs w:val="20"/>
        </w:rPr>
      </w:pPr>
      <w:r w:rsidRPr="004335CD">
        <w:t>All available Landsat 8</w:t>
      </w:r>
      <w:r>
        <w:t xml:space="preserve"> </w:t>
      </w:r>
      <w:r w:rsidRPr="004335CD">
        <w:t xml:space="preserve">images captured during the </w:t>
      </w:r>
      <w:r>
        <w:t>2015-16</w:t>
      </w:r>
      <w:r w:rsidRPr="004335CD">
        <w:t xml:space="preserve"> </w:t>
      </w:r>
      <w:r>
        <w:t>season</w:t>
      </w:r>
      <w:r w:rsidRPr="004335CD">
        <w:t xml:space="preserve"> were assessed </w:t>
      </w:r>
      <w:r>
        <w:t xml:space="preserve">via the </w:t>
      </w:r>
      <w:r w:rsidRPr="004335CD">
        <w:t>USGS Globus website (</w:t>
      </w:r>
      <w:hyperlink r:id="rId25" w:history="1">
        <w:r w:rsidRPr="004335CD">
          <w:rPr>
            <w:rStyle w:val="Hyperlink"/>
          </w:rPr>
          <w:t>http://glovis.usgs.gov/</w:t>
        </w:r>
      </w:hyperlink>
      <w:r w:rsidRPr="004335CD">
        <w:t>)</w:t>
      </w:r>
      <w:r>
        <w:t xml:space="preserve">. </w:t>
      </w:r>
      <w:r w:rsidR="003046CC">
        <w:t xml:space="preserve"> </w:t>
      </w:r>
      <w:r>
        <w:t>T</w:t>
      </w:r>
      <w:r w:rsidRPr="004335CD">
        <w:t>hose with no cloud cover or</w:t>
      </w:r>
      <w:r>
        <w:t xml:space="preserve"> other</w:t>
      </w:r>
      <w:r w:rsidRPr="004335CD">
        <w:t xml:space="preserve"> </w:t>
      </w:r>
      <w:r>
        <w:t>problems</w:t>
      </w:r>
      <w:r w:rsidRPr="004335CD">
        <w:t xml:space="preserve"> were chosen for further analysis. </w:t>
      </w:r>
      <w:r w:rsidR="003046CC">
        <w:t xml:space="preserve"> </w:t>
      </w:r>
      <w:r>
        <w:t>Six</w:t>
      </w:r>
      <w:r w:rsidRPr="004335CD">
        <w:t xml:space="preserve"> images spanning the season (</w:t>
      </w:r>
      <w:r>
        <w:fldChar w:fldCharType="begin"/>
      </w:r>
      <w:r>
        <w:instrText xml:space="preserve"> REF _Ref456346762 \h </w:instrText>
      </w:r>
      <w:r>
        <w:fldChar w:fldCharType="separate"/>
      </w:r>
      <w:r w:rsidR="005D5925">
        <w:t xml:space="preserve">Figure </w:t>
      </w:r>
      <w:r w:rsidR="005D5925">
        <w:rPr>
          <w:noProof/>
        </w:rPr>
        <w:t>B</w:t>
      </w:r>
      <w:r w:rsidR="005D5925">
        <w:noBreakHyphen/>
      </w:r>
      <w:r w:rsidR="005D5925">
        <w:rPr>
          <w:noProof/>
        </w:rPr>
        <w:t>2</w:t>
      </w:r>
      <w:r>
        <w:fldChar w:fldCharType="end"/>
      </w:r>
      <w:r w:rsidRPr="004335CD">
        <w:t>) were selected for analysis</w:t>
      </w:r>
      <w:r w:rsidR="004F5521">
        <w:t>:</w:t>
      </w:r>
      <w:r w:rsidR="002E4746" w:rsidRPr="002E4746">
        <w:rPr>
          <w:szCs w:val="20"/>
        </w:rPr>
        <w:t xml:space="preserve"> </w:t>
      </w:r>
      <w:r w:rsidR="002E4746">
        <w:rPr>
          <w:szCs w:val="20"/>
        </w:rPr>
        <w:br/>
      </w:r>
      <w:r>
        <w:rPr>
          <w:szCs w:val="20"/>
        </w:rPr>
        <w:t>21 August 2015</w:t>
      </w:r>
      <w:r w:rsidRPr="004335CD">
        <w:rPr>
          <w:szCs w:val="20"/>
        </w:rPr>
        <w:t xml:space="preserve">, </w:t>
      </w:r>
      <w:r>
        <w:rPr>
          <w:szCs w:val="20"/>
        </w:rPr>
        <w:t>8</w:t>
      </w:r>
      <w:r w:rsidRPr="004335CD">
        <w:rPr>
          <w:szCs w:val="20"/>
        </w:rPr>
        <w:t xml:space="preserve"> October 201</w:t>
      </w:r>
      <w:r>
        <w:rPr>
          <w:szCs w:val="20"/>
        </w:rPr>
        <w:t>5</w:t>
      </w:r>
      <w:r w:rsidRPr="004335CD">
        <w:rPr>
          <w:szCs w:val="20"/>
        </w:rPr>
        <w:t xml:space="preserve">, </w:t>
      </w:r>
      <w:r>
        <w:rPr>
          <w:szCs w:val="20"/>
        </w:rPr>
        <w:t>24</w:t>
      </w:r>
      <w:r w:rsidR="006177FD">
        <w:rPr>
          <w:szCs w:val="20"/>
        </w:rPr>
        <w:t> </w:t>
      </w:r>
      <w:r>
        <w:rPr>
          <w:szCs w:val="20"/>
        </w:rPr>
        <w:t xml:space="preserve">November 2015, </w:t>
      </w:r>
      <w:r w:rsidRPr="004335CD">
        <w:rPr>
          <w:szCs w:val="20"/>
        </w:rPr>
        <w:t>1</w:t>
      </w:r>
      <w:r>
        <w:rPr>
          <w:szCs w:val="20"/>
        </w:rPr>
        <w:t>3</w:t>
      </w:r>
      <w:r w:rsidRPr="004335CD">
        <w:rPr>
          <w:szCs w:val="20"/>
        </w:rPr>
        <w:t xml:space="preserve"> February 201</w:t>
      </w:r>
      <w:r>
        <w:rPr>
          <w:szCs w:val="20"/>
        </w:rPr>
        <w:t>6, 1 April 2016</w:t>
      </w:r>
      <w:r w:rsidRPr="004335CD">
        <w:rPr>
          <w:szCs w:val="20"/>
        </w:rPr>
        <w:t xml:space="preserve"> and </w:t>
      </w:r>
      <w:r>
        <w:rPr>
          <w:szCs w:val="20"/>
        </w:rPr>
        <w:t>19 May</w:t>
      </w:r>
      <w:r w:rsidRPr="004335CD">
        <w:rPr>
          <w:szCs w:val="20"/>
        </w:rPr>
        <w:t xml:space="preserve"> 201</w:t>
      </w:r>
      <w:r>
        <w:rPr>
          <w:szCs w:val="20"/>
        </w:rPr>
        <w:t>6</w:t>
      </w:r>
      <w:r w:rsidRPr="004335CD">
        <w:rPr>
          <w:szCs w:val="20"/>
        </w:rPr>
        <w:t>.</w:t>
      </w:r>
    </w:p>
    <w:p w:rsidR="00B35ECC" w:rsidRDefault="00B35ECC" w:rsidP="00B35ECC">
      <w:r>
        <w:t xml:space="preserve">The extent of inundation within each </w:t>
      </w:r>
      <w:r w:rsidRPr="004335CD">
        <w:t xml:space="preserve">image was classified </w:t>
      </w:r>
      <w:r>
        <w:t>using</w:t>
      </w:r>
      <w:r w:rsidRPr="004335CD">
        <w:t xml:space="preserve"> density slic</w:t>
      </w:r>
      <w:r>
        <w:t>ing of band 6 as described in Frazier and Page (2000).</w:t>
      </w:r>
      <w:r w:rsidR="003046CC">
        <w:t xml:space="preserve"> </w:t>
      </w:r>
      <w:r>
        <w:t xml:space="preserve"> A maximum wetland extent layer was then used to exclude waterbodies such as irrigation storages and farm dams outside of the target wetland area. </w:t>
      </w:r>
      <w:r w:rsidR="003046CC">
        <w:t xml:space="preserve"> </w:t>
      </w:r>
      <w:r w:rsidRPr="004335CD">
        <w:t xml:space="preserve">The final </w:t>
      </w:r>
      <w:r>
        <w:t xml:space="preserve">inundation extent </w:t>
      </w:r>
      <w:r w:rsidRPr="004335CD">
        <w:t>for each capture time</w:t>
      </w:r>
      <w:r>
        <w:t xml:space="preserve"> </w:t>
      </w:r>
      <w:r w:rsidRPr="004335CD">
        <w:t xml:space="preserve">was then intersected with Gwydir vegetation community layers </w:t>
      </w:r>
      <w:r>
        <w:t xml:space="preserve">(Commonwealth of Australia 2015) </w:t>
      </w:r>
      <w:r w:rsidRPr="004335CD">
        <w:t>to determine the extent of inundation within each vegetation community.</w:t>
      </w:r>
    </w:p>
    <w:p w:rsidR="00B35ECC" w:rsidRDefault="004176FF" w:rsidP="00B35ECC">
      <w:pPr>
        <w:spacing w:line="240" w:lineRule="auto"/>
      </w:pPr>
      <w:r>
        <w:rPr>
          <w:noProof/>
          <w:lang w:eastAsia="en-AU"/>
        </w:rPr>
        <mc:AlternateContent>
          <mc:Choice Requires="wps">
            <w:drawing>
              <wp:anchor distT="45720" distB="45720" distL="114300" distR="114300" simplePos="0" relativeHeight="251627520" behindDoc="0" locked="0" layoutInCell="1" allowOverlap="1">
                <wp:simplePos x="0" y="0"/>
                <wp:positionH relativeFrom="column">
                  <wp:posOffset>886460</wp:posOffset>
                </wp:positionH>
                <wp:positionV relativeFrom="paragraph">
                  <wp:posOffset>273050</wp:posOffset>
                </wp:positionV>
                <wp:extent cx="714375" cy="2762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76225"/>
                        </a:xfrm>
                        <a:prstGeom prst="rect">
                          <a:avLst/>
                        </a:prstGeom>
                        <a:solidFill>
                          <a:srgbClr val="FFFFFF"/>
                        </a:solidFill>
                        <a:ln w="9525">
                          <a:noFill/>
                          <a:miter lim="800000"/>
                          <a:headEnd/>
                          <a:tailEnd/>
                        </a:ln>
                      </wps:spPr>
                      <wps:txbx>
                        <w:txbxContent>
                          <w:p w:rsidR="00EA54D5" w:rsidRPr="00832049" w:rsidRDefault="00EA54D5" w:rsidP="00B35ECC">
                            <w:pPr>
                              <w:rPr>
                                <w:sz w:val="16"/>
                                <w:szCs w:val="16"/>
                              </w:rPr>
                            </w:pPr>
                            <w:r w:rsidRPr="00832049">
                              <w:rPr>
                                <w:sz w:val="16"/>
                                <w:szCs w:val="16"/>
                              </w:rPr>
                              <w:t>21/08/2015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9.8pt;margin-top:21.5pt;width:56.25pt;height:21.7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" stroked="f">
                <v:textbox>
                  <w:txbxContent>
                    <w:p w:rsidR="00EA54D5" w:rsidRPr="00832049" w:rsidRDefault="00EA54D5" w:rsidP="00B35ECC">
                      <w:pPr>
                        <w:rPr>
                          <w:sz w:val="16"/>
                          <w:szCs w:val="16"/>
                        </w:rPr>
                      </w:pPr>
                      <w:r w:rsidRPr="00832049">
                        <w:rPr>
                          <w:sz w:val="16"/>
                          <w:szCs w:val="16"/>
                        </w:rPr>
                        <w:t>21/08/2015</w:t>
                      </w:r>
                    </w:p>
                  </w:txbxContent>
                </v:textbox>
                <w10:wrap type="square"/>
              </v:shape>
            </w:pict>
          </mc:Fallback>
        </mc:AlternateContent>
      </w:r>
      <w:r>
        <w:rPr>
          <w:noProof/>
          <w:lang w:eastAsia="en-AU"/>
        </w:rPr>
        <mc:AlternateContent>
          <mc:Choice Requires="wps">
            <w:drawing>
              <wp:anchor distT="45720" distB="45720" distL="114300" distR="114300" simplePos="0" relativeHeight="251631616" behindDoc="0" locked="0" layoutInCell="1" allowOverlap="1">
                <wp:simplePos x="0" y="0"/>
                <wp:positionH relativeFrom="column">
                  <wp:posOffset>1772920</wp:posOffset>
                </wp:positionH>
                <wp:positionV relativeFrom="paragraph">
                  <wp:posOffset>273050</wp:posOffset>
                </wp:positionV>
                <wp:extent cx="704850" cy="276225"/>
                <wp:effectExtent l="0" t="0" r="0" b="9525"/>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76225"/>
                        </a:xfrm>
                        <a:prstGeom prst="rect">
                          <a:avLst/>
                        </a:prstGeom>
                        <a:solidFill>
                          <a:srgbClr val="FFFFFF"/>
                        </a:solidFill>
                        <a:ln w="9525">
                          <a:noFill/>
                          <a:miter lim="800000"/>
                          <a:headEnd/>
                          <a:tailEnd/>
                        </a:ln>
                      </wps:spPr>
                      <wps:txbx>
                        <w:txbxContent>
                          <w:p w:rsidR="00EA54D5" w:rsidRPr="00832049" w:rsidRDefault="00EA54D5" w:rsidP="00B35ECC">
                            <w:pPr>
                              <w:rPr>
                                <w:sz w:val="16"/>
                                <w:szCs w:val="16"/>
                                <w:lang w:val="en-US"/>
                              </w:rPr>
                            </w:pPr>
                            <w:r w:rsidRPr="00832049">
                              <w:rPr>
                                <w:sz w:val="16"/>
                                <w:szCs w:val="16"/>
                                <w:lang w:val="en-US"/>
                              </w:rPr>
                              <w:t>08/10/2015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39.6pt;margin-top:21.5pt;width:55.5pt;height:21.7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" stroked="f">
                <v:textbox>
                  <w:txbxContent>
                    <w:p w:rsidR="00EA54D5" w:rsidRPr="00832049" w:rsidRDefault="00EA54D5" w:rsidP="00B35ECC">
                      <w:pPr>
                        <w:rPr>
                          <w:sz w:val="16"/>
                          <w:szCs w:val="16"/>
                          <w:lang w:val="en-US"/>
                        </w:rPr>
                      </w:pPr>
                      <w:r w:rsidRPr="00832049">
                        <w:rPr>
                          <w:sz w:val="16"/>
                          <w:szCs w:val="16"/>
                          <w:lang w:val="en-US"/>
                        </w:rPr>
                        <w:t>08/10/2015</w:t>
                      </w:r>
                    </w:p>
                  </w:txbxContent>
                </v:textbox>
                <w10:wrap type="square"/>
              </v:shape>
            </w:pict>
          </mc:Fallback>
        </mc:AlternateContent>
      </w:r>
      <w:r>
        <w:rPr>
          <w:noProof/>
          <w:lang w:eastAsia="en-AU"/>
        </w:rPr>
        <mc:AlternateContent>
          <mc:Choice Requires="wps">
            <w:drawing>
              <wp:anchor distT="45720" distB="45720" distL="114300" distR="114300" simplePos="0" relativeHeight="251632640" behindDoc="0" locked="0" layoutInCell="1" allowOverlap="1">
                <wp:simplePos x="0" y="0"/>
                <wp:positionH relativeFrom="column">
                  <wp:posOffset>2382520</wp:posOffset>
                </wp:positionH>
                <wp:positionV relativeFrom="paragraph">
                  <wp:posOffset>273050</wp:posOffset>
                </wp:positionV>
                <wp:extent cx="771525" cy="276225"/>
                <wp:effectExtent l="0" t="0" r="9525" b="9525"/>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76225"/>
                        </a:xfrm>
                        <a:prstGeom prst="rect">
                          <a:avLst/>
                        </a:prstGeom>
                        <a:solidFill>
                          <a:srgbClr val="FFFFFF"/>
                        </a:solidFill>
                        <a:ln w="9525">
                          <a:noFill/>
                          <a:miter lim="800000"/>
                          <a:headEnd/>
                          <a:tailEnd/>
                        </a:ln>
                      </wps:spPr>
                      <wps:txbx>
                        <w:txbxContent>
                          <w:p w:rsidR="00EA54D5" w:rsidRPr="00832049" w:rsidRDefault="00EA54D5" w:rsidP="00B35ECC">
                            <w:pPr>
                              <w:rPr>
                                <w:sz w:val="16"/>
                                <w:szCs w:val="16"/>
                                <w:lang w:val="en-US"/>
                              </w:rPr>
                            </w:pPr>
                            <w:r w:rsidRPr="00832049">
                              <w:rPr>
                                <w:sz w:val="16"/>
                                <w:szCs w:val="16"/>
                                <w:lang w:val="en-US"/>
                              </w:rPr>
                              <w:t>24/11/2015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87.6pt;margin-top:21.5pt;width:60.75pt;height:21.75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" stroked="f">
                <v:textbox>
                  <w:txbxContent>
                    <w:p w:rsidR="00EA54D5" w:rsidRPr="00832049" w:rsidRDefault="00EA54D5" w:rsidP="00B35ECC">
                      <w:pPr>
                        <w:rPr>
                          <w:sz w:val="16"/>
                          <w:szCs w:val="16"/>
                          <w:lang w:val="en-US"/>
                        </w:rPr>
                      </w:pPr>
                      <w:r w:rsidRPr="00832049">
                        <w:rPr>
                          <w:sz w:val="16"/>
                          <w:szCs w:val="16"/>
                          <w:lang w:val="en-US"/>
                        </w:rPr>
                        <w:t>24/11/2015</w:t>
                      </w:r>
                    </w:p>
                  </w:txbxContent>
                </v:textbox>
                <w10:wrap type="square"/>
              </v:shape>
            </w:pict>
          </mc:Fallback>
        </mc:AlternateContent>
      </w:r>
      <w:r>
        <w:rPr>
          <w:noProof/>
          <w:lang w:eastAsia="en-AU"/>
        </w:rPr>
        <mc:AlternateContent>
          <mc:Choice Requires="wps">
            <w:drawing>
              <wp:anchor distT="45720" distB="45720" distL="114300" distR="114300" simplePos="0" relativeHeight="251630592" behindDoc="0" locked="0" layoutInCell="1" allowOverlap="1">
                <wp:simplePos x="0" y="0"/>
                <wp:positionH relativeFrom="column">
                  <wp:posOffset>3450590</wp:posOffset>
                </wp:positionH>
                <wp:positionV relativeFrom="paragraph">
                  <wp:posOffset>273050</wp:posOffset>
                </wp:positionV>
                <wp:extent cx="742950" cy="276225"/>
                <wp:effectExtent l="0" t="0" r="0" b="9525"/>
                <wp:wrapSquare wrapText="bothSides"/>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76225"/>
                        </a:xfrm>
                        <a:prstGeom prst="rect">
                          <a:avLst/>
                        </a:prstGeom>
                        <a:solidFill>
                          <a:srgbClr val="FFFFFF"/>
                        </a:solidFill>
                        <a:ln w="9525">
                          <a:noFill/>
                          <a:miter lim="800000"/>
                          <a:headEnd/>
                          <a:tailEnd/>
                        </a:ln>
                      </wps:spPr>
                      <wps:txbx>
                        <w:txbxContent>
                          <w:p w:rsidR="00EA54D5" w:rsidRPr="00832049" w:rsidRDefault="00EA54D5" w:rsidP="00B35ECC">
                            <w:pPr>
                              <w:rPr>
                                <w:sz w:val="16"/>
                                <w:szCs w:val="16"/>
                                <w:lang w:val="en-US"/>
                              </w:rPr>
                            </w:pPr>
                            <w:r w:rsidRPr="00832049">
                              <w:rPr>
                                <w:sz w:val="16"/>
                                <w:szCs w:val="16"/>
                                <w:lang w:val="en-US"/>
                              </w:rPr>
                              <w:t>13/02/2016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71.7pt;margin-top:21.5pt;width:58.5pt;height:21.75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" stroked="f">
                <v:textbox>
                  <w:txbxContent>
                    <w:p w:rsidR="00EA54D5" w:rsidRPr="00832049" w:rsidRDefault="00EA54D5" w:rsidP="00B35ECC">
                      <w:pPr>
                        <w:rPr>
                          <w:sz w:val="16"/>
                          <w:szCs w:val="16"/>
                          <w:lang w:val="en-US"/>
                        </w:rPr>
                      </w:pPr>
                      <w:r w:rsidRPr="00832049">
                        <w:rPr>
                          <w:sz w:val="16"/>
                          <w:szCs w:val="16"/>
                          <w:lang w:val="en-US"/>
                        </w:rPr>
                        <w:t>13/02/2016</w:t>
                      </w:r>
                    </w:p>
                  </w:txbxContent>
                </v:textbox>
                <w10:wrap type="square"/>
              </v:shape>
            </w:pict>
          </mc:Fallback>
        </mc:AlternateContent>
      </w:r>
      <w:r>
        <w:rPr>
          <w:noProof/>
          <w:lang w:eastAsia="en-AU"/>
        </w:rPr>
        <mc:AlternateContent>
          <mc:Choice Requires="wps">
            <w:drawing>
              <wp:anchor distT="45720" distB="45720" distL="114300" distR="114300" simplePos="0" relativeHeight="251629568" behindDoc="0" locked="0" layoutInCell="1" allowOverlap="1">
                <wp:simplePos x="0" y="0"/>
                <wp:positionH relativeFrom="column">
                  <wp:posOffset>4084955</wp:posOffset>
                </wp:positionH>
                <wp:positionV relativeFrom="paragraph">
                  <wp:posOffset>273050</wp:posOffset>
                </wp:positionV>
                <wp:extent cx="733425" cy="276225"/>
                <wp:effectExtent l="0" t="0" r="9525" b="9525"/>
                <wp:wrapSquare wrapText="bothSides"/>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76225"/>
                        </a:xfrm>
                        <a:prstGeom prst="rect">
                          <a:avLst/>
                        </a:prstGeom>
                        <a:solidFill>
                          <a:srgbClr val="FFFFFF"/>
                        </a:solidFill>
                        <a:ln w="9525">
                          <a:noFill/>
                          <a:miter lim="800000"/>
                          <a:headEnd/>
                          <a:tailEnd/>
                        </a:ln>
                      </wps:spPr>
                      <wps:txbx>
                        <w:txbxContent>
                          <w:p w:rsidR="00EA54D5" w:rsidRPr="00832049" w:rsidRDefault="00EA54D5" w:rsidP="00B35ECC">
                            <w:pPr>
                              <w:rPr>
                                <w:sz w:val="16"/>
                                <w:szCs w:val="16"/>
                                <w:lang w:val="en-US"/>
                              </w:rPr>
                            </w:pPr>
                            <w:r w:rsidRPr="00832049">
                              <w:rPr>
                                <w:sz w:val="16"/>
                                <w:szCs w:val="16"/>
                                <w:lang w:val="en-US"/>
                              </w:rPr>
                              <w:t>01/04/2016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21.65pt;margin-top:21.5pt;width:57.75pt;height:21.75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" stroked="f">
                <v:textbox>
                  <w:txbxContent>
                    <w:p w:rsidR="00EA54D5" w:rsidRPr="00832049" w:rsidRDefault="00EA54D5" w:rsidP="00B35ECC">
                      <w:pPr>
                        <w:rPr>
                          <w:sz w:val="16"/>
                          <w:szCs w:val="16"/>
                          <w:lang w:val="en-US"/>
                        </w:rPr>
                      </w:pPr>
                      <w:r w:rsidRPr="00832049">
                        <w:rPr>
                          <w:sz w:val="16"/>
                          <w:szCs w:val="16"/>
                          <w:lang w:val="en-US"/>
                        </w:rPr>
                        <w:t>01/04/2016</w:t>
                      </w:r>
                    </w:p>
                  </w:txbxContent>
                </v:textbox>
                <w10:wrap type="square"/>
              </v:shape>
            </w:pict>
          </mc:Fallback>
        </mc:AlternateContent>
      </w:r>
      <w:r>
        <w:rPr>
          <w:noProof/>
          <w:lang w:eastAsia="en-AU"/>
        </w:rPr>
        <mc:AlternateContent>
          <mc:Choice Requires="wps">
            <w:drawing>
              <wp:anchor distT="45720" distB="45720" distL="114300" distR="114300" simplePos="0" relativeHeight="251628544" behindDoc="0" locked="0" layoutInCell="1" allowOverlap="1">
                <wp:simplePos x="0" y="0"/>
                <wp:positionH relativeFrom="margin">
                  <wp:posOffset>4800600</wp:posOffset>
                </wp:positionH>
                <wp:positionV relativeFrom="paragraph">
                  <wp:posOffset>273050</wp:posOffset>
                </wp:positionV>
                <wp:extent cx="819150" cy="276225"/>
                <wp:effectExtent l="0" t="0" r="0" b="9525"/>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76225"/>
                        </a:xfrm>
                        <a:prstGeom prst="rect">
                          <a:avLst/>
                        </a:prstGeom>
                        <a:solidFill>
                          <a:srgbClr val="FFFFFF"/>
                        </a:solidFill>
                        <a:ln w="9525">
                          <a:noFill/>
                          <a:miter lim="800000"/>
                          <a:headEnd/>
                          <a:tailEnd/>
                        </a:ln>
                      </wps:spPr>
                      <wps:txbx>
                        <w:txbxContent>
                          <w:p w:rsidR="00EA54D5" w:rsidRPr="00832049" w:rsidRDefault="00EA54D5" w:rsidP="00B35ECC">
                            <w:pPr>
                              <w:rPr>
                                <w:sz w:val="16"/>
                                <w:szCs w:val="16"/>
                                <w:lang w:val="en-US"/>
                              </w:rPr>
                            </w:pPr>
                            <w:r w:rsidRPr="00832049">
                              <w:rPr>
                                <w:sz w:val="16"/>
                                <w:szCs w:val="16"/>
                                <w:lang w:val="en-US"/>
                              </w:rPr>
                              <w:t>19/05/2016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78pt;margin-top:21.5pt;width:64.5pt;height:21.75pt;z-index:251628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" stroked="f">
                <v:textbox>
                  <w:txbxContent>
                    <w:p w:rsidR="00EA54D5" w:rsidRPr="00832049" w:rsidRDefault="00EA54D5" w:rsidP="00B35ECC">
                      <w:pPr>
                        <w:rPr>
                          <w:sz w:val="16"/>
                          <w:szCs w:val="16"/>
                          <w:lang w:val="en-US"/>
                        </w:rPr>
                      </w:pPr>
                      <w:r w:rsidRPr="00832049">
                        <w:rPr>
                          <w:sz w:val="16"/>
                          <w:szCs w:val="16"/>
                          <w:lang w:val="en-US"/>
                        </w:rPr>
                        <w:t>19/05/2016</w:t>
                      </w:r>
                    </w:p>
                  </w:txbxContent>
                </v:textbox>
                <w10:wrap type="square" anchorx="margin"/>
              </v:shape>
            </w:pict>
          </mc:Fallback>
        </mc:AlternateContent>
      </w:r>
      <w:r>
        <w:rPr>
          <w:noProof/>
          <w:lang w:eastAsia="en-AU"/>
        </w:rPr>
        <mc:AlternateContent>
          <mc:Choice Requires="wps">
            <w:drawing>
              <wp:anchor distT="0" distB="0" distL="114299" distR="114299" simplePos="0" relativeHeight="251638784" behindDoc="0" locked="0" layoutInCell="1" allowOverlap="1">
                <wp:simplePos x="0" y="0"/>
                <wp:positionH relativeFrom="column">
                  <wp:posOffset>5142229</wp:posOffset>
                </wp:positionH>
                <wp:positionV relativeFrom="paragraph">
                  <wp:posOffset>482600</wp:posOffset>
                </wp:positionV>
                <wp:extent cx="0" cy="228600"/>
                <wp:effectExtent l="76200" t="0" r="57150" b="57150"/>
                <wp:wrapNone/>
                <wp:docPr id="291"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0476D033" id="_x0000_t32" coordsize="21600,21600" o:spt="32" o:oned="t" path="m,l21600,21600e" filled="f">
                <v:path arrowok="t" fillok="f" o:connecttype="none"/>
                <o:lock v:ext="edit" shapetype="t"/>
              </v:shapetype>
              <v:shape id="Straight Arrow Connector 44" o:spid="_x0000_s1026" type="#_x0000_t32" style="position:absolute;margin-left:404.9pt;margin-top:38pt;width:0;height:18pt;z-index:251638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" strokecolor="#4a7ebb">
                <v:stroke endarrow="block"/>
                <o:lock v:ext="edit" shapetype="f"/>
              </v:shape>
            </w:pict>
          </mc:Fallback>
        </mc:AlternateContent>
      </w:r>
      <w:r>
        <w:rPr>
          <w:noProof/>
          <w:lang w:eastAsia="en-AU"/>
        </w:rPr>
        <mc:AlternateContent>
          <mc:Choice Requires="wps">
            <w:drawing>
              <wp:anchor distT="0" distB="0" distL="114299" distR="114299" simplePos="0" relativeHeight="251637760" behindDoc="0" locked="0" layoutInCell="1" allowOverlap="1">
                <wp:simplePos x="0" y="0"/>
                <wp:positionH relativeFrom="column">
                  <wp:posOffset>4446269</wp:posOffset>
                </wp:positionH>
                <wp:positionV relativeFrom="paragraph">
                  <wp:posOffset>473075</wp:posOffset>
                </wp:positionV>
                <wp:extent cx="0" cy="228600"/>
                <wp:effectExtent l="76200" t="0" r="57150" b="57150"/>
                <wp:wrapNone/>
                <wp:docPr id="290"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A2EA575" id="Straight Arrow Connector 43" o:spid="_x0000_s1026" type="#_x0000_t32" style="position:absolute;margin-left:350.1pt;margin-top:37.25pt;width:0;height:18pt;z-index:251637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" strokecolor="#4a7ebb">
                <v:stroke endarrow="block"/>
                <o:lock v:ext="edit" shapetype="f"/>
              </v:shape>
            </w:pict>
          </mc:Fallback>
        </mc:AlternateContent>
      </w:r>
      <w:r>
        <w:rPr>
          <w:noProof/>
          <w:lang w:eastAsia="en-AU"/>
        </w:rPr>
        <mc:AlternateContent>
          <mc:Choice Requires="wps">
            <w:drawing>
              <wp:anchor distT="0" distB="0" distL="114299" distR="114299" simplePos="0" relativeHeight="251636736" behindDoc="0" locked="0" layoutInCell="1" allowOverlap="1">
                <wp:simplePos x="0" y="0"/>
                <wp:positionH relativeFrom="column">
                  <wp:posOffset>3831589</wp:posOffset>
                </wp:positionH>
                <wp:positionV relativeFrom="paragraph">
                  <wp:posOffset>473075</wp:posOffset>
                </wp:positionV>
                <wp:extent cx="0" cy="228600"/>
                <wp:effectExtent l="76200" t="0" r="57150" b="57150"/>
                <wp:wrapNone/>
                <wp:docPr id="289"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4057457" id="Straight Arrow Connector 42" o:spid="_x0000_s1026" type="#_x0000_t32" style="position:absolute;margin-left:301.7pt;margin-top:37.25pt;width:0;height:18pt;z-index:251636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" strokecolor="#4a7ebb">
                <v:stroke endarrow="block"/>
                <o:lock v:ext="edit" shapetype="f"/>
              </v:shape>
            </w:pict>
          </mc:Fallback>
        </mc:AlternateContent>
      </w:r>
      <w:r>
        <w:rPr>
          <w:noProof/>
          <w:lang w:eastAsia="en-AU"/>
        </w:rPr>
        <mc:AlternateContent>
          <mc:Choice Requires="wps">
            <w:drawing>
              <wp:anchor distT="0" distB="0" distL="114299" distR="114299" simplePos="0" relativeHeight="251635712" behindDoc="0" locked="0" layoutInCell="1" allowOverlap="1">
                <wp:simplePos x="0" y="0"/>
                <wp:positionH relativeFrom="column">
                  <wp:posOffset>2715259</wp:posOffset>
                </wp:positionH>
                <wp:positionV relativeFrom="paragraph">
                  <wp:posOffset>482600</wp:posOffset>
                </wp:positionV>
                <wp:extent cx="0" cy="228600"/>
                <wp:effectExtent l="76200" t="0" r="57150" b="57150"/>
                <wp:wrapNone/>
                <wp:docPr id="288"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E9A91E4" id="Straight Arrow Connector 41" o:spid="_x0000_s1026" type="#_x0000_t32" style="position:absolute;margin-left:213.8pt;margin-top:38pt;width:0;height:18pt;z-index:251635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" strokecolor="#4a7ebb">
                <v:stroke endarrow="block"/>
                <o:lock v:ext="edit" shapetype="f"/>
              </v:shape>
            </w:pict>
          </mc:Fallback>
        </mc:AlternateContent>
      </w:r>
      <w:r>
        <w:rPr>
          <w:noProof/>
          <w:lang w:eastAsia="en-AU"/>
        </w:rPr>
        <mc:AlternateContent>
          <mc:Choice Requires="wps">
            <w:drawing>
              <wp:anchor distT="0" distB="0" distL="114299" distR="114299" simplePos="0" relativeHeight="251634688" behindDoc="0" locked="0" layoutInCell="1" allowOverlap="1">
                <wp:simplePos x="0" y="0"/>
                <wp:positionH relativeFrom="column">
                  <wp:posOffset>2112644</wp:posOffset>
                </wp:positionH>
                <wp:positionV relativeFrom="paragraph">
                  <wp:posOffset>492125</wp:posOffset>
                </wp:positionV>
                <wp:extent cx="0" cy="228600"/>
                <wp:effectExtent l="76200" t="0" r="57150" b="57150"/>
                <wp:wrapNone/>
                <wp:docPr id="255"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8412FCF" id="Straight Arrow Connector 39" o:spid="_x0000_s1026" type="#_x0000_t32" style="position:absolute;margin-left:166.35pt;margin-top:38.75pt;width:0;height:18pt;z-index:251634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" strokecolor="#4a7ebb">
                <v:stroke endarrow="block"/>
                <o:lock v:ext="edit" shapetype="f"/>
              </v:shape>
            </w:pict>
          </mc:Fallback>
        </mc:AlternateContent>
      </w:r>
      <w:r>
        <w:rPr>
          <w:noProof/>
          <w:lang w:eastAsia="en-AU"/>
        </w:rPr>
        <mc:AlternateContent>
          <mc:Choice Requires="wps">
            <w:drawing>
              <wp:anchor distT="0" distB="0" distL="114299" distR="114299" simplePos="0" relativeHeight="251633664" behindDoc="0" locked="0" layoutInCell="1" allowOverlap="1">
                <wp:simplePos x="0" y="0"/>
                <wp:positionH relativeFrom="column">
                  <wp:posOffset>1266824</wp:posOffset>
                </wp:positionH>
                <wp:positionV relativeFrom="paragraph">
                  <wp:posOffset>492125</wp:posOffset>
                </wp:positionV>
                <wp:extent cx="0" cy="228600"/>
                <wp:effectExtent l="76200" t="0" r="57150" b="57150"/>
                <wp:wrapNone/>
                <wp:docPr id="254"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2C56B5F" id="Straight Arrow Connector 18" o:spid="_x0000_s1026" type="#_x0000_t32" style="position:absolute;margin-left:99.75pt;margin-top:38.75pt;width:0;height:18pt;z-index:251633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" strokecolor="#4a7ebb">
                <v:stroke endarrow="block"/>
                <o:lock v:ext="edit" shapetype="f"/>
              </v:shape>
            </w:pict>
          </mc:Fallback>
        </mc:AlternateContent>
      </w:r>
    </w:p>
    <w:p w:rsidR="00B35ECC" w:rsidRDefault="004176FF" w:rsidP="00B35ECC">
      <w:pPr>
        <w:keepNext/>
        <w:spacing w:line="240" w:lineRule="auto"/>
      </w:pPr>
      <w:r w:rsidRPr="008F5E11">
        <w:rPr>
          <w:noProof/>
          <w:lang w:eastAsia="en-AU"/>
        </w:rPr>
        <w:drawing>
          <wp:inline distT="0" distB="0" distL="0" distR="0">
            <wp:extent cx="6010275" cy="4305300"/>
            <wp:effectExtent l="0" t="0" r="0" b="0"/>
            <wp:docPr id="9" name="Objec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35ECC" w:rsidRPr="00591DA9" w:rsidRDefault="00B35ECC" w:rsidP="00EE4C75">
      <w:pPr>
        <w:pStyle w:val="Caption"/>
      </w:pPr>
      <w:bookmarkStart w:id="15" w:name="_Ref456346762"/>
      <w:r>
        <w:t xml:space="preserve">Figure </w:t>
      </w:r>
      <w:fldSimple w:instr=" STYLEREF 6 \s ">
        <w:r w:rsidR="00673DAF">
          <w:rPr>
            <w:noProof/>
          </w:rPr>
          <w:t>B</w:t>
        </w:r>
      </w:fldSimple>
      <w:r w:rsidR="00673DAF">
        <w:noBreakHyphen/>
      </w:r>
      <w:fldSimple w:instr=" SEQ Figure \* ARABIC \s 6 ">
        <w:r w:rsidR="00673DAF">
          <w:rPr>
            <w:noProof/>
          </w:rPr>
          <w:t>2</w:t>
        </w:r>
      </w:fldSimple>
      <w:bookmarkEnd w:id="15"/>
      <w:r>
        <w:t xml:space="preserve"> River flows entering the </w:t>
      </w:r>
      <w:r w:rsidR="001C3C04">
        <w:t>lower</w:t>
      </w:r>
      <w:r>
        <w:t xml:space="preserve"> Gwydir River, Gingham </w:t>
      </w:r>
      <w:r w:rsidR="001C3C04">
        <w:t>watercourse</w:t>
      </w:r>
      <w:r>
        <w:t xml:space="preserve"> and Mallowa Creek during 2015-16.  Horizontal lines represent the timing of environmental water in each system.  Arrows indicate timing of Landsat image capture.</w:t>
      </w:r>
    </w:p>
    <w:p w:rsidR="00B35ECC" w:rsidRDefault="00B35ECC" w:rsidP="009C1DAC">
      <w:pPr>
        <w:pStyle w:val="Heading8"/>
      </w:pPr>
      <w:r>
        <w:t>Calculation of inundation volumes</w:t>
      </w:r>
    </w:p>
    <w:p w:rsidR="00B35ECC" w:rsidRDefault="00B35ECC" w:rsidP="00B35ECC">
      <w:pPr>
        <w:rPr>
          <w:lang w:eastAsia="en-AU"/>
        </w:rPr>
      </w:pPr>
      <w:r w:rsidRPr="00BF038F">
        <w:rPr>
          <w:lang w:eastAsia="en-AU"/>
        </w:rPr>
        <w:t xml:space="preserve">Volumes of inundation for each vegetation community within the Gwydir and Gingham wetlands were estimated for each of the Landsat image </w:t>
      </w:r>
      <w:r>
        <w:rPr>
          <w:lang w:eastAsia="en-AU"/>
        </w:rPr>
        <w:t>dates</w:t>
      </w:r>
      <w:r w:rsidRPr="00BF038F">
        <w:rPr>
          <w:lang w:eastAsia="en-AU"/>
        </w:rPr>
        <w:t xml:space="preserve">. </w:t>
      </w:r>
      <w:r w:rsidR="003046CC">
        <w:rPr>
          <w:lang w:eastAsia="en-AU"/>
        </w:rPr>
        <w:t xml:space="preserve"> </w:t>
      </w:r>
      <w:r w:rsidRPr="00BF038F">
        <w:rPr>
          <w:lang w:eastAsia="en-AU"/>
        </w:rPr>
        <w:t>To do this, average inundation depths were estimated for each vegetation community at each image capture time</w:t>
      </w:r>
      <w:r>
        <w:rPr>
          <w:lang w:eastAsia="en-AU"/>
        </w:rPr>
        <w:t xml:space="preserve"> (</w:t>
      </w:r>
      <w:r>
        <w:rPr>
          <w:lang w:eastAsia="en-AU"/>
        </w:rPr>
        <w:fldChar w:fldCharType="begin"/>
      </w:r>
      <w:r>
        <w:rPr>
          <w:lang w:eastAsia="en-AU"/>
        </w:rPr>
        <w:instrText xml:space="preserve"> REF _Ref456346877 \h </w:instrText>
      </w:r>
      <w:r>
        <w:rPr>
          <w:lang w:eastAsia="en-AU"/>
        </w:rPr>
      </w:r>
      <w:r>
        <w:rPr>
          <w:lang w:eastAsia="en-AU"/>
        </w:rPr>
        <w:fldChar w:fldCharType="separate"/>
      </w:r>
      <w:r w:rsidR="005D5925">
        <w:t xml:space="preserve">Table </w:t>
      </w:r>
      <w:r w:rsidR="005D5925">
        <w:rPr>
          <w:noProof/>
        </w:rPr>
        <w:t>B</w:t>
      </w:r>
      <w:r w:rsidR="005D5925">
        <w:noBreakHyphen/>
      </w:r>
      <w:r w:rsidR="005D5925">
        <w:rPr>
          <w:noProof/>
        </w:rPr>
        <w:t>1</w:t>
      </w:r>
      <w:r>
        <w:rPr>
          <w:lang w:eastAsia="en-AU"/>
        </w:rPr>
        <w:fldChar w:fldCharType="end"/>
      </w:r>
      <w:r>
        <w:rPr>
          <w:lang w:eastAsia="en-AU"/>
        </w:rPr>
        <w:t>)</w:t>
      </w:r>
      <w:r w:rsidRPr="00BF038F">
        <w:rPr>
          <w:lang w:eastAsia="en-AU"/>
        </w:rPr>
        <w:t xml:space="preserve">. </w:t>
      </w:r>
      <w:r w:rsidR="003046CC">
        <w:rPr>
          <w:lang w:eastAsia="en-AU"/>
        </w:rPr>
        <w:t xml:space="preserve"> </w:t>
      </w:r>
      <w:r w:rsidRPr="00BF038F">
        <w:rPr>
          <w:lang w:eastAsia="en-AU"/>
        </w:rPr>
        <w:t>This was done using water depth information from level loggers at the Bunnor bird</w:t>
      </w:r>
      <w:r>
        <w:rPr>
          <w:lang w:eastAsia="en-AU"/>
        </w:rPr>
        <w:t xml:space="preserve"> </w:t>
      </w:r>
      <w:r w:rsidRPr="00BF038F">
        <w:rPr>
          <w:lang w:eastAsia="en-AU"/>
        </w:rPr>
        <w:t>hide and Old Dromana remote camera sites</w:t>
      </w:r>
      <w:r>
        <w:rPr>
          <w:lang w:eastAsia="en-AU"/>
        </w:rPr>
        <w:t xml:space="preserve"> </w:t>
      </w:r>
      <w:r w:rsidR="003046CC">
        <w:rPr>
          <w:lang w:eastAsia="en-AU"/>
        </w:rPr>
        <w:br/>
      </w:r>
      <w:r>
        <w:rPr>
          <w:lang w:eastAsia="en-AU"/>
        </w:rPr>
        <w:t>(</w:t>
      </w:r>
      <w:r>
        <w:rPr>
          <w:highlight w:val="yellow"/>
          <w:lang w:eastAsia="en-AU"/>
        </w:rPr>
        <w:fldChar w:fldCharType="begin"/>
      </w:r>
      <w:r>
        <w:rPr>
          <w:lang w:eastAsia="en-AU"/>
        </w:rPr>
        <w:instrText xml:space="preserve"> REF _Ref457548279 \h </w:instrText>
      </w:r>
      <w:r>
        <w:rPr>
          <w:highlight w:val="yellow"/>
          <w:lang w:eastAsia="en-AU"/>
        </w:rPr>
      </w:r>
      <w:r>
        <w:rPr>
          <w:highlight w:val="yellow"/>
          <w:lang w:eastAsia="en-AU"/>
        </w:rPr>
        <w:fldChar w:fldCharType="separate"/>
      </w:r>
      <w:r w:rsidR="005D5925">
        <w:t xml:space="preserve">Figure </w:t>
      </w:r>
      <w:r w:rsidR="005D5925">
        <w:rPr>
          <w:noProof/>
        </w:rPr>
        <w:t>B</w:t>
      </w:r>
      <w:r w:rsidR="005D5925">
        <w:noBreakHyphen/>
      </w:r>
      <w:r w:rsidR="005D5925">
        <w:rPr>
          <w:noProof/>
        </w:rPr>
        <w:t>3</w:t>
      </w:r>
      <w:r>
        <w:rPr>
          <w:highlight w:val="yellow"/>
          <w:lang w:eastAsia="en-AU"/>
        </w:rPr>
        <w:fldChar w:fldCharType="end"/>
      </w:r>
      <w:r>
        <w:rPr>
          <w:lang w:eastAsia="en-AU"/>
        </w:rPr>
        <w:t>)</w:t>
      </w:r>
      <w:r w:rsidR="009E0782">
        <w:rPr>
          <w:lang w:eastAsia="en-AU"/>
        </w:rPr>
        <w:t>,</w:t>
      </w:r>
      <w:r>
        <w:rPr>
          <w:lang w:eastAsia="en-AU"/>
        </w:rPr>
        <w:t xml:space="preserve"> and</w:t>
      </w:r>
      <w:r w:rsidRPr="00BF038F">
        <w:rPr>
          <w:lang w:eastAsia="en-AU"/>
        </w:rPr>
        <w:t xml:space="preserve"> water depth estimates within vegetation plots surveyed during </w:t>
      </w:r>
      <w:r>
        <w:rPr>
          <w:lang w:eastAsia="en-AU"/>
        </w:rPr>
        <w:t xml:space="preserve">October </w:t>
      </w:r>
      <w:r w:rsidRPr="009273DA">
        <w:rPr>
          <w:lang w:eastAsia="en-AU"/>
        </w:rPr>
        <w:t xml:space="preserve">2015 </w:t>
      </w:r>
      <w:r w:rsidR="003046CC">
        <w:rPr>
          <w:lang w:eastAsia="en-AU"/>
        </w:rPr>
        <w:br/>
      </w:r>
      <w:r w:rsidRPr="009273DA">
        <w:rPr>
          <w:lang w:eastAsia="en-AU"/>
        </w:rPr>
        <w:t>(</w:t>
      </w:r>
      <w:r w:rsidR="009273DA" w:rsidRPr="009273DA">
        <w:rPr>
          <w:lang w:eastAsia="en-AU"/>
        </w:rPr>
        <w:fldChar w:fldCharType="begin"/>
      </w:r>
      <w:r w:rsidR="009273DA" w:rsidRPr="009273DA">
        <w:rPr>
          <w:lang w:eastAsia="en-AU"/>
        </w:rPr>
        <w:instrText xml:space="preserve"> REF _Ref457988274 \r \h </w:instrText>
      </w:r>
      <w:r w:rsidR="009273DA">
        <w:rPr>
          <w:lang w:eastAsia="en-AU"/>
        </w:rPr>
        <w:instrText xml:space="preserve"> \* MERGEFORMAT </w:instrText>
      </w:r>
      <w:r w:rsidR="009273DA" w:rsidRPr="009273DA">
        <w:rPr>
          <w:lang w:eastAsia="en-AU"/>
        </w:rPr>
      </w:r>
      <w:r w:rsidR="009273DA" w:rsidRPr="009273DA">
        <w:rPr>
          <w:lang w:eastAsia="en-AU"/>
        </w:rPr>
        <w:fldChar w:fldCharType="separate"/>
      </w:r>
      <w:r w:rsidR="005D5925">
        <w:rPr>
          <w:lang w:eastAsia="en-AU"/>
        </w:rPr>
        <w:t>Appendix G</w:t>
      </w:r>
      <w:r w:rsidR="009273DA" w:rsidRPr="009273DA">
        <w:rPr>
          <w:lang w:eastAsia="en-AU"/>
        </w:rPr>
        <w:fldChar w:fldCharType="end"/>
      </w:r>
      <w:r w:rsidRPr="009273DA">
        <w:rPr>
          <w:lang w:eastAsia="en-AU"/>
        </w:rPr>
        <w:t>).</w:t>
      </w:r>
      <w:r w:rsidRPr="00BF038F">
        <w:rPr>
          <w:lang w:eastAsia="en-AU"/>
        </w:rPr>
        <w:t xml:space="preserve"> </w:t>
      </w:r>
      <w:r w:rsidR="003046CC">
        <w:rPr>
          <w:lang w:eastAsia="en-AU"/>
        </w:rPr>
        <w:t xml:space="preserve"> </w:t>
      </w:r>
      <w:r w:rsidRPr="00BF038F">
        <w:rPr>
          <w:lang w:eastAsia="en-AU"/>
        </w:rPr>
        <w:t xml:space="preserve">As point depth measurements were taken at </w:t>
      </w:r>
      <w:r w:rsidRPr="002B4F54">
        <w:rPr>
          <w:lang w:eastAsia="en-AU"/>
        </w:rPr>
        <w:t>specific points in time, water level data f</w:t>
      </w:r>
      <w:r w:rsidR="006177FD">
        <w:rPr>
          <w:lang w:eastAsia="en-AU"/>
        </w:rPr>
        <w:t>rom the remote c</w:t>
      </w:r>
      <w:r w:rsidRPr="0092035E">
        <w:rPr>
          <w:lang w:eastAsia="en-AU"/>
        </w:rPr>
        <w:t xml:space="preserve">amera sites were used to adjust these measurements over time. </w:t>
      </w:r>
      <w:r w:rsidR="003046CC">
        <w:rPr>
          <w:lang w:eastAsia="en-AU"/>
        </w:rPr>
        <w:t xml:space="preserve"> </w:t>
      </w:r>
      <w:r w:rsidRPr="00BF038F">
        <w:rPr>
          <w:lang w:eastAsia="en-AU"/>
        </w:rPr>
        <w:t>Average depths for each vegetation community were estimated to the nearest 0.</w:t>
      </w:r>
      <w:r>
        <w:rPr>
          <w:lang w:eastAsia="en-AU"/>
        </w:rPr>
        <w:t>1</w:t>
      </w:r>
      <w:r w:rsidRPr="00BF038F">
        <w:rPr>
          <w:lang w:eastAsia="en-AU"/>
        </w:rPr>
        <w:t xml:space="preserve"> m, except where minimal depth of inundation was estimated, then a figure of 0.05 m was used. </w:t>
      </w:r>
      <w:r w:rsidR="003046CC">
        <w:rPr>
          <w:lang w:eastAsia="en-AU"/>
        </w:rPr>
        <w:t xml:space="preserve"> </w:t>
      </w:r>
      <w:r w:rsidRPr="00BF038F">
        <w:rPr>
          <w:lang w:eastAsia="en-AU"/>
        </w:rPr>
        <w:t xml:space="preserve">These were then multiplied by the area of each vegetation community to provide an estimate of the volume of surface water contained within each vegetation community. </w:t>
      </w:r>
      <w:r w:rsidR="003046CC">
        <w:rPr>
          <w:lang w:eastAsia="en-AU"/>
        </w:rPr>
        <w:t xml:space="preserve"> </w:t>
      </w:r>
      <w:r w:rsidRPr="00BF038F">
        <w:rPr>
          <w:lang w:eastAsia="en-AU"/>
        </w:rPr>
        <w:t>Areas classified as inundated were used to define the inundation extent in each Landsat image.</w:t>
      </w:r>
      <w:r>
        <w:rPr>
          <w:lang w:eastAsia="en-AU"/>
        </w:rPr>
        <w:t xml:space="preserve">  Lack of water depth reference data in the Mallowa wetlands precluded calculation of inundation volumes in this system. </w:t>
      </w:r>
    </w:p>
    <w:p w:rsidR="006177FD" w:rsidRDefault="006177FD" w:rsidP="00B35ECC">
      <w:pPr>
        <w:rPr>
          <w:lang w:eastAsia="en-AU"/>
        </w:rPr>
      </w:pPr>
    </w:p>
    <w:p w:rsidR="00B35ECC" w:rsidRDefault="004176FF" w:rsidP="00B35ECC">
      <w:pPr>
        <w:keepNext/>
        <w:spacing w:line="240" w:lineRule="auto"/>
      </w:pPr>
      <w:r w:rsidRPr="008F5E11">
        <w:rPr>
          <w:noProof/>
          <w:lang w:eastAsia="en-AU"/>
        </w:rPr>
        <w:drawing>
          <wp:inline distT="0" distB="0" distL="0" distR="0">
            <wp:extent cx="2876550" cy="3609975"/>
            <wp:effectExtent l="19050" t="19050" r="19050" b="28575"/>
            <wp:docPr id="10" name="Picture 273" descr="C:\Users\marks\Documents\LTIM files\old dromana RMcam_lighte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Users\marks\Documents\LTIM files\old dromana RMcam_lightened.jpg"/>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2876550" cy="3609975"/>
                    </a:xfrm>
                    <a:prstGeom prst="rect">
                      <a:avLst/>
                    </a:prstGeom>
                    <a:noFill/>
                    <a:ln w="9525" cmpd="sng">
                      <a:solidFill>
                        <a:srgbClr val="A6A6A6"/>
                      </a:solidFill>
                      <a:miter lim="800000"/>
                      <a:headEnd/>
                      <a:tailEnd/>
                    </a:ln>
                    <a:effectLst/>
                  </pic:spPr>
                </pic:pic>
              </a:graphicData>
            </a:graphic>
          </wp:inline>
        </w:drawing>
      </w:r>
      <w:r w:rsidRPr="008F5E11">
        <w:rPr>
          <w:noProof/>
          <w:lang w:eastAsia="en-AU"/>
        </w:rPr>
        <w:drawing>
          <wp:inline distT="0" distB="0" distL="0" distR="0">
            <wp:extent cx="2876550" cy="3600450"/>
            <wp:effectExtent l="19050" t="19050" r="19050" b="19050"/>
            <wp:docPr id="11" name="Picture 22" descr="\\Ecoarmdc\e$\Armidale\Synergy\Projects\14ARM\14ARMNRM\14ARMNRM-0001 Gwydir LTIM Stage 2\Photos\RM Cam install photo's\P10203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Ecoarmdc\e$\Armidale\Synergy\Projects\14ARM\14ARMNRM\14ARMNRM-0001 Gwydir LTIM Stage 2\Photos\RM Cam install photo's\P1020314.JPG"/>
                    <pic:cNvPicPr>
                      <a:picLocks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2876550" cy="3600450"/>
                    </a:xfrm>
                    <a:prstGeom prst="rect">
                      <a:avLst/>
                    </a:prstGeom>
                    <a:noFill/>
                    <a:ln w="9525" cmpd="sng">
                      <a:solidFill>
                        <a:srgbClr val="BFBFBF"/>
                      </a:solidFill>
                      <a:miter lim="800000"/>
                      <a:headEnd/>
                      <a:tailEnd/>
                    </a:ln>
                    <a:effectLst/>
                  </pic:spPr>
                </pic:pic>
              </a:graphicData>
            </a:graphic>
          </wp:inline>
        </w:drawing>
      </w:r>
    </w:p>
    <w:p w:rsidR="00B35ECC" w:rsidRDefault="00B35ECC" w:rsidP="00B35ECC">
      <w:pPr>
        <w:pStyle w:val="Caption"/>
        <w:rPr>
          <w:lang w:eastAsia="en-AU"/>
        </w:rPr>
      </w:pPr>
      <w:bookmarkStart w:id="16" w:name="_Ref457548279"/>
      <w:r>
        <w:t xml:space="preserve">Figure </w:t>
      </w:r>
      <w:fldSimple w:instr=" STYLEREF 6 \s ">
        <w:r w:rsidR="00673DAF">
          <w:rPr>
            <w:noProof/>
          </w:rPr>
          <w:t>B</w:t>
        </w:r>
      </w:fldSimple>
      <w:r w:rsidR="00673DAF">
        <w:noBreakHyphen/>
      </w:r>
      <w:fldSimple w:instr=" SEQ Figure \* ARABIC \s 6 ">
        <w:r w:rsidR="00673DAF">
          <w:rPr>
            <w:noProof/>
          </w:rPr>
          <w:t>3</w:t>
        </w:r>
      </w:fldSimple>
      <w:bookmarkEnd w:id="16"/>
      <w:r>
        <w:t xml:space="preserve"> Remote monitoring stations at Old Dromana wetland (left) and Bunnor birdhide wetland (right)</w:t>
      </w:r>
    </w:p>
    <w:p w:rsidR="00B35ECC" w:rsidRDefault="00B35ECC" w:rsidP="00B35ECC">
      <w:pPr>
        <w:rPr>
          <w:lang w:eastAsia="en-AU"/>
        </w:rPr>
      </w:pPr>
    </w:p>
    <w:p w:rsidR="00B35ECC" w:rsidRDefault="00B35ECC" w:rsidP="005F23F1">
      <w:pPr>
        <w:pStyle w:val="Caption"/>
      </w:pPr>
      <w:r>
        <w:rPr>
          <w:lang w:eastAsia="en-AU"/>
        </w:rPr>
        <w:br w:type="page"/>
      </w:r>
      <w:bookmarkStart w:id="17" w:name="_Ref456346877"/>
      <w:r>
        <w:t xml:space="preserve">Table </w:t>
      </w:r>
      <w:fldSimple w:instr=" STYLEREF 6 \s ">
        <w:r w:rsidR="005D5925">
          <w:rPr>
            <w:noProof/>
          </w:rPr>
          <w:t>B</w:t>
        </w:r>
      </w:fldSimple>
      <w:r w:rsidR="005D4453">
        <w:noBreakHyphen/>
      </w:r>
      <w:fldSimple w:instr=" SEQ Table \* ARABIC \s 6 ">
        <w:r w:rsidR="005D5925">
          <w:rPr>
            <w:noProof/>
          </w:rPr>
          <w:t>1</w:t>
        </w:r>
      </w:fldSimple>
      <w:bookmarkEnd w:id="17"/>
      <w:r>
        <w:t xml:space="preserve"> Average depth (m) of inundation for vegetation communities during the six image capture times.</w:t>
      </w:r>
    </w:p>
    <w:tbl>
      <w:tblPr>
        <w:tblW w:w="5000"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91"/>
        <w:gridCol w:w="3825"/>
        <w:gridCol w:w="709"/>
        <w:gridCol w:w="707"/>
        <w:gridCol w:w="709"/>
        <w:gridCol w:w="709"/>
        <w:gridCol w:w="709"/>
        <w:gridCol w:w="849"/>
      </w:tblGrid>
      <w:tr w:rsidR="00CC18AA" w:rsidRPr="005D4453" w:rsidTr="00CC18AA">
        <w:trPr>
          <w:trHeight w:val="302"/>
        </w:trPr>
        <w:tc>
          <w:tcPr>
            <w:tcW w:w="538" w:type="pct"/>
            <w:vMerge w:val="restart"/>
            <w:shd w:val="clear" w:color="auto" w:fill="D9D9D9"/>
            <w:noWrap/>
            <w:vAlign w:val="center"/>
            <w:hideMark/>
          </w:tcPr>
          <w:p w:rsidR="00B35ECC" w:rsidRPr="00CC18AA" w:rsidRDefault="00B35ECC" w:rsidP="00CC18AA">
            <w:pPr>
              <w:spacing w:before="60" w:after="60"/>
              <w:jc w:val="center"/>
              <w:rPr>
                <w:rFonts w:cs="Arial"/>
                <w:bCs/>
                <w:color w:val="000000"/>
                <w:sz w:val="18"/>
                <w:szCs w:val="18"/>
                <w:lang w:val="en-US"/>
              </w:rPr>
            </w:pPr>
            <w:r w:rsidRPr="00CC18AA">
              <w:rPr>
                <w:rFonts w:cs="Arial"/>
                <w:bCs/>
                <w:color w:val="000000"/>
                <w:sz w:val="18"/>
                <w:szCs w:val="18"/>
                <w:lang w:val="en-US"/>
              </w:rPr>
              <w:t>Wetland</w:t>
            </w:r>
          </w:p>
        </w:tc>
        <w:tc>
          <w:tcPr>
            <w:tcW w:w="2077" w:type="pct"/>
            <w:vMerge w:val="restart"/>
            <w:shd w:val="clear" w:color="auto" w:fill="D9D9D9"/>
            <w:noWrap/>
            <w:vAlign w:val="center"/>
            <w:hideMark/>
          </w:tcPr>
          <w:p w:rsidR="00B35ECC" w:rsidRPr="00CC18AA" w:rsidRDefault="00B35ECC" w:rsidP="00CC18AA">
            <w:pPr>
              <w:spacing w:before="60" w:after="60"/>
              <w:jc w:val="center"/>
              <w:rPr>
                <w:rFonts w:cs="Arial"/>
                <w:bCs/>
                <w:color w:val="000000"/>
                <w:sz w:val="18"/>
                <w:szCs w:val="18"/>
                <w:lang w:val="en-US"/>
              </w:rPr>
            </w:pPr>
            <w:r w:rsidRPr="00CC18AA">
              <w:rPr>
                <w:rFonts w:cs="Arial"/>
                <w:bCs/>
                <w:color w:val="000000"/>
                <w:sz w:val="18"/>
                <w:szCs w:val="18"/>
                <w:lang w:val="en-US"/>
              </w:rPr>
              <w:t>Vegetation Community</w:t>
            </w:r>
          </w:p>
        </w:tc>
        <w:tc>
          <w:tcPr>
            <w:tcW w:w="2384" w:type="pct"/>
            <w:gridSpan w:val="6"/>
            <w:shd w:val="clear" w:color="auto" w:fill="D9D9D9"/>
            <w:noWrap/>
            <w:vAlign w:val="center"/>
            <w:hideMark/>
          </w:tcPr>
          <w:p w:rsidR="00B35ECC" w:rsidRPr="00CC18AA" w:rsidRDefault="00B35ECC" w:rsidP="00CC18AA">
            <w:pPr>
              <w:spacing w:before="60" w:after="60"/>
              <w:jc w:val="center"/>
              <w:rPr>
                <w:rFonts w:cs="Arial"/>
                <w:bCs/>
                <w:color w:val="000000"/>
                <w:sz w:val="18"/>
                <w:szCs w:val="18"/>
                <w:lang w:val="en-US"/>
              </w:rPr>
            </w:pPr>
            <w:r w:rsidRPr="00CC18AA">
              <w:rPr>
                <w:rFonts w:cs="Arial"/>
                <w:bCs/>
                <w:color w:val="000000"/>
                <w:sz w:val="18"/>
                <w:szCs w:val="18"/>
                <w:lang w:val="en-US"/>
              </w:rPr>
              <w:t>Estimated average depth of inundation (m)</w:t>
            </w:r>
          </w:p>
        </w:tc>
      </w:tr>
      <w:tr w:rsidR="00CC18AA" w:rsidRPr="005D4453" w:rsidTr="00CC18AA">
        <w:trPr>
          <w:trHeight w:val="240"/>
        </w:trPr>
        <w:tc>
          <w:tcPr>
            <w:tcW w:w="538" w:type="pct"/>
            <w:vMerge/>
            <w:shd w:val="clear" w:color="auto" w:fill="auto"/>
            <w:vAlign w:val="center"/>
            <w:hideMark/>
          </w:tcPr>
          <w:p w:rsidR="00B35ECC" w:rsidRPr="00CC18AA" w:rsidRDefault="00B35ECC" w:rsidP="00CC18AA">
            <w:pPr>
              <w:spacing w:before="60" w:after="60"/>
              <w:jc w:val="center"/>
              <w:rPr>
                <w:rFonts w:cs="Arial"/>
                <w:bCs/>
                <w:color w:val="000000"/>
                <w:sz w:val="18"/>
                <w:szCs w:val="18"/>
                <w:lang w:val="en-US"/>
              </w:rPr>
            </w:pPr>
          </w:p>
        </w:tc>
        <w:tc>
          <w:tcPr>
            <w:tcW w:w="2077" w:type="pct"/>
            <w:vMerge/>
            <w:shd w:val="clear" w:color="auto" w:fill="auto"/>
            <w:vAlign w:val="center"/>
            <w:hideMark/>
          </w:tcPr>
          <w:p w:rsidR="00B35ECC" w:rsidRPr="00CC18AA" w:rsidRDefault="00B35ECC" w:rsidP="00CC18AA">
            <w:pPr>
              <w:spacing w:before="60" w:after="60"/>
              <w:jc w:val="center"/>
              <w:rPr>
                <w:rFonts w:cs="Arial"/>
                <w:color w:val="000000"/>
                <w:sz w:val="18"/>
                <w:szCs w:val="18"/>
                <w:lang w:val="en-US"/>
              </w:rPr>
            </w:pPr>
          </w:p>
        </w:tc>
        <w:tc>
          <w:tcPr>
            <w:tcW w:w="385" w:type="pct"/>
            <w:shd w:val="clear" w:color="auto" w:fill="D9D9D9"/>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Aug 15</w:t>
            </w:r>
          </w:p>
        </w:tc>
        <w:tc>
          <w:tcPr>
            <w:tcW w:w="384" w:type="pct"/>
            <w:shd w:val="clear" w:color="auto" w:fill="D9D9D9"/>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Oct 15</w:t>
            </w:r>
          </w:p>
        </w:tc>
        <w:tc>
          <w:tcPr>
            <w:tcW w:w="385" w:type="pct"/>
            <w:shd w:val="clear" w:color="auto" w:fill="D9D9D9"/>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Nov 15</w:t>
            </w:r>
          </w:p>
        </w:tc>
        <w:tc>
          <w:tcPr>
            <w:tcW w:w="385" w:type="pct"/>
            <w:shd w:val="clear" w:color="auto" w:fill="D9D9D9"/>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Feb 16</w:t>
            </w:r>
          </w:p>
        </w:tc>
        <w:tc>
          <w:tcPr>
            <w:tcW w:w="385" w:type="pct"/>
            <w:shd w:val="clear" w:color="auto" w:fill="D9D9D9"/>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Apr 16</w:t>
            </w:r>
          </w:p>
        </w:tc>
        <w:tc>
          <w:tcPr>
            <w:tcW w:w="461" w:type="pct"/>
            <w:shd w:val="clear" w:color="auto" w:fill="D9D9D9"/>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May 16</w:t>
            </w:r>
          </w:p>
        </w:tc>
      </w:tr>
      <w:tr w:rsidR="00CC18AA" w:rsidRPr="005D4453" w:rsidTr="00CC18AA">
        <w:trPr>
          <w:trHeight w:val="240"/>
        </w:trPr>
        <w:tc>
          <w:tcPr>
            <w:tcW w:w="538" w:type="pct"/>
            <w:vMerge w:val="restart"/>
            <w:shd w:val="clear" w:color="auto" w:fill="auto"/>
            <w:noWrap/>
            <w:textDirection w:val="btLr"/>
            <w:hideMark/>
          </w:tcPr>
          <w:p w:rsidR="00B35ECC" w:rsidRPr="00CC18AA" w:rsidRDefault="001C3C04" w:rsidP="00CC18AA">
            <w:pPr>
              <w:spacing w:before="60" w:after="60"/>
              <w:ind w:left="113" w:right="113"/>
              <w:jc w:val="center"/>
              <w:rPr>
                <w:rFonts w:cs="Arial"/>
                <w:bCs/>
                <w:color w:val="000000"/>
                <w:sz w:val="18"/>
                <w:szCs w:val="18"/>
                <w:lang w:val="en-US"/>
              </w:rPr>
            </w:pPr>
            <w:r w:rsidRPr="00CC18AA">
              <w:rPr>
                <w:rFonts w:cs="Arial"/>
                <w:bCs/>
                <w:color w:val="000000"/>
                <w:sz w:val="18"/>
                <w:szCs w:val="18"/>
                <w:lang w:val="en-US"/>
              </w:rPr>
              <w:t>lower</w:t>
            </w:r>
            <w:r w:rsidR="00B35ECC" w:rsidRPr="00CC18AA">
              <w:rPr>
                <w:rFonts w:cs="Arial"/>
                <w:bCs/>
                <w:color w:val="000000"/>
                <w:sz w:val="18"/>
                <w:szCs w:val="18"/>
                <w:lang w:val="en-US"/>
              </w:rPr>
              <w:t xml:space="preserve"> Gwydir</w:t>
            </w:r>
          </w:p>
        </w:tc>
        <w:tc>
          <w:tcPr>
            <w:tcW w:w="2077" w:type="pct"/>
            <w:shd w:val="clear" w:color="auto" w:fill="auto"/>
            <w:noWrap/>
            <w:vAlign w:val="center"/>
            <w:hideMark/>
          </w:tcPr>
          <w:p w:rsidR="00B35ECC" w:rsidRPr="00CC18AA" w:rsidRDefault="006177FD" w:rsidP="00CC18AA">
            <w:pPr>
              <w:spacing w:before="60" w:after="60"/>
              <w:jc w:val="left"/>
              <w:rPr>
                <w:rFonts w:cs="Arial"/>
                <w:color w:val="000000"/>
                <w:sz w:val="18"/>
                <w:szCs w:val="18"/>
                <w:lang w:val="en-US"/>
              </w:rPr>
            </w:pPr>
            <w:r w:rsidRPr="00CC18AA">
              <w:rPr>
                <w:rFonts w:cs="Arial"/>
                <w:color w:val="000000"/>
                <w:sz w:val="18"/>
                <w:szCs w:val="18"/>
                <w:lang w:val="en-US"/>
              </w:rPr>
              <w:t>common reed - marsh club-rush</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4"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461"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r>
      <w:tr w:rsidR="00CC18AA" w:rsidRPr="005D4453" w:rsidTr="00CC18AA">
        <w:trPr>
          <w:trHeight w:val="240"/>
        </w:trPr>
        <w:tc>
          <w:tcPr>
            <w:tcW w:w="538" w:type="pct"/>
            <w:vMerge/>
            <w:shd w:val="clear" w:color="auto" w:fill="auto"/>
            <w:hideMark/>
          </w:tcPr>
          <w:p w:rsidR="00B35ECC" w:rsidRPr="00CC18AA" w:rsidRDefault="00B35ECC" w:rsidP="00CC18AA">
            <w:pPr>
              <w:spacing w:before="60" w:after="60"/>
              <w:jc w:val="left"/>
              <w:rPr>
                <w:rFonts w:cs="Arial"/>
                <w:bCs/>
                <w:color w:val="000000"/>
                <w:sz w:val="18"/>
                <w:szCs w:val="18"/>
                <w:lang w:val="en-US"/>
              </w:rPr>
            </w:pPr>
          </w:p>
        </w:tc>
        <w:tc>
          <w:tcPr>
            <w:tcW w:w="2077" w:type="pct"/>
            <w:shd w:val="clear" w:color="auto" w:fill="auto"/>
            <w:noWrap/>
            <w:vAlign w:val="center"/>
            <w:hideMark/>
          </w:tcPr>
          <w:p w:rsidR="00B35ECC" w:rsidRPr="00CC18AA" w:rsidRDefault="006177FD" w:rsidP="00CC18AA">
            <w:pPr>
              <w:spacing w:before="60" w:after="60"/>
              <w:jc w:val="left"/>
              <w:rPr>
                <w:rFonts w:cs="Arial"/>
                <w:color w:val="000000"/>
                <w:sz w:val="18"/>
                <w:szCs w:val="18"/>
                <w:lang w:val="en-US"/>
              </w:rPr>
            </w:pPr>
            <w:r w:rsidRPr="00CC18AA">
              <w:rPr>
                <w:rFonts w:cs="Arial"/>
                <w:color w:val="000000"/>
                <w:sz w:val="18"/>
                <w:szCs w:val="18"/>
                <w:lang w:val="en-US"/>
              </w:rPr>
              <w:t>common reed - tussock sedge</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0.00</w:t>
            </w:r>
          </w:p>
        </w:tc>
        <w:tc>
          <w:tcPr>
            <w:tcW w:w="384" w:type="pct"/>
            <w:shd w:val="clear" w:color="auto" w:fill="auto"/>
            <w:noWrap/>
            <w:vAlign w:val="center"/>
            <w:hideMark/>
          </w:tcPr>
          <w:p w:rsidR="00B35ECC" w:rsidRPr="00CC18AA" w:rsidRDefault="00B35ECC" w:rsidP="00CC18AA">
            <w:pPr>
              <w:spacing w:before="60" w:after="60"/>
              <w:jc w:val="center"/>
              <w:rPr>
                <w:rFonts w:cs="Arial"/>
                <w:sz w:val="18"/>
                <w:szCs w:val="18"/>
                <w:lang w:val="en-US"/>
              </w:rPr>
            </w:pPr>
            <w:r w:rsidRPr="00CC18AA">
              <w:rPr>
                <w:rFonts w:cs="Arial"/>
                <w:sz w:val="18"/>
                <w:szCs w:val="18"/>
                <w:lang w:val="en-US"/>
              </w:rPr>
              <w:t>0.00</w:t>
            </w:r>
          </w:p>
        </w:tc>
        <w:tc>
          <w:tcPr>
            <w:tcW w:w="385" w:type="pct"/>
            <w:shd w:val="clear" w:color="auto" w:fill="auto"/>
            <w:noWrap/>
            <w:vAlign w:val="center"/>
            <w:hideMark/>
          </w:tcPr>
          <w:p w:rsidR="00B35ECC" w:rsidRPr="00CC18AA" w:rsidRDefault="00B35ECC" w:rsidP="00CC18AA">
            <w:pPr>
              <w:spacing w:before="60" w:after="60"/>
              <w:jc w:val="center"/>
              <w:rPr>
                <w:rFonts w:cs="Arial"/>
                <w:sz w:val="18"/>
                <w:szCs w:val="18"/>
                <w:lang w:val="en-US"/>
              </w:rPr>
            </w:pPr>
            <w:r w:rsidRPr="00CC18AA">
              <w:rPr>
                <w:rFonts w:cs="Arial"/>
                <w:sz w:val="18"/>
                <w:szCs w:val="18"/>
                <w:lang w:val="en-US"/>
              </w:rPr>
              <w:t>0.00</w:t>
            </w:r>
          </w:p>
        </w:tc>
        <w:tc>
          <w:tcPr>
            <w:tcW w:w="385" w:type="pct"/>
            <w:shd w:val="clear" w:color="auto" w:fill="auto"/>
            <w:noWrap/>
            <w:vAlign w:val="center"/>
            <w:hideMark/>
          </w:tcPr>
          <w:p w:rsidR="00B35ECC" w:rsidRPr="00CC18AA" w:rsidRDefault="00B35ECC" w:rsidP="00CC18AA">
            <w:pPr>
              <w:spacing w:before="60" w:after="60"/>
              <w:jc w:val="center"/>
              <w:rPr>
                <w:rFonts w:cs="Arial"/>
                <w:sz w:val="18"/>
                <w:szCs w:val="18"/>
                <w:lang w:val="en-US"/>
              </w:rPr>
            </w:pPr>
            <w:r w:rsidRPr="00CC18AA">
              <w:rPr>
                <w:rFonts w:cs="Arial"/>
                <w:sz w:val="18"/>
                <w:szCs w:val="18"/>
                <w:lang w:val="en-US"/>
              </w:rPr>
              <w:t>0.00</w:t>
            </w:r>
          </w:p>
        </w:tc>
        <w:tc>
          <w:tcPr>
            <w:tcW w:w="385" w:type="pct"/>
            <w:shd w:val="clear" w:color="auto" w:fill="auto"/>
            <w:noWrap/>
            <w:vAlign w:val="center"/>
            <w:hideMark/>
          </w:tcPr>
          <w:p w:rsidR="00B35ECC" w:rsidRPr="00CC18AA" w:rsidRDefault="00B35ECC" w:rsidP="00CC18AA">
            <w:pPr>
              <w:spacing w:before="60" w:after="60"/>
              <w:jc w:val="center"/>
              <w:rPr>
                <w:rFonts w:cs="Arial"/>
                <w:sz w:val="18"/>
                <w:szCs w:val="18"/>
                <w:lang w:val="en-US"/>
              </w:rPr>
            </w:pPr>
            <w:r w:rsidRPr="00CC18AA">
              <w:rPr>
                <w:rFonts w:cs="Arial"/>
                <w:sz w:val="18"/>
                <w:szCs w:val="18"/>
                <w:lang w:val="en-US"/>
              </w:rPr>
              <w:t>0.00</w:t>
            </w:r>
          </w:p>
        </w:tc>
        <w:tc>
          <w:tcPr>
            <w:tcW w:w="461"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r>
      <w:tr w:rsidR="00CC18AA" w:rsidRPr="005D4453" w:rsidTr="00CC18AA">
        <w:trPr>
          <w:trHeight w:val="240"/>
        </w:trPr>
        <w:tc>
          <w:tcPr>
            <w:tcW w:w="538" w:type="pct"/>
            <w:vMerge/>
            <w:shd w:val="clear" w:color="auto" w:fill="auto"/>
            <w:hideMark/>
          </w:tcPr>
          <w:p w:rsidR="00B35ECC" w:rsidRPr="00CC18AA" w:rsidRDefault="00B35ECC" w:rsidP="00CC18AA">
            <w:pPr>
              <w:spacing w:before="60" w:after="60"/>
              <w:jc w:val="left"/>
              <w:rPr>
                <w:rFonts w:cs="Arial"/>
                <w:bCs/>
                <w:color w:val="000000"/>
                <w:sz w:val="18"/>
                <w:szCs w:val="18"/>
                <w:lang w:val="en-US"/>
              </w:rPr>
            </w:pPr>
          </w:p>
        </w:tc>
        <w:tc>
          <w:tcPr>
            <w:tcW w:w="2077" w:type="pct"/>
            <w:shd w:val="clear" w:color="auto" w:fill="auto"/>
            <w:noWrap/>
            <w:vAlign w:val="center"/>
            <w:hideMark/>
          </w:tcPr>
          <w:p w:rsidR="00B35ECC" w:rsidRPr="00CC18AA" w:rsidRDefault="006177FD" w:rsidP="00CC18AA">
            <w:pPr>
              <w:spacing w:before="60" w:after="60"/>
              <w:jc w:val="left"/>
              <w:rPr>
                <w:rFonts w:cs="Arial"/>
                <w:color w:val="000000"/>
                <w:sz w:val="18"/>
                <w:szCs w:val="18"/>
                <w:lang w:val="en-US"/>
              </w:rPr>
            </w:pPr>
            <w:r w:rsidRPr="00CC18AA">
              <w:rPr>
                <w:rFonts w:cs="Arial"/>
                <w:color w:val="000000"/>
                <w:sz w:val="18"/>
                <w:szCs w:val="18"/>
                <w:lang w:val="en-US"/>
              </w:rPr>
              <w:t>coolibah - river red gum association</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4"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461"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r>
      <w:tr w:rsidR="00CC18AA" w:rsidRPr="005D4453" w:rsidTr="00CC18AA">
        <w:trPr>
          <w:trHeight w:val="240"/>
        </w:trPr>
        <w:tc>
          <w:tcPr>
            <w:tcW w:w="538" w:type="pct"/>
            <w:vMerge/>
            <w:shd w:val="clear" w:color="auto" w:fill="auto"/>
            <w:hideMark/>
          </w:tcPr>
          <w:p w:rsidR="00B35ECC" w:rsidRPr="00CC18AA" w:rsidRDefault="00B35ECC" w:rsidP="00CC18AA">
            <w:pPr>
              <w:spacing w:before="60" w:after="60"/>
              <w:jc w:val="left"/>
              <w:rPr>
                <w:rFonts w:cs="Arial"/>
                <w:bCs/>
                <w:color w:val="000000"/>
                <w:sz w:val="18"/>
                <w:szCs w:val="18"/>
                <w:lang w:val="en-US"/>
              </w:rPr>
            </w:pPr>
          </w:p>
        </w:tc>
        <w:tc>
          <w:tcPr>
            <w:tcW w:w="2077" w:type="pct"/>
            <w:shd w:val="clear" w:color="auto" w:fill="auto"/>
            <w:noWrap/>
            <w:vAlign w:val="center"/>
            <w:hideMark/>
          </w:tcPr>
          <w:p w:rsidR="00B35ECC" w:rsidRPr="00CC18AA" w:rsidRDefault="006177FD" w:rsidP="00CC18AA">
            <w:pPr>
              <w:spacing w:before="60" w:after="60"/>
              <w:jc w:val="left"/>
              <w:rPr>
                <w:rFonts w:cs="Arial"/>
                <w:color w:val="000000"/>
                <w:sz w:val="18"/>
                <w:szCs w:val="18"/>
                <w:lang w:val="en-US"/>
              </w:rPr>
            </w:pPr>
            <w:r w:rsidRPr="00CC18AA">
              <w:rPr>
                <w:rFonts w:cs="Arial"/>
                <w:color w:val="000000"/>
                <w:sz w:val="18"/>
                <w:szCs w:val="18"/>
                <w:lang w:val="en-US"/>
              </w:rPr>
              <w:t>cultivated land</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4"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0.00</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0.00</w:t>
            </w:r>
          </w:p>
        </w:tc>
        <w:tc>
          <w:tcPr>
            <w:tcW w:w="385" w:type="pct"/>
            <w:shd w:val="clear" w:color="auto" w:fill="auto"/>
            <w:noWrap/>
            <w:vAlign w:val="center"/>
            <w:hideMark/>
          </w:tcPr>
          <w:p w:rsidR="00B35ECC" w:rsidRPr="00CC18AA" w:rsidRDefault="00B35ECC" w:rsidP="00CC18AA">
            <w:pPr>
              <w:spacing w:before="60" w:after="60"/>
              <w:jc w:val="center"/>
              <w:rPr>
                <w:rFonts w:cs="Arial"/>
                <w:sz w:val="18"/>
                <w:szCs w:val="18"/>
                <w:lang w:val="en-US"/>
              </w:rPr>
            </w:pPr>
            <w:r w:rsidRPr="00CC18AA">
              <w:rPr>
                <w:rFonts w:cs="Arial"/>
                <w:sz w:val="18"/>
                <w:szCs w:val="18"/>
                <w:lang w:val="en-US"/>
              </w:rPr>
              <w:t>0.00</w:t>
            </w:r>
          </w:p>
        </w:tc>
        <w:tc>
          <w:tcPr>
            <w:tcW w:w="461" w:type="pct"/>
            <w:shd w:val="clear" w:color="auto" w:fill="auto"/>
            <w:noWrap/>
            <w:vAlign w:val="center"/>
            <w:hideMark/>
          </w:tcPr>
          <w:p w:rsidR="00B35ECC" w:rsidRPr="00CC18AA" w:rsidRDefault="00B35ECC" w:rsidP="00CC18AA">
            <w:pPr>
              <w:spacing w:before="60" w:after="60"/>
              <w:jc w:val="center"/>
              <w:rPr>
                <w:rFonts w:cs="Arial"/>
                <w:sz w:val="18"/>
                <w:szCs w:val="18"/>
                <w:lang w:val="en-US"/>
              </w:rPr>
            </w:pPr>
            <w:r w:rsidRPr="00CC18AA">
              <w:rPr>
                <w:rFonts w:cs="Arial"/>
                <w:sz w:val="18"/>
                <w:szCs w:val="18"/>
                <w:lang w:val="en-US"/>
              </w:rPr>
              <w:t>0.00</w:t>
            </w:r>
          </w:p>
        </w:tc>
      </w:tr>
      <w:tr w:rsidR="00CC18AA" w:rsidRPr="005D4453" w:rsidTr="00CC18AA">
        <w:trPr>
          <w:trHeight w:val="240"/>
        </w:trPr>
        <w:tc>
          <w:tcPr>
            <w:tcW w:w="538" w:type="pct"/>
            <w:vMerge/>
            <w:shd w:val="clear" w:color="auto" w:fill="auto"/>
            <w:hideMark/>
          </w:tcPr>
          <w:p w:rsidR="00B35ECC" w:rsidRPr="00CC18AA" w:rsidRDefault="00B35ECC" w:rsidP="00CC18AA">
            <w:pPr>
              <w:spacing w:before="60" w:after="60"/>
              <w:jc w:val="left"/>
              <w:rPr>
                <w:rFonts w:cs="Arial"/>
                <w:bCs/>
                <w:color w:val="000000"/>
                <w:sz w:val="18"/>
                <w:szCs w:val="18"/>
                <w:lang w:val="en-US"/>
              </w:rPr>
            </w:pPr>
          </w:p>
        </w:tc>
        <w:tc>
          <w:tcPr>
            <w:tcW w:w="2077" w:type="pct"/>
            <w:shd w:val="clear" w:color="auto" w:fill="auto"/>
            <w:noWrap/>
            <w:vAlign w:val="center"/>
            <w:hideMark/>
          </w:tcPr>
          <w:p w:rsidR="00B35ECC" w:rsidRPr="00CC18AA" w:rsidRDefault="006177FD" w:rsidP="00CC18AA">
            <w:pPr>
              <w:spacing w:before="60" w:after="60"/>
              <w:jc w:val="left"/>
              <w:rPr>
                <w:rFonts w:cs="Arial"/>
                <w:color w:val="000000"/>
                <w:sz w:val="18"/>
                <w:szCs w:val="18"/>
                <w:lang w:val="en-US"/>
              </w:rPr>
            </w:pPr>
            <w:r w:rsidRPr="00CC18AA">
              <w:rPr>
                <w:rFonts w:cs="Arial"/>
                <w:color w:val="000000"/>
                <w:sz w:val="18"/>
                <w:szCs w:val="18"/>
                <w:lang w:val="en-US"/>
              </w:rPr>
              <w:t>cumbungi - marsh club-rush</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0.00</w:t>
            </w:r>
          </w:p>
        </w:tc>
        <w:tc>
          <w:tcPr>
            <w:tcW w:w="384" w:type="pct"/>
            <w:shd w:val="clear" w:color="auto" w:fill="auto"/>
            <w:noWrap/>
            <w:vAlign w:val="center"/>
            <w:hideMark/>
          </w:tcPr>
          <w:p w:rsidR="00B35ECC" w:rsidRPr="00CC18AA" w:rsidRDefault="00B35ECC" w:rsidP="00CC18AA">
            <w:pPr>
              <w:spacing w:before="60" w:after="60"/>
              <w:jc w:val="center"/>
              <w:rPr>
                <w:rFonts w:cs="Arial"/>
                <w:sz w:val="18"/>
                <w:szCs w:val="18"/>
                <w:lang w:val="en-US"/>
              </w:rPr>
            </w:pPr>
            <w:r w:rsidRPr="00CC18AA">
              <w:rPr>
                <w:rFonts w:cs="Arial"/>
                <w:sz w:val="18"/>
                <w:szCs w:val="18"/>
                <w:lang w:val="en-US"/>
              </w:rPr>
              <w:t>0.00</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0.00</w:t>
            </w:r>
          </w:p>
        </w:tc>
        <w:tc>
          <w:tcPr>
            <w:tcW w:w="385" w:type="pct"/>
            <w:shd w:val="clear" w:color="auto" w:fill="auto"/>
            <w:noWrap/>
            <w:vAlign w:val="center"/>
            <w:hideMark/>
          </w:tcPr>
          <w:p w:rsidR="00B35ECC" w:rsidRPr="00CC18AA" w:rsidRDefault="00B35ECC" w:rsidP="00CC18AA">
            <w:pPr>
              <w:spacing w:before="60" w:after="60"/>
              <w:jc w:val="center"/>
              <w:rPr>
                <w:rFonts w:cs="Arial"/>
                <w:sz w:val="18"/>
                <w:szCs w:val="18"/>
                <w:lang w:val="en-US"/>
              </w:rPr>
            </w:pPr>
            <w:r w:rsidRPr="00CC18AA">
              <w:rPr>
                <w:rFonts w:cs="Arial"/>
                <w:sz w:val="18"/>
                <w:szCs w:val="18"/>
                <w:lang w:val="en-US"/>
              </w:rPr>
              <w:t>0.00</w:t>
            </w:r>
          </w:p>
        </w:tc>
        <w:tc>
          <w:tcPr>
            <w:tcW w:w="461"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r>
      <w:tr w:rsidR="00CC18AA" w:rsidRPr="005D4453" w:rsidTr="00CC18AA">
        <w:trPr>
          <w:trHeight w:val="240"/>
        </w:trPr>
        <w:tc>
          <w:tcPr>
            <w:tcW w:w="538" w:type="pct"/>
            <w:vMerge/>
            <w:shd w:val="clear" w:color="auto" w:fill="auto"/>
            <w:hideMark/>
          </w:tcPr>
          <w:p w:rsidR="00B35ECC" w:rsidRPr="00CC18AA" w:rsidRDefault="00B35ECC" w:rsidP="00CC18AA">
            <w:pPr>
              <w:spacing w:before="60" w:after="60"/>
              <w:jc w:val="left"/>
              <w:rPr>
                <w:rFonts w:cs="Arial"/>
                <w:bCs/>
                <w:color w:val="000000"/>
                <w:sz w:val="18"/>
                <w:szCs w:val="18"/>
                <w:lang w:val="en-US"/>
              </w:rPr>
            </w:pPr>
          </w:p>
        </w:tc>
        <w:tc>
          <w:tcPr>
            <w:tcW w:w="2077" w:type="pct"/>
            <w:shd w:val="clear" w:color="auto" w:fill="auto"/>
            <w:noWrap/>
            <w:vAlign w:val="center"/>
            <w:hideMark/>
          </w:tcPr>
          <w:p w:rsidR="00B35ECC" w:rsidRPr="00CC18AA" w:rsidRDefault="006177FD" w:rsidP="00CC18AA">
            <w:pPr>
              <w:spacing w:before="60" w:after="60"/>
              <w:jc w:val="left"/>
              <w:rPr>
                <w:rFonts w:cs="Arial"/>
                <w:color w:val="000000"/>
                <w:sz w:val="18"/>
                <w:szCs w:val="18"/>
                <w:lang w:val="en-US"/>
              </w:rPr>
            </w:pPr>
            <w:r w:rsidRPr="00CC18AA">
              <w:rPr>
                <w:rFonts w:cs="Arial"/>
                <w:color w:val="000000"/>
                <w:sz w:val="18"/>
                <w:szCs w:val="18"/>
                <w:lang w:val="en-US"/>
              </w:rPr>
              <w:t>natural water body</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0.4</w:t>
            </w:r>
          </w:p>
        </w:tc>
        <w:tc>
          <w:tcPr>
            <w:tcW w:w="384"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0.5</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0.00</w:t>
            </w:r>
          </w:p>
        </w:tc>
        <w:tc>
          <w:tcPr>
            <w:tcW w:w="385" w:type="pct"/>
            <w:shd w:val="clear" w:color="auto" w:fill="auto"/>
            <w:noWrap/>
            <w:vAlign w:val="center"/>
            <w:hideMark/>
          </w:tcPr>
          <w:p w:rsidR="00B35ECC" w:rsidRPr="00CC18AA" w:rsidRDefault="00B35ECC" w:rsidP="00CC18AA">
            <w:pPr>
              <w:spacing w:before="60" w:after="60"/>
              <w:jc w:val="center"/>
              <w:rPr>
                <w:rFonts w:cs="Arial"/>
                <w:sz w:val="18"/>
                <w:szCs w:val="18"/>
                <w:lang w:val="en-US"/>
              </w:rPr>
            </w:pPr>
            <w:r w:rsidRPr="00CC18AA">
              <w:rPr>
                <w:rFonts w:cs="Arial"/>
                <w:sz w:val="18"/>
                <w:szCs w:val="18"/>
                <w:lang w:val="en-US"/>
              </w:rPr>
              <w:t>0.00</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0.5</w:t>
            </w:r>
          </w:p>
        </w:tc>
        <w:tc>
          <w:tcPr>
            <w:tcW w:w="461"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0.00</w:t>
            </w:r>
          </w:p>
        </w:tc>
      </w:tr>
      <w:tr w:rsidR="00CC18AA" w:rsidRPr="005D4453" w:rsidTr="00CC18AA">
        <w:trPr>
          <w:trHeight w:val="240"/>
        </w:trPr>
        <w:tc>
          <w:tcPr>
            <w:tcW w:w="538" w:type="pct"/>
            <w:vMerge/>
            <w:shd w:val="clear" w:color="auto" w:fill="auto"/>
            <w:hideMark/>
          </w:tcPr>
          <w:p w:rsidR="00B35ECC" w:rsidRPr="00CC18AA" w:rsidRDefault="00B35ECC" w:rsidP="00CC18AA">
            <w:pPr>
              <w:spacing w:before="60" w:after="60"/>
              <w:jc w:val="left"/>
              <w:rPr>
                <w:rFonts w:cs="Arial"/>
                <w:bCs/>
                <w:color w:val="000000"/>
                <w:sz w:val="18"/>
                <w:szCs w:val="18"/>
                <w:lang w:val="en-US"/>
              </w:rPr>
            </w:pPr>
          </w:p>
        </w:tc>
        <w:tc>
          <w:tcPr>
            <w:tcW w:w="2077" w:type="pct"/>
            <w:shd w:val="clear" w:color="auto" w:fill="auto"/>
            <w:noWrap/>
            <w:vAlign w:val="center"/>
            <w:hideMark/>
          </w:tcPr>
          <w:p w:rsidR="00B35ECC" w:rsidRPr="00CC18AA" w:rsidRDefault="006177FD" w:rsidP="00CC18AA">
            <w:pPr>
              <w:spacing w:before="60" w:after="60"/>
              <w:jc w:val="left"/>
              <w:rPr>
                <w:rFonts w:cs="Arial"/>
                <w:color w:val="000000"/>
                <w:sz w:val="18"/>
                <w:szCs w:val="18"/>
                <w:lang w:val="en-US"/>
              </w:rPr>
            </w:pPr>
            <w:r w:rsidRPr="00CC18AA">
              <w:rPr>
                <w:rFonts w:cs="Arial"/>
                <w:color w:val="000000"/>
                <w:sz w:val="18"/>
                <w:szCs w:val="18"/>
                <w:lang w:val="en-US"/>
              </w:rPr>
              <w:t>river cooba - lignum association</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0.1</w:t>
            </w:r>
          </w:p>
        </w:tc>
        <w:tc>
          <w:tcPr>
            <w:tcW w:w="384"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0.1</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p>
        </w:tc>
        <w:tc>
          <w:tcPr>
            <w:tcW w:w="461"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r>
      <w:tr w:rsidR="00CC18AA" w:rsidRPr="005D4453" w:rsidTr="00CC18AA">
        <w:trPr>
          <w:trHeight w:val="240"/>
        </w:trPr>
        <w:tc>
          <w:tcPr>
            <w:tcW w:w="538" w:type="pct"/>
            <w:vMerge/>
            <w:shd w:val="clear" w:color="auto" w:fill="auto"/>
            <w:hideMark/>
          </w:tcPr>
          <w:p w:rsidR="00B35ECC" w:rsidRPr="00CC18AA" w:rsidRDefault="00B35ECC" w:rsidP="00CC18AA">
            <w:pPr>
              <w:spacing w:before="60" w:after="60"/>
              <w:jc w:val="left"/>
              <w:rPr>
                <w:rFonts w:cs="Arial"/>
                <w:bCs/>
                <w:color w:val="000000"/>
                <w:sz w:val="18"/>
                <w:szCs w:val="18"/>
                <w:lang w:val="en-US"/>
              </w:rPr>
            </w:pPr>
          </w:p>
        </w:tc>
        <w:tc>
          <w:tcPr>
            <w:tcW w:w="2077" w:type="pct"/>
            <w:shd w:val="clear" w:color="auto" w:fill="auto"/>
            <w:noWrap/>
            <w:vAlign w:val="center"/>
            <w:hideMark/>
          </w:tcPr>
          <w:p w:rsidR="00B35ECC" w:rsidRPr="00CC18AA" w:rsidRDefault="006177FD" w:rsidP="00CC18AA">
            <w:pPr>
              <w:spacing w:before="60" w:after="60"/>
              <w:jc w:val="left"/>
              <w:rPr>
                <w:rFonts w:cs="Arial"/>
                <w:color w:val="000000"/>
                <w:sz w:val="18"/>
                <w:szCs w:val="18"/>
                <w:lang w:val="en-US"/>
              </w:rPr>
            </w:pPr>
            <w:r w:rsidRPr="00CC18AA">
              <w:rPr>
                <w:rFonts w:cs="Arial"/>
                <w:color w:val="000000"/>
                <w:sz w:val="18"/>
                <w:szCs w:val="18"/>
                <w:lang w:val="en-US"/>
              </w:rPr>
              <w:t>water couch - spike-rush - tussock rush</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0.1</w:t>
            </w:r>
          </w:p>
        </w:tc>
        <w:tc>
          <w:tcPr>
            <w:tcW w:w="384"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0.1</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461"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r>
      <w:tr w:rsidR="00CC18AA" w:rsidRPr="005D4453" w:rsidTr="00CC18AA">
        <w:trPr>
          <w:trHeight w:val="240"/>
        </w:trPr>
        <w:tc>
          <w:tcPr>
            <w:tcW w:w="538" w:type="pct"/>
            <w:vMerge w:val="restart"/>
            <w:shd w:val="clear" w:color="auto" w:fill="auto"/>
            <w:noWrap/>
            <w:textDirection w:val="btLr"/>
            <w:hideMark/>
          </w:tcPr>
          <w:p w:rsidR="00B35ECC" w:rsidRPr="00CC18AA" w:rsidRDefault="00B35ECC" w:rsidP="00CC18AA">
            <w:pPr>
              <w:spacing w:before="60" w:after="60"/>
              <w:ind w:left="113" w:right="113"/>
              <w:jc w:val="center"/>
              <w:rPr>
                <w:rFonts w:cs="Arial"/>
                <w:bCs/>
                <w:color w:val="000000"/>
                <w:sz w:val="18"/>
                <w:szCs w:val="18"/>
                <w:lang w:val="en-US"/>
              </w:rPr>
            </w:pPr>
            <w:r w:rsidRPr="00CC18AA">
              <w:rPr>
                <w:rFonts w:cs="Arial"/>
                <w:bCs/>
                <w:color w:val="000000"/>
                <w:sz w:val="18"/>
                <w:szCs w:val="18"/>
                <w:lang w:val="en-US"/>
              </w:rPr>
              <w:t>Gingham</w:t>
            </w:r>
          </w:p>
        </w:tc>
        <w:tc>
          <w:tcPr>
            <w:tcW w:w="2077" w:type="pct"/>
            <w:shd w:val="clear" w:color="auto" w:fill="auto"/>
            <w:noWrap/>
            <w:vAlign w:val="center"/>
            <w:hideMark/>
          </w:tcPr>
          <w:p w:rsidR="00B35ECC" w:rsidRPr="00CC18AA" w:rsidRDefault="006177FD" w:rsidP="00CC18AA">
            <w:pPr>
              <w:spacing w:before="60" w:after="60"/>
              <w:jc w:val="left"/>
              <w:rPr>
                <w:rFonts w:cs="Arial"/>
                <w:color w:val="000000"/>
                <w:sz w:val="18"/>
                <w:szCs w:val="18"/>
                <w:lang w:val="en-US"/>
              </w:rPr>
            </w:pPr>
            <w:r w:rsidRPr="00CC18AA">
              <w:rPr>
                <w:rFonts w:cs="Arial"/>
                <w:color w:val="000000"/>
                <w:sz w:val="18"/>
                <w:szCs w:val="18"/>
                <w:lang w:val="en-US"/>
              </w:rPr>
              <w:t>baradine red gum shrubby open forest</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0.00</w:t>
            </w:r>
          </w:p>
        </w:tc>
        <w:tc>
          <w:tcPr>
            <w:tcW w:w="384"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0.00</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461"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r>
      <w:tr w:rsidR="00CC18AA" w:rsidRPr="005D4453" w:rsidTr="00CC18AA">
        <w:trPr>
          <w:trHeight w:val="240"/>
        </w:trPr>
        <w:tc>
          <w:tcPr>
            <w:tcW w:w="538" w:type="pct"/>
            <w:vMerge/>
            <w:shd w:val="clear" w:color="auto" w:fill="auto"/>
            <w:hideMark/>
          </w:tcPr>
          <w:p w:rsidR="00B35ECC" w:rsidRPr="00CC18AA" w:rsidRDefault="00B35ECC" w:rsidP="00CC18AA">
            <w:pPr>
              <w:spacing w:before="60" w:after="60"/>
              <w:jc w:val="left"/>
              <w:rPr>
                <w:rFonts w:cs="Arial"/>
                <w:bCs/>
                <w:color w:val="000000"/>
                <w:sz w:val="18"/>
                <w:szCs w:val="18"/>
                <w:lang w:val="en-US"/>
              </w:rPr>
            </w:pPr>
          </w:p>
        </w:tc>
        <w:tc>
          <w:tcPr>
            <w:tcW w:w="2077" w:type="pct"/>
            <w:shd w:val="clear" w:color="auto" w:fill="auto"/>
            <w:noWrap/>
            <w:vAlign w:val="center"/>
            <w:hideMark/>
          </w:tcPr>
          <w:p w:rsidR="00B35ECC" w:rsidRPr="00CC18AA" w:rsidRDefault="006177FD" w:rsidP="00CC18AA">
            <w:pPr>
              <w:spacing w:before="60" w:after="60"/>
              <w:jc w:val="left"/>
              <w:rPr>
                <w:rFonts w:cs="Arial"/>
                <w:color w:val="000000"/>
                <w:sz w:val="18"/>
                <w:szCs w:val="18"/>
                <w:lang w:val="en-US"/>
              </w:rPr>
            </w:pPr>
            <w:r w:rsidRPr="00CC18AA">
              <w:rPr>
                <w:rFonts w:cs="Arial"/>
                <w:color w:val="000000"/>
                <w:sz w:val="18"/>
                <w:szCs w:val="18"/>
                <w:lang w:val="en-US"/>
              </w:rPr>
              <w:t>belah grassy woodland</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4"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461"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r>
      <w:tr w:rsidR="00CC18AA" w:rsidRPr="005D4453" w:rsidTr="00CC18AA">
        <w:trPr>
          <w:trHeight w:val="240"/>
        </w:trPr>
        <w:tc>
          <w:tcPr>
            <w:tcW w:w="538" w:type="pct"/>
            <w:vMerge/>
            <w:shd w:val="clear" w:color="auto" w:fill="auto"/>
            <w:hideMark/>
          </w:tcPr>
          <w:p w:rsidR="00B35ECC" w:rsidRPr="00CC18AA" w:rsidRDefault="00B35ECC" w:rsidP="00CC18AA">
            <w:pPr>
              <w:spacing w:before="60" w:after="60"/>
              <w:jc w:val="left"/>
              <w:rPr>
                <w:rFonts w:cs="Arial"/>
                <w:bCs/>
                <w:color w:val="000000"/>
                <w:sz w:val="18"/>
                <w:szCs w:val="18"/>
                <w:lang w:val="en-US"/>
              </w:rPr>
            </w:pPr>
          </w:p>
        </w:tc>
        <w:tc>
          <w:tcPr>
            <w:tcW w:w="2077" w:type="pct"/>
            <w:shd w:val="clear" w:color="auto" w:fill="auto"/>
            <w:noWrap/>
            <w:vAlign w:val="center"/>
            <w:hideMark/>
          </w:tcPr>
          <w:p w:rsidR="00B35ECC" w:rsidRPr="00CC18AA" w:rsidRDefault="006177FD" w:rsidP="00CC18AA">
            <w:pPr>
              <w:spacing w:before="60" w:after="60"/>
              <w:jc w:val="left"/>
              <w:rPr>
                <w:rFonts w:cs="Arial"/>
                <w:color w:val="000000"/>
                <w:sz w:val="18"/>
                <w:szCs w:val="18"/>
                <w:lang w:val="en-US"/>
              </w:rPr>
            </w:pPr>
            <w:r w:rsidRPr="00CC18AA">
              <w:rPr>
                <w:rFonts w:cs="Arial"/>
                <w:color w:val="000000"/>
                <w:sz w:val="18"/>
                <w:szCs w:val="18"/>
                <w:lang w:val="en-US"/>
              </w:rPr>
              <w:t>carbeen grassy woodland</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0.00</w:t>
            </w:r>
          </w:p>
        </w:tc>
        <w:tc>
          <w:tcPr>
            <w:tcW w:w="384" w:type="pct"/>
            <w:shd w:val="clear" w:color="auto" w:fill="auto"/>
            <w:noWrap/>
            <w:vAlign w:val="center"/>
            <w:hideMark/>
          </w:tcPr>
          <w:p w:rsidR="00B35ECC" w:rsidRPr="00CC18AA" w:rsidRDefault="00B35ECC" w:rsidP="00CC18AA">
            <w:pPr>
              <w:spacing w:before="60" w:after="60"/>
              <w:jc w:val="center"/>
              <w:rPr>
                <w:rFonts w:cs="Arial"/>
                <w:sz w:val="18"/>
                <w:szCs w:val="18"/>
                <w:lang w:val="en-US"/>
              </w:rPr>
            </w:pPr>
            <w:r w:rsidRPr="00CC18AA">
              <w:rPr>
                <w:rFonts w:cs="Arial"/>
                <w:sz w:val="18"/>
                <w:szCs w:val="18"/>
                <w:lang w:val="en-US"/>
              </w:rPr>
              <w:t>0.00</w:t>
            </w:r>
          </w:p>
        </w:tc>
        <w:tc>
          <w:tcPr>
            <w:tcW w:w="385" w:type="pct"/>
            <w:shd w:val="clear" w:color="auto" w:fill="auto"/>
            <w:noWrap/>
            <w:vAlign w:val="center"/>
            <w:hideMark/>
          </w:tcPr>
          <w:p w:rsidR="00B35ECC" w:rsidRPr="00CC18AA" w:rsidRDefault="00B35ECC" w:rsidP="00CC18AA">
            <w:pPr>
              <w:spacing w:before="60" w:after="60"/>
              <w:jc w:val="center"/>
              <w:rPr>
                <w:rFonts w:cs="Arial"/>
                <w:sz w:val="18"/>
                <w:szCs w:val="18"/>
                <w:lang w:val="en-US"/>
              </w:rPr>
            </w:pPr>
            <w:r w:rsidRPr="00CC18AA">
              <w:rPr>
                <w:rFonts w:cs="Arial"/>
                <w:sz w:val="18"/>
                <w:szCs w:val="18"/>
                <w:lang w:val="en-US"/>
              </w:rPr>
              <w:t>0.00</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461"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r>
      <w:tr w:rsidR="00CC18AA" w:rsidRPr="005D4453" w:rsidTr="00CC18AA">
        <w:trPr>
          <w:trHeight w:val="240"/>
        </w:trPr>
        <w:tc>
          <w:tcPr>
            <w:tcW w:w="538" w:type="pct"/>
            <w:vMerge/>
            <w:shd w:val="clear" w:color="auto" w:fill="auto"/>
            <w:hideMark/>
          </w:tcPr>
          <w:p w:rsidR="00B35ECC" w:rsidRPr="00CC18AA" w:rsidRDefault="00B35ECC" w:rsidP="00CC18AA">
            <w:pPr>
              <w:spacing w:before="60" w:after="60"/>
              <w:jc w:val="left"/>
              <w:rPr>
                <w:rFonts w:cs="Arial"/>
                <w:bCs/>
                <w:color w:val="000000"/>
                <w:sz w:val="18"/>
                <w:szCs w:val="18"/>
                <w:lang w:val="en-US"/>
              </w:rPr>
            </w:pPr>
          </w:p>
        </w:tc>
        <w:tc>
          <w:tcPr>
            <w:tcW w:w="2077" w:type="pct"/>
            <w:shd w:val="clear" w:color="auto" w:fill="auto"/>
            <w:noWrap/>
            <w:vAlign w:val="center"/>
            <w:hideMark/>
          </w:tcPr>
          <w:p w:rsidR="00B35ECC" w:rsidRPr="00CC18AA" w:rsidRDefault="006177FD" w:rsidP="00CC18AA">
            <w:pPr>
              <w:spacing w:before="60" w:after="60"/>
              <w:jc w:val="left"/>
              <w:rPr>
                <w:rFonts w:cs="Arial"/>
                <w:color w:val="000000"/>
                <w:sz w:val="18"/>
                <w:szCs w:val="18"/>
                <w:lang w:val="en-US"/>
              </w:rPr>
            </w:pPr>
            <w:r w:rsidRPr="00CC18AA">
              <w:rPr>
                <w:rFonts w:cs="Arial"/>
                <w:color w:val="000000"/>
                <w:sz w:val="18"/>
                <w:szCs w:val="18"/>
                <w:lang w:val="en-US"/>
              </w:rPr>
              <w:t>cleared land</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4"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0.00</w:t>
            </w:r>
          </w:p>
        </w:tc>
        <w:tc>
          <w:tcPr>
            <w:tcW w:w="385" w:type="pct"/>
            <w:shd w:val="clear" w:color="auto" w:fill="auto"/>
            <w:noWrap/>
            <w:vAlign w:val="center"/>
            <w:hideMark/>
          </w:tcPr>
          <w:p w:rsidR="00B35ECC" w:rsidRPr="00CC18AA" w:rsidRDefault="00B35ECC" w:rsidP="00CC18AA">
            <w:pPr>
              <w:spacing w:before="60" w:after="60"/>
              <w:jc w:val="center"/>
              <w:rPr>
                <w:rFonts w:cs="Arial"/>
                <w:sz w:val="18"/>
                <w:szCs w:val="18"/>
                <w:lang w:val="en-US"/>
              </w:rPr>
            </w:pPr>
            <w:r w:rsidRPr="00CC18AA">
              <w:rPr>
                <w:rFonts w:cs="Arial"/>
                <w:sz w:val="18"/>
                <w:szCs w:val="18"/>
                <w:lang w:val="en-US"/>
              </w:rPr>
              <w:t>0.00</w:t>
            </w:r>
          </w:p>
        </w:tc>
        <w:tc>
          <w:tcPr>
            <w:tcW w:w="385" w:type="pct"/>
            <w:shd w:val="clear" w:color="auto" w:fill="auto"/>
            <w:noWrap/>
            <w:vAlign w:val="center"/>
            <w:hideMark/>
          </w:tcPr>
          <w:p w:rsidR="00B35ECC" w:rsidRPr="00CC18AA" w:rsidRDefault="00B35ECC" w:rsidP="00CC18AA">
            <w:pPr>
              <w:spacing w:before="60" w:after="60"/>
              <w:jc w:val="center"/>
              <w:rPr>
                <w:rFonts w:cs="Arial"/>
                <w:sz w:val="18"/>
                <w:szCs w:val="18"/>
                <w:lang w:val="en-US"/>
              </w:rPr>
            </w:pPr>
            <w:r w:rsidRPr="00CC18AA">
              <w:rPr>
                <w:rFonts w:cs="Arial"/>
                <w:sz w:val="18"/>
                <w:szCs w:val="18"/>
                <w:lang w:val="en-US"/>
              </w:rPr>
              <w:t>0.00</w:t>
            </w:r>
          </w:p>
        </w:tc>
        <w:tc>
          <w:tcPr>
            <w:tcW w:w="461" w:type="pct"/>
            <w:shd w:val="clear" w:color="auto" w:fill="auto"/>
            <w:noWrap/>
            <w:vAlign w:val="center"/>
            <w:hideMark/>
          </w:tcPr>
          <w:p w:rsidR="00B35ECC" w:rsidRPr="00CC18AA" w:rsidRDefault="00B35ECC" w:rsidP="00CC18AA">
            <w:pPr>
              <w:spacing w:before="60" w:after="60"/>
              <w:jc w:val="center"/>
              <w:rPr>
                <w:rFonts w:cs="Arial"/>
                <w:sz w:val="18"/>
                <w:szCs w:val="18"/>
                <w:lang w:val="en-US"/>
              </w:rPr>
            </w:pPr>
            <w:r w:rsidRPr="00CC18AA">
              <w:rPr>
                <w:rFonts w:cs="Arial"/>
                <w:sz w:val="18"/>
                <w:szCs w:val="18"/>
                <w:lang w:val="en-US"/>
              </w:rPr>
              <w:t>0.00</w:t>
            </w:r>
          </w:p>
        </w:tc>
      </w:tr>
      <w:tr w:rsidR="00CC18AA" w:rsidRPr="005D4453" w:rsidTr="00CC18AA">
        <w:trPr>
          <w:trHeight w:val="240"/>
        </w:trPr>
        <w:tc>
          <w:tcPr>
            <w:tcW w:w="538" w:type="pct"/>
            <w:vMerge/>
            <w:shd w:val="clear" w:color="auto" w:fill="auto"/>
            <w:hideMark/>
          </w:tcPr>
          <w:p w:rsidR="00B35ECC" w:rsidRPr="00CC18AA" w:rsidRDefault="00B35ECC" w:rsidP="00CC18AA">
            <w:pPr>
              <w:spacing w:before="60" w:after="60"/>
              <w:jc w:val="left"/>
              <w:rPr>
                <w:rFonts w:cs="Arial"/>
                <w:bCs/>
                <w:color w:val="000000"/>
                <w:sz w:val="18"/>
                <w:szCs w:val="18"/>
                <w:lang w:val="en-US"/>
              </w:rPr>
            </w:pPr>
          </w:p>
        </w:tc>
        <w:tc>
          <w:tcPr>
            <w:tcW w:w="2077" w:type="pct"/>
            <w:shd w:val="clear" w:color="auto" w:fill="auto"/>
            <w:noWrap/>
            <w:vAlign w:val="center"/>
            <w:hideMark/>
          </w:tcPr>
          <w:p w:rsidR="00B35ECC" w:rsidRPr="00CC18AA" w:rsidRDefault="006177FD" w:rsidP="00CC18AA">
            <w:pPr>
              <w:spacing w:before="60" w:after="60"/>
              <w:jc w:val="left"/>
              <w:rPr>
                <w:rFonts w:cs="Arial"/>
                <w:color w:val="000000"/>
                <w:sz w:val="18"/>
                <w:szCs w:val="18"/>
                <w:lang w:val="en-US"/>
              </w:rPr>
            </w:pPr>
            <w:r w:rsidRPr="00CC18AA">
              <w:rPr>
                <w:rFonts w:cs="Arial"/>
                <w:color w:val="000000"/>
                <w:sz w:val="18"/>
                <w:szCs w:val="18"/>
                <w:lang w:val="en-US"/>
              </w:rPr>
              <w:t>coolibah - river coobah grassy woodland</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4"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461"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r>
      <w:tr w:rsidR="00CC18AA" w:rsidRPr="005D4453" w:rsidTr="00CC18AA">
        <w:trPr>
          <w:trHeight w:val="240"/>
        </w:trPr>
        <w:tc>
          <w:tcPr>
            <w:tcW w:w="538" w:type="pct"/>
            <w:vMerge/>
            <w:shd w:val="clear" w:color="auto" w:fill="auto"/>
            <w:hideMark/>
          </w:tcPr>
          <w:p w:rsidR="00B35ECC" w:rsidRPr="00CC18AA" w:rsidRDefault="00B35ECC" w:rsidP="00CC18AA">
            <w:pPr>
              <w:spacing w:before="60" w:after="60"/>
              <w:jc w:val="left"/>
              <w:rPr>
                <w:rFonts w:cs="Arial"/>
                <w:bCs/>
                <w:color w:val="000000"/>
                <w:sz w:val="18"/>
                <w:szCs w:val="18"/>
                <w:lang w:val="en-US"/>
              </w:rPr>
            </w:pPr>
          </w:p>
        </w:tc>
        <w:tc>
          <w:tcPr>
            <w:tcW w:w="2077" w:type="pct"/>
            <w:shd w:val="clear" w:color="auto" w:fill="auto"/>
            <w:noWrap/>
            <w:vAlign w:val="center"/>
            <w:hideMark/>
          </w:tcPr>
          <w:p w:rsidR="00B35ECC" w:rsidRPr="00CC18AA" w:rsidRDefault="006177FD" w:rsidP="00CC18AA">
            <w:pPr>
              <w:spacing w:before="60" w:after="60"/>
              <w:jc w:val="left"/>
              <w:rPr>
                <w:rFonts w:cs="Arial"/>
                <w:color w:val="000000"/>
                <w:sz w:val="18"/>
                <w:szCs w:val="18"/>
                <w:lang w:val="en-US"/>
              </w:rPr>
            </w:pPr>
            <w:r w:rsidRPr="00CC18AA">
              <w:rPr>
                <w:rFonts w:cs="Arial"/>
                <w:color w:val="000000"/>
                <w:sz w:val="18"/>
                <w:szCs w:val="18"/>
                <w:lang w:val="en-US"/>
              </w:rPr>
              <w:t>cultivated land</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4"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0.00</w:t>
            </w:r>
          </w:p>
        </w:tc>
        <w:tc>
          <w:tcPr>
            <w:tcW w:w="385" w:type="pct"/>
            <w:shd w:val="clear" w:color="auto" w:fill="auto"/>
            <w:noWrap/>
            <w:vAlign w:val="center"/>
            <w:hideMark/>
          </w:tcPr>
          <w:p w:rsidR="00B35ECC" w:rsidRPr="00CC18AA" w:rsidRDefault="00B35ECC" w:rsidP="00CC18AA">
            <w:pPr>
              <w:spacing w:before="60" w:after="60"/>
              <w:jc w:val="center"/>
              <w:rPr>
                <w:rFonts w:cs="Arial"/>
                <w:sz w:val="18"/>
                <w:szCs w:val="18"/>
                <w:lang w:val="en-US"/>
              </w:rPr>
            </w:pPr>
            <w:r w:rsidRPr="00CC18AA">
              <w:rPr>
                <w:rFonts w:cs="Arial"/>
                <w:sz w:val="18"/>
                <w:szCs w:val="18"/>
                <w:lang w:val="en-US"/>
              </w:rPr>
              <w:t>0.00</w:t>
            </w:r>
          </w:p>
        </w:tc>
        <w:tc>
          <w:tcPr>
            <w:tcW w:w="461" w:type="pct"/>
            <w:shd w:val="clear" w:color="auto" w:fill="auto"/>
            <w:noWrap/>
            <w:vAlign w:val="center"/>
            <w:hideMark/>
          </w:tcPr>
          <w:p w:rsidR="00B35ECC" w:rsidRPr="00CC18AA" w:rsidRDefault="00B35ECC" w:rsidP="00CC18AA">
            <w:pPr>
              <w:spacing w:before="60" w:after="60"/>
              <w:jc w:val="center"/>
              <w:rPr>
                <w:rFonts w:cs="Arial"/>
                <w:sz w:val="18"/>
                <w:szCs w:val="18"/>
                <w:lang w:val="en-US"/>
              </w:rPr>
            </w:pPr>
            <w:r w:rsidRPr="00CC18AA">
              <w:rPr>
                <w:rFonts w:cs="Arial"/>
                <w:sz w:val="18"/>
                <w:szCs w:val="18"/>
                <w:lang w:val="en-US"/>
              </w:rPr>
              <w:t>0.00</w:t>
            </w:r>
          </w:p>
        </w:tc>
      </w:tr>
      <w:tr w:rsidR="00CC18AA" w:rsidRPr="005D4453" w:rsidTr="00CC18AA">
        <w:trPr>
          <w:trHeight w:val="240"/>
        </w:trPr>
        <w:tc>
          <w:tcPr>
            <w:tcW w:w="538" w:type="pct"/>
            <w:vMerge/>
            <w:shd w:val="clear" w:color="auto" w:fill="auto"/>
            <w:hideMark/>
          </w:tcPr>
          <w:p w:rsidR="00B35ECC" w:rsidRPr="00CC18AA" w:rsidRDefault="00B35ECC" w:rsidP="00CC18AA">
            <w:pPr>
              <w:spacing w:before="60" w:after="60"/>
              <w:jc w:val="left"/>
              <w:rPr>
                <w:rFonts w:cs="Arial"/>
                <w:bCs/>
                <w:color w:val="000000"/>
                <w:sz w:val="18"/>
                <w:szCs w:val="18"/>
                <w:lang w:val="en-US"/>
              </w:rPr>
            </w:pPr>
          </w:p>
        </w:tc>
        <w:tc>
          <w:tcPr>
            <w:tcW w:w="2077" w:type="pct"/>
            <w:shd w:val="clear" w:color="auto" w:fill="auto"/>
            <w:noWrap/>
            <w:vAlign w:val="center"/>
            <w:hideMark/>
          </w:tcPr>
          <w:p w:rsidR="00B35ECC" w:rsidRPr="00CC18AA" w:rsidRDefault="006177FD" w:rsidP="00CC18AA">
            <w:pPr>
              <w:spacing w:before="60" w:after="60"/>
              <w:jc w:val="left"/>
              <w:rPr>
                <w:rFonts w:cs="Arial"/>
                <w:color w:val="000000"/>
                <w:sz w:val="18"/>
                <w:szCs w:val="18"/>
                <w:lang w:val="en-US"/>
              </w:rPr>
            </w:pPr>
            <w:r w:rsidRPr="00CC18AA">
              <w:rPr>
                <w:rFonts w:cs="Arial"/>
                <w:color w:val="000000"/>
                <w:sz w:val="18"/>
                <w:szCs w:val="18"/>
                <w:lang w:val="en-US"/>
              </w:rPr>
              <w:t>cumbungi swamp rushland</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0.2</w:t>
            </w:r>
          </w:p>
        </w:tc>
        <w:tc>
          <w:tcPr>
            <w:tcW w:w="384"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0.2</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0.2</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0.25</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461"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0.2</w:t>
            </w:r>
          </w:p>
        </w:tc>
      </w:tr>
      <w:tr w:rsidR="00CC18AA" w:rsidRPr="005D4453" w:rsidTr="00CC18AA">
        <w:trPr>
          <w:trHeight w:val="240"/>
        </w:trPr>
        <w:tc>
          <w:tcPr>
            <w:tcW w:w="538" w:type="pct"/>
            <w:vMerge/>
            <w:shd w:val="clear" w:color="auto" w:fill="auto"/>
            <w:hideMark/>
          </w:tcPr>
          <w:p w:rsidR="00B35ECC" w:rsidRPr="00CC18AA" w:rsidRDefault="00B35ECC" w:rsidP="00CC18AA">
            <w:pPr>
              <w:spacing w:before="60" w:after="60"/>
              <w:jc w:val="left"/>
              <w:rPr>
                <w:rFonts w:cs="Arial"/>
                <w:bCs/>
                <w:color w:val="000000"/>
                <w:sz w:val="18"/>
                <w:szCs w:val="18"/>
                <w:lang w:val="en-US"/>
              </w:rPr>
            </w:pPr>
          </w:p>
        </w:tc>
        <w:tc>
          <w:tcPr>
            <w:tcW w:w="2077" w:type="pct"/>
            <w:shd w:val="clear" w:color="auto" w:fill="auto"/>
            <w:noWrap/>
            <w:vAlign w:val="center"/>
            <w:hideMark/>
          </w:tcPr>
          <w:p w:rsidR="00B35ECC" w:rsidRPr="00CC18AA" w:rsidRDefault="006177FD" w:rsidP="00CC18AA">
            <w:pPr>
              <w:spacing w:before="60" w:after="60"/>
              <w:jc w:val="left"/>
              <w:rPr>
                <w:rFonts w:cs="Arial"/>
                <w:color w:val="000000"/>
                <w:sz w:val="18"/>
                <w:szCs w:val="18"/>
                <w:lang w:val="en-US"/>
              </w:rPr>
            </w:pPr>
            <w:r w:rsidRPr="00CC18AA">
              <w:rPr>
                <w:rFonts w:cs="Arial"/>
                <w:color w:val="000000"/>
                <w:sz w:val="18"/>
                <w:szCs w:val="18"/>
                <w:lang w:val="en-US"/>
              </w:rPr>
              <w:t>derived grasslands</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4"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0.00</w:t>
            </w:r>
          </w:p>
        </w:tc>
        <w:tc>
          <w:tcPr>
            <w:tcW w:w="385" w:type="pct"/>
            <w:shd w:val="clear" w:color="auto" w:fill="auto"/>
            <w:noWrap/>
            <w:vAlign w:val="center"/>
            <w:hideMark/>
          </w:tcPr>
          <w:p w:rsidR="00B35ECC" w:rsidRPr="00CC18AA" w:rsidRDefault="00B35ECC" w:rsidP="00CC18AA">
            <w:pPr>
              <w:spacing w:before="60" w:after="60"/>
              <w:jc w:val="center"/>
              <w:rPr>
                <w:rFonts w:cs="Arial"/>
                <w:sz w:val="18"/>
                <w:szCs w:val="18"/>
                <w:lang w:val="en-US"/>
              </w:rPr>
            </w:pPr>
            <w:r w:rsidRPr="00CC18AA">
              <w:rPr>
                <w:rFonts w:cs="Arial"/>
                <w:sz w:val="18"/>
                <w:szCs w:val="18"/>
                <w:lang w:val="en-US"/>
              </w:rPr>
              <w:t>0.00</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461"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r>
      <w:tr w:rsidR="00CC18AA" w:rsidRPr="005D4453" w:rsidTr="00CC18AA">
        <w:trPr>
          <w:trHeight w:val="240"/>
        </w:trPr>
        <w:tc>
          <w:tcPr>
            <w:tcW w:w="538" w:type="pct"/>
            <w:vMerge/>
            <w:shd w:val="clear" w:color="auto" w:fill="auto"/>
            <w:hideMark/>
          </w:tcPr>
          <w:p w:rsidR="00B35ECC" w:rsidRPr="00CC18AA" w:rsidRDefault="00B35ECC" w:rsidP="00CC18AA">
            <w:pPr>
              <w:spacing w:before="60" w:after="60"/>
              <w:jc w:val="left"/>
              <w:rPr>
                <w:rFonts w:cs="Arial"/>
                <w:bCs/>
                <w:color w:val="000000"/>
                <w:sz w:val="18"/>
                <w:szCs w:val="18"/>
                <w:lang w:val="en-US"/>
              </w:rPr>
            </w:pPr>
          </w:p>
        </w:tc>
        <w:tc>
          <w:tcPr>
            <w:tcW w:w="2077" w:type="pct"/>
            <w:shd w:val="clear" w:color="auto" w:fill="auto"/>
            <w:noWrap/>
            <w:vAlign w:val="center"/>
            <w:hideMark/>
          </w:tcPr>
          <w:p w:rsidR="00B35ECC" w:rsidRPr="00CC18AA" w:rsidRDefault="006177FD" w:rsidP="00CC18AA">
            <w:pPr>
              <w:spacing w:before="60" w:after="60"/>
              <w:jc w:val="left"/>
              <w:rPr>
                <w:rFonts w:cs="Arial"/>
                <w:color w:val="000000"/>
                <w:sz w:val="18"/>
                <w:szCs w:val="18"/>
                <w:lang w:val="en-US"/>
              </w:rPr>
            </w:pPr>
            <w:r w:rsidRPr="00CC18AA">
              <w:rPr>
                <w:rFonts w:cs="Arial"/>
                <w:color w:val="000000"/>
                <w:sz w:val="18"/>
                <w:szCs w:val="18"/>
                <w:lang w:val="en-US"/>
              </w:rPr>
              <w:t>dry wetland with rehabilitation potential</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4"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0.00</w:t>
            </w:r>
          </w:p>
        </w:tc>
        <w:tc>
          <w:tcPr>
            <w:tcW w:w="385" w:type="pct"/>
            <w:shd w:val="clear" w:color="auto" w:fill="auto"/>
            <w:noWrap/>
            <w:vAlign w:val="center"/>
            <w:hideMark/>
          </w:tcPr>
          <w:p w:rsidR="00B35ECC" w:rsidRPr="00CC18AA" w:rsidRDefault="00B35ECC" w:rsidP="00CC18AA">
            <w:pPr>
              <w:spacing w:before="60" w:after="60"/>
              <w:jc w:val="center"/>
              <w:rPr>
                <w:rFonts w:cs="Arial"/>
                <w:sz w:val="18"/>
                <w:szCs w:val="18"/>
                <w:lang w:val="en-US"/>
              </w:rPr>
            </w:pPr>
            <w:r w:rsidRPr="00CC18AA">
              <w:rPr>
                <w:rFonts w:cs="Arial"/>
                <w:sz w:val="18"/>
                <w:szCs w:val="18"/>
                <w:lang w:val="en-US"/>
              </w:rPr>
              <w:t>0.00</w:t>
            </w:r>
          </w:p>
        </w:tc>
        <w:tc>
          <w:tcPr>
            <w:tcW w:w="385" w:type="pct"/>
            <w:shd w:val="clear" w:color="auto" w:fill="auto"/>
            <w:noWrap/>
            <w:vAlign w:val="center"/>
            <w:hideMark/>
          </w:tcPr>
          <w:p w:rsidR="00B35ECC" w:rsidRPr="00CC18AA" w:rsidRDefault="00B35ECC" w:rsidP="00CC18AA">
            <w:pPr>
              <w:spacing w:before="60" w:after="60"/>
              <w:jc w:val="center"/>
              <w:rPr>
                <w:rFonts w:cs="Arial"/>
                <w:sz w:val="18"/>
                <w:szCs w:val="18"/>
                <w:lang w:val="en-US"/>
              </w:rPr>
            </w:pPr>
            <w:r w:rsidRPr="00CC18AA">
              <w:rPr>
                <w:rFonts w:cs="Arial"/>
                <w:sz w:val="18"/>
                <w:szCs w:val="18"/>
                <w:lang w:val="en-US"/>
              </w:rPr>
              <w:t>0.00</w:t>
            </w:r>
          </w:p>
        </w:tc>
        <w:tc>
          <w:tcPr>
            <w:tcW w:w="461" w:type="pct"/>
            <w:shd w:val="clear" w:color="auto" w:fill="auto"/>
            <w:noWrap/>
            <w:vAlign w:val="center"/>
            <w:hideMark/>
          </w:tcPr>
          <w:p w:rsidR="00B35ECC" w:rsidRPr="00CC18AA" w:rsidRDefault="00B35ECC" w:rsidP="00CC18AA">
            <w:pPr>
              <w:spacing w:before="60" w:after="60"/>
              <w:jc w:val="center"/>
              <w:rPr>
                <w:rFonts w:cs="Arial"/>
                <w:sz w:val="18"/>
                <w:szCs w:val="18"/>
                <w:lang w:val="en-US"/>
              </w:rPr>
            </w:pPr>
            <w:r w:rsidRPr="00CC18AA">
              <w:rPr>
                <w:rFonts w:cs="Arial"/>
                <w:sz w:val="18"/>
                <w:szCs w:val="18"/>
                <w:lang w:val="en-US"/>
              </w:rPr>
              <w:t>0.00</w:t>
            </w:r>
          </w:p>
        </w:tc>
      </w:tr>
      <w:tr w:rsidR="00CC18AA" w:rsidRPr="005D4453" w:rsidTr="00CC18AA">
        <w:trPr>
          <w:trHeight w:val="240"/>
        </w:trPr>
        <w:tc>
          <w:tcPr>
            <w:tcW w:w="538" w:type="pct"/>
            <w:vMerge/>
            <w:shd w:val="clear" w:color="auto" w:fill="auto"/>
            <w:hideMark/>
          </w:tcPr>
          <w:p w:rsidR="00B35ECC" w:rsidRPr="00CC18AA" w:rsidRDefault="00B35ECC" w:rsidP="00CC18AA">
            <w:pPr>
              <w:spacing w:before="60" w:after="60"/>
              <w:jc w:val="left"/>
              <w:rPr>
                <w:rFonts w:cs="Arial"/>
                <w:bCs/>
                <w:color w:val="000000"/>
                <w:sz w:val="18"/>
                <w:szCs w:val="18"/>
                <w:lang w:val="en-US"/>
              </w:rPr>
            </w:pPr>
          </w:p>
        </w:tc>
        <w:tc>
          <w:tcPr>
            <w:tcW w:w="2077" w:type="pct"/>
            <w:shd w:val="clear" w:color="auto" w:fill="auto"/>
            <w:noWrap/>
            <w:vAlign w:val="center"/>
            <w:hideMark/>
          </w:tcPr>
          <w:p w:rsidR="00B35ECC" w:rsidRPr="00CC18AA" w:rsidRDefault="006177FD" w:rsidP="00CC18AA">
            <w:pPr>
              <w:spacing w:before="60" w:after="60"/>
              <w:jc w:val="left"/>
              <w:rPr>
                <w:rFonts w:cs="Arial"/>
                <w:color w:val="000000"/>
                <w:sz w:val="18"/>
                <w:szCs w:val="18"/>
                <w:lang w:val="en-US"/>
              </w:rPr>
            </w:pPr>
            <w:r w:rsidRPr="00CC18AA">
              <w:rPr>
                <w:rFonts w:cs="Arial"/>
                <w:color w:val="000000"/>
                <w:sz w:val="18"/>
                <w:szCs w:val="18"/>
                <w:lang w:val="en-US"/>
              </w:rPr>
              <w:t>farm dam</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4"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461"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r>
      <w:tr w:rsidR="00CC18AA" w:rsidRPr="005D4453" w:rsidTr="00CC18AA">
        <w:trPr>
          <w:trHeight w:val="240"/>
        </w:trPr>
        <w:tc>
          <w:tcPr>
            <w:tcW w:w="538" w:type="pct"/>
            <w:vMerge/>
            <w:shd w:val="clear" w:color="auto" w:fill="auto"/>
            <w:hideMark/>
          </w:tcPr>
          <w:p w:rsidR="00B35ECC" w:rsidRPr="00CC18AA" w:rsidRDefault="00B35ECC" w:rsidP="00CC18AA">
            <w:pPr>
              <w:spacing w:before="60" w:after="60"/>
              <w:jc w:val="left"/>
              <w:rPr>
                <w:rFonts w:cs="Arial"/>
                <w:bCs/>
                <w:color w:val="000000"/>
                <w:sz w:val="18"/>
                <w:szCs w:val="18"/>
                <w:lang w:val="en-US"/>
              </w:rPr>
            </w:pPr>
          </w:p>
        </w:tc>
        <w:tc>
          <w:tcPr>
            <w:tcW w:w="2077" w:type="pct"/>
            <w:shd w:val="clear" w:color="auto" w:fill="auto"/>
            <w:noWrap/>
            <w:vAlign w:val="center"/>
            <w:hideMark/>
          </w:tcPr>
          <w:p w:rsidR="00B35ECC" w:rsidRPr="00CC18AA" w:rsidRDefault="006177FD" w:rsidP="00CC18AA">
            <w:pPr>
              <w:spacing w:before="60" w:after="60"/>
              <w:jc w:val="left"/>
              <w:rPr>
                <w:rFonts w:cs="Arial"/>
                <w:color w:val="000000"/>
                <w:sz w:val="18"/>
                <w:szCs w:val="18"/>
                <w:lang w:val="en-US"/>
              </w:rPr>
            </w:pPr>
            <w:r w:rsidRPr="00CC18AA">
              <w:rPr>
                <w:rFonts w:cs="Arial"/>
                <w:color w:val="000000"/>
                <w:sz w:val="18"/>
                <w:szCs w:val="18"/>
                <w:lang w:val="en-US"/>
              </w:rPr>
              <w:t>myall - rosewood shrubby woodland</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4"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0.00</w:t>
            </w:r>
          </w:p>
        </w:tc>
        <w:tc>
          <w:tcPr>
            <w:tcW w:w="385" w:type="pct"/>
            <w:shd w:val="clear" w:color="auto" w:fill="auto"/>
            <w:noWrap/>
            <w:vAlign w:val="center"/>
            <w:hideMark/>
          </w:tcPr>
          <w:p w:rsidR="00B35ECC" w:rsidRPr="00CC18AA" w:rsidRDefault="00B35ECC" w:rsidP="00CC18AA">
            <w:pPr>
              <w:spacing w:before="60" w:after="60"/>
              <w:jc w:val="center"/>
              <w:rPr>
                <w:rFonts w:cs="Arial"/>
                <w:sz w:val="18"/>
                <w:szCs w:val="18"/>
                <w:lang w:val="en-US"/>
              </w:rPr>
            </w:pPr>
            <w:r w:rsidRPr="00CC18AA">
              <w:rPr>
                <w:rFonts w:cs="Arial"/>
                <w:sz w:val="18"/>
                <w:szCs w:val="18"/>
                <w:lang w:val="en-US"/>
              </w:rPr>
              <w:t>0.00</w:t>
            </w:r>
          </w:p>
        </w:tc>
        <w:tc>
          <w:tcPr>
            <w:tcW w:w="385" w:type="pct"/>
            <w:shd w:val="clear" w:color="auto" w:fill="auto"/>
            <w:noWrap/>
            <w:vAlign w:val="center"/>
            <w:hideMark/>
          </w:tcPr>
          <w:p w:rsidR="00B35ECC" w:rsidRPr="00CC18AA" w:rsidRDefault="00B35ECC" w:rsidP="00CC18AA">
            <w:pPr>
              <w:spacing w:before="60" w:after="60"/>
              <w:jc w:val="center"/>
              <w:rPr>
                <w:rFonts w:cs="Arial"/>
                <w:sz w:val="18"/>
                <w:szCs w:val="18"/>
                <w:lang w:val="en-US"/>
              </w:rPr>
            </w:pPr>
            <w:r w:rsidRPr="00CC18AA">
              <w:rPr>
                <w:rFonts w:cs="Arial"/>
                <w:sz w:val="18"/>
                <w:szCs w:val="18"/>
                <w:lang w:val="en-US"/>
              </w:rPr>
              <w:t>0.00</w:t>
            </w:r>
          </w:p>
        </w:tc>
        <w:tc>
          <w:tcPr>
            <w:tcW w:w="385" w:type="pct"/>
            <w:shd w:val="clear" w:color="auto" w:fill="auto"/>
            <w:noWrap/>
            <w:vAlign w:val="center"/>
            <w:hideMark/>
          </w:tcPr>
          <w:p w:rsidR="00B35ECC" w:rsidRPr="00CC18AA" w:rsidRDefault="00B35ECC" w:rsidP="00CC18AA">
            <w:pPr>
              <w:spacing w:before="60" w:after="60"/>
              <w:jc w:val="center"/>
              <w:rPr>
                <w:rFonts w:cs="Arial"/>
                <w:sz w:val="18"/>
                <w:szCs w:val="18"/>
                <w:lang w:val="en-US"/>
              </w:rPr>
            </w:pPr>
            <w:r w:rsidRPr="00CC18AA">
              <w:rPr>
                <w:rFonts w:cs="Arial"/>
                <w:sz w:val="18"/>
                <w:szCs w:val="18"/>
                <w:lang w:val="en-US"/>
              </w:rPr>
              <w:t>0.00</w:t>
            </w:r>
          </w:p>
        </w:tc>
        <w:tc>
          <w:tcPr>
            <w:tcW w:w="461" w:type="pct"/>
            <w:shd w:val="clear" w:color="auto" w:fill="auto"/>
            <w:noWrap/>
            <w:vAlign w:val="center"/>
            <w:hideMark/>
          </w:tcPr>
          <w:p w:rsidR="00B35ECC" w:rsidRPr="00CC18AA" w:rsidRDefault="00B35ECC" w:rsidP="00CC18AA">
            <w:pPr>
              <w:spacing w:before="60" w:after="60"/>
              <w:jc w:val="center"/>
              <w:rPr>
                <w:rFonts w:cs="Arial"/>
                <w:sz w:val="18"/>
                <w:szCs w:val="18"/>
                <w:lang w:val="en-US"/>
              </w:rPr>
            </w:pPr>
            <w:r w:rsidRPr="00CC18AA">
              <w:rPr>
                <w:rFonts w:cs="Arial"/>
                <w:sz w:val="18"/>
                <w:szCs w:val="18"/>
                <w:lang w:val="en-US"/>
              </w:rPr>
              <w:t>0.00</w:t>
            </w:r>
          </w:p>
        </w:tc>
      </w:tr>
      <w:tr w:rsidR="00CC18AA" w:rsidRPr="005D4453" w:rsidTr="00CC18AA">
        <w:trPr>
          <w:trHeight w:val="240"/>
        </w:trPr>
        <w:tc>
          <w:tcPr>
            <w:tcW w:w="538" w:type="pct"/>
            <w:vMerge/>
            <w:shd w:val="clear" w:color="auto" w:fill="auto"/>
            <w:hideMark/>
          </w:tcPr>
          <w:p w:rsidR="00B35ECC" w:rsidRPr="00CC18AA" w:rsidRDefault="00B35ECC" w:rsidP="00CC18AA">
            <w:pPr>
              <w:spacing w:before="60" w:after="60"/>
              <w:jc w:val="left"/>
              <w:rPr>
                <w:rFonts w:cs="Arial"/>
                <w:bCs/>
                <w:color w:val="000000"/>
                <w:sz w:val="18"/>
                <w:szCs w:val="18"/>
                <w:lang w:val="en-US"/>
              </w:rPr>
            </w:pPr>
          </w:p>
        </w:tc>
        <w:tc>
          <w:tcPr>
            <w:tcW w:w="2077" w:type="pct"/>
            <w:shd w:val="clear" w:color="auto" w:fill="auto"/>
            <w:noWrap/>
            <w:vAlign w:val="center"/>
            <w:hideMark/>
          </w:tcPr>
          <w:p w:rsidR="00B35ECC" w:rsidRPr="00CC18AA" w:rsidRDefault="006177FD" w:rsidP="00CC18AA">
            <w:pPr>
              <w:spacing w:before="60" w:after="60"/>
              <w:jc w:val="left"/>
              <w:rPr>
                <w:rFonts w:cs="Arial"/>
                <w:color w:val="000000"/>
                <w:sz w:val="18"/>
                <w:szCs w:val="18"/>
                <w:lang w:val="en-US"/>
              </w:rPr>
            </w:pPr>
            <w:r w:rsidRPr="00CC18AA">
              <w:rPr>
                <w:rFonts w:cs="Arial"/>
                <w:color w:val="000000"/>
                <w:sz w:val="18"/>
                <w:szCs w:val="18"/>
                <w:lang w:val="en-US"/>
              </w:rPr>
              <w:t>natural water body</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0.4</w:t>
            </w:r>
          </w:p>
        </w:tc>
        <w:tc>
          <w:tcPr>
            <w:tcW w:w="384"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0.4</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0.4</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0.45</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0.2</w:t>
            </w:r>
          </w:p>
        </w:tc>
        <w:tc>
          <w:tcPr>
            <w:tcW w:w="461"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0.4</w:t>
            </w:r>
          </w:p>
        </w:tc>
      </w:tr>
      <w:tr w:rsidR="00CC18AA" w:rsidRPr="005D4453" w:rsidTr="00CC18AA">
        <w:trPr>
          <w:trHeight w:val="240"/>
        </w:trPr>
        <w:tc>
          <w:tcPr>
            <w:tcW w:w="538" w:type="pct"/>
            <w:vMerge/>
            <w:shd w:val="clear" w:color="auto" w:fill="auto"/>
            <w:hideMark/>
          </w:tcPr>
          <w:p w:rsidR="00B35ECC" w:rsidRPr="00CC18AA" w:rsidRDefault="00B35ECC" w:rsidP="00CC18AA">
            <w:pPr>
              <w:spacing w:before="60" w:after="60"/>
              <w:jc w:val="left"/>
              <w:rPr>
                <w:rFonts w:cs="Arial"/>
                <w:bCs/>
                <w:color w:val="000000"/>
                <w:sz w:val="18"/>
                <w:szCs w:val="18"/>
                <w:lang w:val="en-US"/>
              </w:rPr>
            </w:pPr>
          </w:p>
        </w:tc>
        <w:tc>
          <w:tcPr>
            <w:tcW w:w="2077" w:type="pct"/>
            <w:shd w:val="clear" w:color="auto" w:fill="auto"/>
            <w:noWrap/>
            <w:vAlign w:val="center"/>
            <w:hideMark/>
          </w:tcPr>
          <w:p w:rsidR="00B35ECC" w:rsidRPr="00CC18AA" w:rsidRDefault="006177FD" w:rsidP="00CC18AA">
            <w:pPr>
              <w:spacing w:before="60" w:after="60"/>
              <w:jc w:val="left"/>
              <w:rPr>
                <w:rFonts w:cs="Arial"/>
                <w:color w:val="000000"/>
                <w:sz w:val="18"/>
                <w:szCs w:val="18"/>
                <w:lang w:val="en-US"/>
              </w:rPr>
            </w:pPr>
            <w:r w:rsidRPr="00CC18AA">
              <w:rPr>
                <w:rFonts w:cs="Arial"/>
                <w:color w:val="000000"/>
                <w:sz w:val="18"/>
                <w:szCs w:val="18"/>
                <w:lang w:val="en-US"/>
              </w:rPr>
              <w:t>paleo-channel: dry wetland with rehabilitation potential</w:t>
            </w:r>
          </w:p>
        </w:tc>
        <w:tc>
          <w:tcPr>
            <w:tcW w:w="385" w:type="pct"/>
            <w:shd w:val="clear" w:color="auto" w:fill="auto"/>
            <w:vAlign w:val="center"/>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0.00</w:t>
            </w:r>
          </w:p>
        </w:tc>
        <w:tc>
          <w:tcPr>
            <w:tcW w:w="384"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0.00</w:t>
            </w:r>
          </w:p>
        </w:tc>
        <w:tc>
          <w:tcPr>
            <w:tcW w:w="385" w:type="pct"/>
            <w:shd w:val="clear" w:color="auto" w:fill="auto"/>
            <w:noWrap/>
            <w:vAlign w:val="center"/>
            <w:hideMark/>
          </w:tcPr>
          <w:p w:rsidR="00B35ECC" w:rsidRPr="00CC18AA" w:rsidRDefault="00B35ECC" w:rsidP="00CC18AA">
            <w:pPr>
              <w:spacing w:before="60" w:after="60"/>
              <w:jc w:val="center"/>
              <w:rPr>
                <w:rFonts w:cs="Arial"/>
                <w:sz w:val="18"/>
                <w:szCs w:val="18"/>
                <w:lang w:val="en-US"/>
              </w:rPr>
            </w:pPr>
            <w:r w:rsidRPr="00CC18AA">
              <w:rPr>
                <w:rFonts w:cs="Arial"/>
                <w:sz w:val="18"/>
                <w:szCs w:val="18"/>
                <w:lang w:val="en-US"/>
              </w:rPr>
              <w:t>0.00</w:t>
            </w:r>
          </w:p>
        </w:tc>
        <w:tc>
          <w:tcPr>
            <w:tcW w:w="385" w:type="pct"/>
            <w:shd w:val="clear" w:color="auto" w:fill="auto"/>
            <w:noWrap/>
            <w:vAlign w:val="center"/>
            <w:hideMark/>
          </w:tcPr>
          <w:p w:rsidR="00B35ECC" w:rsidRPr="00CC18AA" w:rsidRDefault="00B35ECC" w:rsidP="00CC18AA">
            <w:pPr>
              <w:spacing w:before="60" w:after="60"/>
              <w:jc w:val="center"/>
              <w:rPr>
                <w:rFonts w:cs="Arial"/>
                <w:sz w:val="18"/>
                <w:szCs w:val="18"/>
                <w:lang w:val="en-US"/>
              </w:rPr>
            </w:pPr>
            <w:r w:rsidRPr="00CC18AA">
              <w:rPr>
                <w:rFonts w:cs="Arial"/>
                <w:sz w:val="18"/>
                <w:szCs w:val="18"/>
                <w:lang w:val="en-US"/>
              </w:rPr>
              <w:t>0.00</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461"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r>
      <w:tr w:rsidR="00CC18AA" w:rsidRPr="005D4453" w:rsidTr="00CC18AA">
        <w:trPr>
          <w:trHeight w:val="240"/>
        </w:trPr>
        <w:tc>
          <w:tcPr>
            <w:tcW w:w="538" w:type="pct"/>
            <w:vMerge/>
            <w:shd w:val="clear" w:color="auto" w:fill="auto"/>
            <w:hideMark/>
          </w:tcPr>
          <w:p w:rsidR="00B35ECC" w:rsidRPr="00CC18AA" w:rsidRDefault="00B35ECC" w:rsidP="00CC18AA">
            <w:pPr>
              <w:spacing w:before="60" w:after="60"/>
              <w:jc w:val="left"/>
              <w:rPr>
                <w:rFonts w:cs="Arial"/>
                <w:bCs/>
                <w:color w:val="000000"/>
                <w:sz w:val="18"/>
                <w:szCs w:val="18"/>
                <w:lang w:val="en-US"/>
              </w:rPr>
            </w:pPr>
          </w:p>
        </w:tc>
        <w:tc>
          <w:tcPr>
            <w:tcW w:w="2077" w:type="pct"/>
            <w:shd w:val="clear" w:color="auto" w:fill="auto"/>
            <w:noWrap/>
            <w:vAlign w:val="center"/>
            <w:hideMark/>
          </w:tcPr>
          <w:p w:rsidR="00B35ECC" w:rsidRPr="00CC18AA" w:rsidRDefault="006177FD" w:rsidP="00CC18AA">
            <w:pPr>
              <w:spacing w:before="60" w:after="60"/>
              <w:jc w:val="left"/>
              <w:rPr>
                <w:rFonts w:cs="Arial"/>
                <w:color w:val="000000"/>
                <w:sz w:val="18"/>
                <w:szCs w:val="18"/>
                <w:lang w:val="en-US"/>
              </w:rPr>
            </w:pPr>
            <w:r w:rsidRPr="00CC18AA">
              <w:rPr>
                <w:rFonts w:cs="Arial"/>
                <w:color w:val="000000"/>
                <w:sz w:val="18"/>
                <w:szCs w:val="18"/>
                <w:lang w:val="en-US"/>
              </w:rPr>
              <w:t>paleo-channel: water couch - spike-rush</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0.00</w:t>
            </w:r>
          </w:p>
        </w:tc>
        <w:tc>
          <w:tcPr>
            <w:tcW w:w="384" w:type="pct"/>
            <w:shd w:val="clear" w:color="auto" w:fill="auto"/>
            <w:noWrap/>
            <w:vAlign w:val="center"/>
            <w:hideMark/>
          </w:tcPr>
          <w:p w:rsidR="00B35ECC" w:rsidRPr="00CC18AA" w:rsidRDefault="00B35ECC" w:rsidP="00CC18AA">
            <w:pPr>
              <w:spacing w:before="60" w:after="60"/>
              <w:jc w:val="center"/>
              <w:rPr>
                <w:rFonts w:cs="Arial"/>
                <w:sz w:val="18"/>
                <w:szCs w:val="18"/>
                <w:lang w:val="en-US"/>
              </w:rPr>
            </w:pPr>
            <w:r w:rsidRPr="00CC18AA">
              <w:rPr>
                <w:rFonts w:cs="Arial"/>
                <w:sz w:val="18"/>
                <w:szCs w:val="18"/>
                <w:lang w:val="en-US"/>
              </w:rPr>
              <w:t>0.00</w:t>
            </w:r>
          </w:p>
        </w:tc>
        <w:tc>
          <w:tcPr>
            <w:tcW w:w="385" w:type="pct"/>
            <w:shd w:val="clear" w:color="auto" w:fill="auto"/>
            <w:noWrap/>
            <w:vAlign w:val="center"/>
            <w:hideMark/>
          </w:tcPr>
          <w:p w:rsidR="00B35ECC" w:rsidRPr="00CC18AA" w:rsidRDefault="00B35ECC" w:rsidP="00CC18AA">
            <w:pPr>
              <w:spacing w:before="60" w:after="60"/>
              <w:jc w:val="center"/>
              <w:rPr>
                <w:rFonts w:cs="Arial"/>
                <w:sz w:val="18"/>
                <w:szCs w:val="18"/>
                <w:lang w:val="en-US"/>
              </w:rPr>
            </w:pPr>
            <w:r w:rsidRPr="00CC18AA">
              <w:rPr>
                <w:rFonts w:cs="Arial"/>
                <w:sz w:val="18"/>
                <w:szCs w:val="18"/>
                <w:lang w:val="en-US"/>
              </w:rPr>
              <w:t>0.00</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461"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r>
      <w:tr w:rsidR="00CC18AA" w:rsidRPr="005D4453" w:rsidTr="00CC18AA">
        <w:trPr>
          <w:trHeight w:val="240"/>
        </w:trPr>
        <w:tc>
          <w:tcPr>
            <w:tcW w:w="538" w:type="pct"/>
            <w:vMerge/>
            <w:shd w:val="clear" w:color="auto" w:fill="auto"/>
            <w:hideMark/>
          </w:tcPr>
          <w:p w:rsidR="00B35ECC" w:rsidRPr="00CC18AA" w:rsidRDefault="00B35ECC" w:rsidP="00CC18AA">
            <w:pPr>
              <w:spacing w:before="60" w:after="60"/>
              <w:jc w:val="left"/>
              <w:rPr>
                <w:rFonts w:cs="Arial"/>
                <w:bCs/>
                <w:color w:val="000000"/>
                <w:sz w:val="18"/>
                <w:szCs w:val="18"/>
                <w:lang w:val="en-US"/>
              </w:rPr>
            </w:pPr>
          </w:p>
        </w:tc>
        <w:tc>
          <w:tcPr>
            <w:tcW w:w="2077" w:type="pct"/>
            <w:shd w:val="clear" w:color="auto" w:fill="auto"/>
            <w:noWrap/>
            <w:vAlign w:val="center"/>
            <w:hideMark/>
          </w:tcPr>
          <w:p w:rsidR="00B35ECC" w:rsidRPr="00CC18AA" w:rsidRDefault="006177FD" w:rsidP="00CC18AA">
            <w:pPr>
              <w:spacing w:before="60" w:after="60"/>
              <w:jc w:val="left"/>
              <w:rPr>
                <w:rFonts w:cs="Arial"/>
                <w:color w:val="000000"/>
                <w:sz w:val="18"/>
                <w:szCs w:val="18"/>
                <w:lang w:val="en-US"/>
              </w:rPr>
            </w:pPr>
            <w:r w:rsidRPr="00CC18AA">
              <w:rPr>
                <w:rFonts w:cs="Arial"/>
                <w:color w:val="000000"/>
                <w:sz w:val="18"/>
                <w:szCs w:val="18"/>
                <w:lang w:val="en-US"/>
              </w:rPr>
              <w:t>poplar box shrubby woodland</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0.00</w:t>
            </w:r>
          </w:p>
        </w:tc>
        <w:tc>
          <w:tcPr>
            <w:tcW w:w="384" w:type="pct"/>
            <w:shd w:val="clear" w:color="auto" w:fill="auto"/>
            <w:noWrap/>
            <w:vAlign w:val="center"/>
            <w:hideMark/>
          </w:tcPr>
          <w:p w:rsidR="00B35ECC" w:rsidRPr="00CC18AA" w:rsidRDefault="00B35ECC" w:rsidP="00CC18AA">
            <w:pPr>
              <w:spacing w:before="60" w:after="60"/>
              <w:jc w:val="center"/>
              <w:rPr>
                <w:rFonts w:cs="Arial"/>
                <w:sz w:val="18"/>
                <w:szCs w:val="18"/>
                <w:lang w:val="en-US"/>
              </w:rPr>
            </w:pPr>
            <w:r w:rsidRPr="00CC18AA">
              <w:rPr>
                <w:rFonts w:cs="Arial"/>
                <w:sz w:val="18"/>
                <w:szCs w:val="18"/>
                <w:lang w:val="en-US"/>
              </w:rPr>
              <w:t>0.00</w:t>
            </w:r>
          </w:p>
        </w:tc>
        <w:tc>
          <w:tcPr>
            <w:tcW w:w="385" w:type="pct"/>
            <w:shd w:val="clear" w:color="auto" w:fill="auto"/>
            <w:noWrap/>
            <w:vAlign w:val="center"/>
            <w:hideMark/>
          </w:tcPr>
          <w:p w:rsidR="00B35ECC" w:rsidRPr="00CC18AA" w:rsidRDefault="00B35ECC" w:rsidP="00CC18AA">
            <w:pPr>
              <w:spacing w:before="60" w:after="60"/>
              <w:jc w:val="center"/>
              <w:rPr>
                <w:rFonts w:cs="Arial"/>
                <w:sz w:val="18"/>
                <w:szCs w:val="18"/>
                <w:lang w:val="en-US"/>
              </w:rPr>
            </w:pPr>
            <w:r w:rsidRPr="00CC18AA">
              <w:rPr>
                <w:rFonts w:cs="Arial"/>
                <w:sz w:val="18"/>
                <w:szCs w:val="18"/>
                <w:lang w:val="en-US"/>
              </w:rPr>
              <w:t>0.00</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461"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r>
      <w:tr w:rsidR="00CC18AA" w:rsidRPr="005D4453" w:rsidTr="00CC18AA">
        <w:trPr>
          <w:trHeight w:val="240"/>
        </w:trPr>
        <w:tc>
          <w:tcPr>
            <w:tcW w:w="538" w:type="pct"/>
            <w:vMerge/>
            <w:shd w:val="clear" w:color="auto" w:fill="auto"/>
            <w:hideMark/>
          </w:tcPr>
          <w:p w:rsidR="00B35ECC" w:rsidRPr="00CC18AA" w:rsidRDefault="00B35ECC" w:rsidP="00CC18AA">
            <w:pPr>
              <w:spacing w:before="60" w:after="60"/>
              <w:jc w:val="left"/>
              <w:rPr>
                <w:rFonts w:cs="Arial"/>
                <w:bCs/>
                <w:color w:val="000000"/>
                <w:sz w:val="18"/>
                <w:szCs w:val="18"/>
                <w:lang w:val="en-US"/>
              </w:rPr>
            </w:pPr>
          </w:p>
        </w:tc>
        <w:tc>
          <w:tcPr>
            <w:tcW w:w="2077" w:type="pct"/>
            <w:shd w:val="clear" w:color="auto" w:fill="auto"/>
            <w:noWrap/>
            <w:vAlign w:val="center"/>
            <w:hideMark/>
          </w:tcPr>
          <w:p w:rsidR="00B35ECC" w:rsidRPr="00CC18AA" w:rsidRDefault="006177FD" w:rsidP="00CC18AA">
            <w:pPr>
              <w:spacing w:before="60" w:after="60"/>
              <w:jc w:val="left"/>
              <w:rPr>
                <w:rFonts w:cs="Arial"/>
                <w:color w:val="000000"/>
                <w:sz w:val="18"/>
                <w:szCs w:val="18"/>
                <w:lang w:val="en-US"/>
              </w:rPr>
            </w:pPr>
            <w:r w:rsidRPr="00CC18AA">
              <w:rPr>
                <w:rFonts w:cs="Arial"/>
                <w:color w:val="000000"/>
                <w:sz w:val="18"/>
                <w:szCs w:val="18"/>
                <w:lang w:val="en-US"/>
              </w:rPr>
              <w:t>river cooba - lignum association</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4"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0.1</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461"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r>
      <w:tr w:rsidR="00CC18AA" w:rsidRPr="005D4453" w:rsidTr="00CC18AA">
        <w:trPr>
          <w:trHeight w:val="240"/>
        </w:trPr>
        <w:tc>
          <w:tcPr>
            <w:tcW w:w="538" w:type="pct"/>
            <w:vMerge/>
            <w:shd w:val="clear" w:color="auto" w:fill="auto"/>
            <w:hideMark/>
          </w:tcPr>
          <w:p w:rsidR="00B35ECC" w:rsidRPr="00CC18AA" w:rsidRDefault="00B35ECC" w:rsidP="00CC18AA">
            <w:pPr>
              <w:spacing w:before="60" w:after="60"/>
              <w:jc w:val="left"/>
              <w:rPr>
                <w:rFonts w:cs="Arial"/>
                <w:bCs/>
                <w:color w:val="000000"/>
                <w:sz w:val="18"/>
                <w:szCs w:val="18"/>
                <w:lang w:val="en-US"/>
              </w:rPr>
            </w:pPr>
          </w:p>
        </w:tc>
        <w:tc>
          <w:tcPr>
            <w:tcW w:w="2077" w:type="pct"/>
            <w:shd w:val="clear" w:color="auto" w:fill="auto"/>
            <w:noWrap/>
            <w:vAlign w:val="center"/>
            <w:hideMark/>
          </w:tcPr>
          <w:p w:rsidR="00B35ECC" w:rsidRPr="00CC18AA" w:rsidRDefault="006177FD" w:rsidP="00CC18AA">
            <w:pPr>
              <w:spacing w:before="60" w:after="60"/>
              <w:jc w:val="left"/>
              <w:rPr>
                <w:rFonts w:cs="Arial"/>
                <w:color w:val="000000"/>
                <w:sz w:val="18"/>
                <w:szCs w:val="18"/>
                <w:lang w:val="en-US"/>
              </w:rPr>
            </w:pPr>
            <w:r w:rsidRPr="00CC18AA">
              <w:rPr>
                <w:rFonts w:cs="Arial"/>
                <w:color w:val="000000"/>
                <w:sz w:val="18"/>
                <w:szCs w:val="18"/>
                <w:lang w:val="en-US"/>
              </w:rPr>
              <w:t>river coobah - lignum swamp shrubland</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4"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461"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r>
      <w:tr w:rsidR="00CC18AA" w:rsidRPr="005D4453" w:rsidTr="00CC18AA">
        <w:trPr>
          <w:trHeight w:val="240"/>
        </w:trPr>
        <w:tc>
          <w:tcPr>
            <w:tcW w:w="538" w:type="pct"/>
            <w:vMerge/>
            <w:shd w:val="clear" w:color="auto" w:fill="auto"/>
            <w:hideMark/>
          </w:tcPr>
          <w:p w:rsidR="00B35ECC" w:rsidRPr="00CC18AA" w:rsidRDefault="00B35ECC" w:rsidP="00CC18AA">
            <w:pPr>
              <w:spacing w:before="60" w:after="60"/>
              <w:jc w:val="left"/>
              <w:rPr>
                <w:rFonts w:cs="Arial"/>
                <w:bCs/>
                <w:color w:val="000000"/>
                <w:sz w:val="18"/>
                <w:szCs w:val="18"/>
                <w:lang w:val="en-US"/>
              </w:rPr>
            </w:pPr>
          </w:p>
        </w:tc>
        <w:tc>
          <w:tcPr>
            <w:tcW w:w="2077" w:type="pct"/>
            <w:shd w:val="clear" w:color="auto" w:fill="auto"/>
            <w:noWrap/>
            <w:vAlign w:val="center"/>
            <w:hideMark/>
          </w:tcPr>
          <w:p w:rsidR="00B35ECC" w:rsidRPr="00CC18AA" w:rsidRDefault="006177FD" w:rsidP="00CC18AA">
            <w:pPr>
              <w:spacing w:before="60" w:after="60"/>
              <w:jc w:val="left"/>
              <w:rPr>
                <w:rFonts w:cs="Arial"/>
                <w:color w:val="000000"/>
                <w:sz w:val="18"/>
                <w:szCs w:val="18"/>
                <w:lang w:val="en-US"/>
              </w:rPr>
            </w:pPr>
            <w:r w:rsidRPr="00CC18AA">
              <w:rPr>
                <w:rFonts w:cs="Arial"/>
                <w:color w:val="000000"/>
                <w:sz w:val="18"/>
                <w:szCs w:val="18"/>
                <w:lang w:val="en-US"/>
              </w:rPr>
              <w:t>river red gum - coolibah open forest</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4"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461"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r>
      <w:tr w:rsidR="00CC18AA" w:rsidRPr="005D4453" w:rsidTr="00CC18AA">
        <w:trPr>
          <w:trHeight w:val="240"/>
        </w:trPr>
        <w:tc>
          <w:tcPr>
            <w:tcW w:w="538" w:type="pct"/>
            <w:vMerge/>
            <w:shd w:val="clear" w:color="auto" w:fill="auto"/>
            <w:hideMark/>
          </w:tcPr>
          <w:p w:rsidR="00B35ECC" w:rsidRPr="00CC18AA" w:rsidRDefault="00B35ECC" w:rsidP="00CC18AA">
            <w:pPr>
              <w:spacing w:before="60" w:after="60"/>
              <w:jc w:val="left"/>
              <w:rPr>
                <w:rFonts w:cs="Arial"/>
                <w:bCs/>
                <w:color w:val="000000"/>
                <w:sz w:val="18"/>
                <w:szCs w:val="18"/>
                <w:lang w:val="en-US"/>
              </w:rPr>
            </w:pPr>
          </w:p>
        </w:tc>
        <w:tc>
          <w:tcPr>
            <w:tcW w:w="2077" w:type="pct"/>
            <w:shd w:val="clear" w:color="auto" w:fill="auto"/>
            <w:noWrap/>
            <w:vAlign w:val="center"/>
            <w:hideMark/>
          </w:tcPr>
          <w:p w:rsidR="00B35ECC" w:rsidRPr="00CC18AA" w:rsidRDefault="006177FD" w:rsidP="00CC18AA">
            <w:pPr>
              <w:spacing w:before="60" w:after="60"/>
              <w:jc w:val="left"/>
              <w:rPr>
                <w:rFonts w:cs="Arial"/>
                <w:color w:val="000000"/>
                <w:sz w:val="18"/>
                <w:szCs w:val="18"/>
                <w:lang w:val="en-US"/>
              </w:rPr>
            </w:pPr>
            <w:r w:rsidRPr="00CC18AA">
              <w:rPr>
                <w:rFonts w:cs="Arial"/>
                <w:color w:val="000000"/>
                <w:sz w:val="18"/>
                <w:szCs w:val="18"/>
                <w:lang w:val="en-US"/>
              </w:rPr>
              <w:t>spike-rush - cumbungi swamp sedgeland</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0.00</w:t>
            </w:r>
          </w:p>
        </w:tc>
        <w:tc>
          <w:tcPr>
            <w:tcW w:w="384" w:type="pct"/>
            <w:shd w:val="clear" w:color="auto" w:fill="auto"/>
            <w:noWrap/>
            <w:vAlign w:val="center"/>
            <w:hideMark/>
          </w:tcPr>
          <w:p w:rsidR="00B35ECC" w:rsidRPr="00CC18AA" w:rsidRDefault="00B35ECC" w:rsidP="00CC18AA">
            <w:pPr>
              <w:spacing w:before="60" w:after="60"/>
              <w:jc w:val="center"/>
              <w:rPr>
                <w:rFonts w:cs="Arial"/>
                <w:sz w:val="18"/>
                <w:szCs w:val="18"/>
                <w:lang w:val="en-US"/>
              </w:rPr>
            </w:pPr>
            <w:r w:rsidRPr="00CC18AA">
              <w:rPr>
                <w:rFonts w:cs="Arial"/>
                <w:sz w:val="18"/>
                <w:szCs w:val="18"/>
                <w:lang w:val="en-US"/>
              </w:rPr>
              <w:t>0.00</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0.00</w:t>
            </w:r>
          </w:p>
        </w:tc>
        <w:tc>
          <w:tcPr>
            <w:tcW w:w="385" w:type="pct"/>
            <w:shd w:val="clear" w:color="auto" w:fill="auto"/>
            <w:noWrap/>
            <w:vAlign w:val="center"/>
            <w:hideMark/>
          </w:tcPr>
          <w:p w:rsidR="00B35ECC" w:rsidRPr="00CC18AA" w:rsidRDefault="00B35ECC" w:rsidP="00CC18AA">
            <w:pPr>
              <w:spacing w:before="60" w:after="60"/>
              <w:jc w:val="center"/>
              <w:rPr>
                <w:rFonts w:cs="Arial"/>
                <w:sz w:val="18"/>
                <w:szCs w:val="18"/>
                <w:lang w:val="en-US"/>
              </w:rPr>
            </w:pPr>
            <w:r w:rsidRPr="00CC18AA">
              <w:rPr>
                <w:rFonts w:cs="Arial"/>
                <w:sz w:val="18"/>
                <w:szCs w:val="18"/>
                <w:lang w:val="en-US"/>
              </w:rPr>
              <w:t>0.00</w:t>
            </w:r>
          </w:p>
        </w:tc>
        <w:tc>
          <w:tcPr>
            <w:tcW w:w="461" w:type="pct"/>
            <w:shd w:val="clear" w:color="auto" w:fill="auto"/>
            <w:noWrap/>
            <w:vAlign w:val="center"/>
            <w:hideMark/>
          </w:tcPr>
          <w:p w:rsidR="00B35ECC" w:rsidRPr="00CC18AA" w:rsidRDefault="00B35ECC" w:rsidP="00CC18AA">
            <w:pPr>
              <w:spacing w:before="60" w:after="60"/>
              <w:jc w:val="center"/>
              <w:rPr>
                <w:rFonts w:cs="Arial"/>
                <w:sz w:val="18"/>
                <w:szCs w:val="18"/>
                <w:lang w:val="en-US"/>
              </w:rPr>
            </w:pPr>
            <w:r w:rsidRPr="00CC18AA">
              <w:rPr>
                <w:rFonts w:cs="Arial"/>
                <w:sz w:val="18"/>
                <w:szCs w:val="18"/>
                <w:lang w:val="en-US"/>
              </w:rPr>
              <w:t>0.00</w:t>
            </w:r>
          </w:p>
        </w:tc>
      </w:tr>
      <w:tr w:rsidR="00CC18AA" w:rsidRPr="005D4453" w:rsidTr="00CC18AA">
        <w:trPr>
          <w:trHeight w:val="240"/>
        </w:trPr>
        <w:tc>
          <w:tcPr>
            <w:tcW w:w="538" w:type="pct"/>
            <w:vMerge/>
            <w:shd w:val="clear" w:color="auto" w:fill="auto"/>
            <w:hideMark/>
          </w:tcPr>
          <w:p w:rsidR="00B35ECC" w:rsidRPr="00CC18AA" w:rsidRDefault="00B35ECC" w:rsidP="00CC18AA">
            <w:pPr>
              <w:spacing w:before="60" w:after="60"/>
              <w:jc w:val="left"/>
              <w:rPr>
                <w:rFonts w:cs="Arial"/>
                <w:bCs/>
                <w:color w:val="000000"/>
                <w:sz w:val="18"/>
                <w:szCs w:val="18"/>
                <w:lang w:val="en-US"/>
              </w:rPr>
            </w:pPr>
          </w:p>
        </w:tc>
        <w:tc>
          <w:tcPr>
            <w:tcW w:w="2077" w:type="pct"/>
            <w:shd w:val="clear" w:color="auto" w:fill="auto"/>
            <w:noWrap/>
            <w:vAlign w:val="center"/>
            <w:hideMark/>
          </w:tcPr>
          <w:p w:rsidR="00B35ECC" w:rsidRPr="00CC18AA" w:rsidRDefault="006177FD" w:rsidP="00CC18AA">
            <w:pPr>
              <w:spacing w:before="60" w:after="60"/>
              <w:jc w:val="left"/>
              <w:rPr>
                <w:rFonts w:cs="Arial"/>
                <w:color w:val="000000"/>
                <w:sz w:val="18"/>
                <w:szCs w:val="18"/>
                <w:lang w:val="en-US"/>
              </w:rPr>
            </w:pPr>
            <w:r w:rsidRPr="00CC18AA">
              <w:rPr>
                <w:rFonts w:cs="Arial"/>
                <w:color w:val="000000"/>
                <w:sz w:val="18"/>
                <w:szCs w:val="18"/>
                <w:lang w:val="en-US"/>
              </w:rPr>
              <w:t>tussock rush swamp rushland</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4"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0.00</w:t>
            </w:r>
          </w:p>
        </w:tc>
        <w:tc>
          <w:tcPr>
            <w:tcW w:w="385" w:type="pct"/>
            <w:shd w:val="clear" w:color="auto" w:fill="auto"/>
            <w:noWrap/>
            <w:vAlign w:val="center"/>
            <w:hideMark/>
          </w:tcPr>
          <w:p w:rsidR="00B35ECC" w:rsidRPr="00CC18AA" w:rsidRDefault="00B35ECC" w:rsidP="00CC18AA">
            <w:pPr>
              <w:spacing w:before="60" w:after="60"/>
              <w:jc w:val="center"/>
              <w:rPr>
                <w:rFonts w:cs="Arial"/>
                <w:sz w:val="18"/>
                <w:szCs w:val="18"/>
                <w:lang w:val="en-US"/>
              </w:rPr>
            </w:pPr>
            <w:r w:rsidRPr="00CC18AA">
              <w:rPr>
                <w:rFonts w:cs="Arial"/>
                <w:sz w:val="18"/>
                <w:szCs w:val="18"/>
                <w:lang w:val="en-US"/>
              </w:rPr>
              <w:t>0.00</w:t>
            </w:r>
          </w:p>
        </w:tc>
        <w:tc>
          <w:tcPr>
            <w:tcW w:w="385" w:type="pct"/>
            <w:shd w:val="clear" w:color="auto" w:fill="auto"/>
            <w:noWrap/>
            <w:vAlign w:val="center"/>
            <w:hideMark/>
          </w:tcPr>
          <w:p w:rsidR="00B35ECC" w:rsidRPr="00CC18AA" w:rsidRDefault="00B35ECC" w:rsidP="00CC18AA">
            <w:pPr>
              <w:spacing w:before="60" w:after="60"/>
              <w:jc w:val="center"/>
              <w:rPr>
                <w:rFonts w:cs="Arial"/>
                <w:sz w:val="18"/>
                <w:szCs w:val="18"/>
                <w:lang w:val="en-US"/>
              </w:rPr>
            </w:pPr>
            <w:r w:rsidRPr="00CC18AA">
              <w:rPr>
                <w:rFonts w:cs="Arial"/>
                <w:sz w:val="18"/>
                <w:szCs w:val="18"/>
                <w:lang w:val="en-US"/>
              </w:rPr>
              <w:t>0.00</w:t>
            </w:r>
          </w:p>
        </w:tc>
        <w:tc>
          <w:tcPr>
            <w:tcW w:w="461" w:type="pct"/>
            <w:shd w:val="clear" w:color="auto" w:fill="auto"/>
            <w:noWrap/>
            <w:vAlign w:val="center"/>
            <w:hideMark/>
          </w:tcPr>
          <w:p w:rsidR="00B35ECC" w:rsidRPr="00CC18AA" w:rsidRDefault="00B35ECC" w:rsidP="00CC18AA">
            <w:pPr>
              <w:spacing w:before="60" w:after="60"/>
              <w:jc w:val="center"/>
              <w:rPr>
                <w:rFonts w:cs="Arial"/>
                <w:sz w:val="18"/>
                <w:szCs w:val="18"/>
                <w:lang w:val="en-US"/>
              </w:rPr>
            </w:pPr>
            <w:r w:rsidRPr="00CC18AA">
              <w:rPr>
                <w:rFonts w:cs="Arial"/>
                <w:sz w:val="18"/>
                <w:szCs w:val="18"/>
                <w:lang w:val="en-US"/>
              </w:rPr>
              <w:t>0.00</w:t>
            </w:r>
          </w:p>
        </w:tc>
      </w:tr>
      <w:tr w:rsidR="00CC18AA" w:rsidRPr="005D4453" w:rsidTr="00CC18AA">
        <w:trPr>
          <w:trHeight w:val="240"/>
        </w:trPr>
        <w:tc>
          <w:tcPr>
            <w:tcW w:w="538" w:type="pct"/>
            <w:vMerge/>
            <w:shd w:val="clear" w:color="auto" w:fill="auto"/>
            <w:hideMark/>
          </w:tcPr>
          <w:p w:rsidR="00B35ECC" w:rsidRPr="00CC18AA" w:rsidRDefault="00B35ECC" w:rsidP="00CC18AA">
            <w:pPr>
              <w:spacing w:before="60" w:after="60"/>
              <w:jc w:val="left"/>
              <w:rPr>
                <w:rFonts w:cs="Arial"/>
                <w:bCs/>
                <w:color w:val="000000"/>
                <w:sz w:val="18"/>
                <w:szCs w:val="18"/>
                <w:lang w:val="en-US"/>
              </w:rPr>
            </w:pPr>
          </w:p>
        </w:tc>
        <w:tc>
          <w:tcPr>
            <w:tcW w:w="2077" w:type="pct"/>
            <w:shd w:val="clear" w:color="auto" w:fill="auto"/>
            <w:noWrap/>
            <w:vAlign w:val="center"/>
            <w:hideMark/>
          </w:tcPr>
          <w:p w:rsidR="00B35ECC" w:rsidRPr="00CC18AA" w:rsidRDefault="006177FD" w:rsidP="00CC18AA">
            <w:pPr>
              <w:spacing w:before="60" w:after="60"/>
              <w:jc w:val="left"/>
              <w:rPr>
                <w:rFonts w:cs="Arial"/>
                <w:color w:val="000000"/>
                <w:sz w:val="18"/>
                <w:szCs w:val="18"/>
                <w:lang w:val="en-US"/>
              </w:rPr>
            </w:pPr>
            <w:r w:rsidRPr="00CC18AA">
              <w:rPr>
                <w:rFonts w:cs="Arial"/>
                <w:color w:val="000000"/>
                <w:sz w:val="18"/>
                <w:szCs w:val="18"/>
                <w:lang w:val="en-US"/>
              </w:rPr>
              <w:t>water couch - spike-rush - tussock rush marsh grassland/sedgeland</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4"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0.1</w:t>
            </w:r>
          </w:p>
        </w:tc>
        <w:tc>
          <w:tcPr>
            <w:tcW w:w="385"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c>
          <w:tcPr>
            <w:tcW w:w="461" w:type="pct"/>
            <w:shd w:val="clear" w:color="auto" w:fill="auto"/>
            <w:noWrap/>
            <w:vAlign w:val="center"/>
            <w:hideMark/>
          </w:tcPr>
          <w:p w:rsidR="00B35ECC" w:rsidRPr="00CC18AA" w:rsidRDefault="00B35ECC" w:rsidP="00CC18AA">
            <w:pPr>
              <w:spacing w:before="60" w:after="60"/>
              <w:jc w:val="center"/>
              <w:rPr>
                <w:rFonts w:cs="Arial"/>
                <w:color w:val="000000"/>
                <w:sz w:val="18"/>
                <w:szCs w:val="18"/>
                <w:lang w:val="en-US"/>
              </w:rPr>
            </w:pPr>
            <w:r w:rsidRPr="00CC18AA">
              <w:rPr>
                <w:rFonts w:cs="Arial"/>
                <w:color w:val="000000"/>
                <w:sz w:val="18"/>
                <w:szCs w:val="18"/>
                <w:lang w:val="en-US"/>
              </w:rPr>
              <w:t>0.05</w:t>
            </w:r>
          </w:p>
        </w:tc>
      </w:tr>
    </w:tbl>
    <w:p w:rsidR="00B35ECC" w:rsidRDefault="00B35ECC" w:rsidP="009C1DAC">
      <w:pPr>
        <w:pStyle w:val="Heading7"/>
      </w:pPr>
      <w:r>
        <w:t>Results</w:t>
      </w:r>
    </w:p>
    <w:p w:rsidR="00B35ECC" w:rsidRDefault="00B35ECC" w:rsidP="009C1DAC">
      <w:pPr>
        <w:pStyle w:val="Heading8"/>
      </w:pPr>
      <w:r>
        <w:t>Inundation extent and volume modelling</w:t>
      </w:r>
    </w:p>
    <w:p w:rsidR="00B35ECC" w:rsidRDefault="00B35ECC" w:rsidP="00B35ECC">
      <w:r>
        <w:t>Inundation mapping using the Landsat imagery showed that the total extent of inundation varied throughout the water year in all wetlands (</w:t>
      </w:r>
      <w:r>
        <w:fldChar w:fldCharType="begin"/>
      </w:r>
      <w:r>
        <w:instrText xml:space="preserve"> REF _Ref457547544 \h </w:instrText>
      </w:r>
      <w:r>
        <w:fldChar w:fldCharType="separate"/>
      </w:r>
      <w:r w:rsidR="005D5925">
        <w:t xml:space="preserve">Figure </w:t>
      </w:r>
      <w:r w:rsidR="005D5925">
        <w:rPr>
          <w:noProof/>
        </w:rPr>
        <w:t>B</w:t>
      </w:r>
      <w:r w:rsidR="005D5925">
        <w:noBreakHyphen/>
      </w:r>
      <w:r w:rsidR="005D5925">
        <w:rPr>
          <w:noProof/>
        </w:rPr>
        <w:t>4</w:t>
      </w:r>
      <w:r>
        <w:fldChar w:fldCharType="end"/>
      </w:r>
      <w:r>
        <w:t xml:space="preserve">; </w:t>
      </w:r>
      <w:r>
        <w:fldChar w:fldCharType="begin"/>
      </w:r>
      <w:r>
        <w:instrText xml:space="preserve"> REF _Ref457564153 \h </w:instrText>
      </w:r>
      <w:r>
        <w:fldChar w:fldCharType="separate"/>
      </w:r>
      <w:r w:rsidR="005D5925">
        <w:t xml:space="preserve">Figure </w:t>
      </w:r>
      <w:r w:rsidR="005D5925">
        <w:rPr>
          <w:noProof/>
        </w:rPr>
        <w:t>B</w:t>
      </w:r>
      <w:r w:rsidR="005D5925">
        <w:noBreakHyphen/>
      </w:r>
      <w:r w:rsidR="005D5925">
        <w:rPr>
          <w:noProof/>
        </w:rPr>
        <w:t>5</w:t>
      </w:r>
      <w:r>
        <w:fldChar w:fldCharType="end"/>
      </w:r>
      <w:r>
        <w:t xml:space="preserve">).  Inundation extent was 149.19 ha in the </w:t>
      </w:r>
      <w:r w:rsidR="001C3C04">
        <w:t>lower</w:t>
      </w:r>
      <w:r>
        <w:t xml:space="preserve"> Gwydir at the start of the 2015-16 water year (</w:t>
      </w:r>
      <w:r>
        <w:fldChar w:fldCharType="begin"/>
      </w:r>
      <w:r>
        <w:instrText xml:space="preserve"> REF _Ref457547544 \h </w:instrText>
      </w:r>
      <w:r>
        <w:fldChar w:fldCharType="separate"/>
      </w:r>
      <w:r w:rsidR="005D5925">
        <w:t xml:space="preserve">Figure </w:t>
      </w:r>
      <w:r w:rsidR="005D5925">
        <w:rPr>
          <w:noProof/>
        </w:rPr>
        <w:t>B</w:t>
      </w:r>
      <w:r w:rsidR="005D5925">
        <w:noBreakHyphen/>
      </w:r>
      <w:r w:rsidR="005D5925">
        <w:rPr>
          <w:noProof/>
        </w:rPr>
        <w:t>4</w:t>
      </w:r>
      <w:r>
        <w:fldChar w:fldCharType="end"/>
      </w:r>
      <w:r>
        <w:t xml:space="preserve">).  While this followed a period of connectivity in the </w:t>
      </w:r>
      <w:r w:rsidR="001C3C04">
        <w:t>lower</w:t>
      </w:r>
      <w:r>
        <w:t xml:space="preserve"> Gwydir </w:t>
      </w:r>
      <w:r w:rsidR="00176BB7">
        <w:t>that</w:t>
      </w:r>
      <w:r>
        <w:t xml:space="preserve"> commenced in late June 2015 and continued into October 2015 (</w:t>
      </w:r>
      <w:r w:rsidR="009273DA">
        <w:fldChar w:fldCharType="begin"/>
      </w:r>
      <w:r w:rsidR="009273DA">
        <w:instrText xml:space="preserve"> REF _Ref457987841 \r \h </w:instrText>
      </w:r>
      <w:r w:rsidR="009273DA">
        <w:fldChar w:fldCharType="separate"/>
      </w:r>
      <w:r w:rsidR="005D5925">
        <w:t>Appendix A</w:t>
      </w:r>
      <w:r w:rsidR="009273DA">
        <w:fldChar w:fldCharType="end"/>
      </w:r>
      <w:r>
        <w:t>), the fragmented inundation pattern suggest</w:t>
      </w:r>
      <w:r w:rsidR="00176BB7">
        <w:t>s</w:t>
      </w:r>
      <w:r>
        <w:t xml:space="preserve"> that the extent of inundation may not have been a result of this flow connection alone, being more reflective of drying down from flooding experienced in </w:t>
      </w:r>
      <w:r w:rsidR="00176BB7">
        <w:t>2014-15</w:t>
      </w:r>
      <w:r>
        <w:t xml:space="preserve"> (Commonwealth of Australia 2015).  Inundation extent dropped slightly in October but increased again in November 2015 to the highest extent recorded for the water year, reaching 161.81 ha.  This also followed a period of connection driven by local rainfall in early November 2015</w:t>
      </w:r>
      <w:r w:rsidR="00176BB7">
        <w:t>,</w:t>
      </w:r>
      <w:r>
        <w:t xml:space="preserve"> and inundation patterns indicate that channel flow is likely responsible for this increase (</w:t>
      </w:r>
      <w:r w:rsidR="009273DA">
        <w:fldChar w:fldCharType="begin"/>
      </w:r>
      <w:r w:rsidR="009273DA">
        <w:instrText xml:space="preserve"> REF _Ref457987841 \r \h </w:instrText>
      </w:r>
      <w:r w:rsidR="009273DA">
        <w:fldChar w:fldCharType="separate"/>
      </w:r>
      <w:r w:rsidR="005D5925">
        <w:t>Appendix A</w:t>
      </w:r>
      <w:r w:rsidR="009273DA">
        <w:fldChar w:fldCharType="end"/>
      </w:r>
      <w:r>
        <w:t xml:space="preserve">).  Inundation extent dropped through the remainder of the water year, reaching the lowest levels in April 2016.  There was </w:t>
      </w:r>
      <w:r w:rsidR="00E23B8D">
        <w:t>a slight increase in inundation</w:t>
      </w:r>
      <w:r w:rsidR="00176BB7">
        <w:t xml:space="preserve"> area shown </w:t>
      </w:r>
      <w:r>
        <w:t>in the May 2016 image most likely associated with local rainfall in early May (</w:t>
      </w:r>
      <w:r>
        <w:fldChar w:fldCharType="begin"/>
      </w:r>
      <w:r>
        <w:instrText xml:space="preserve"> REF _Ref456348589 \h </w:instrText>
      </w:r>
      <w:r>
        <w:fldChar w:fldCharType="separate"/>
      </w:r>
      <w:r w:rsidR="005D5925">
        <w:t xml:space="preserve">Figure </w:t>
      </w:r>
      <w:r w:rsidR="005D5925">
        <w:rPr>
          <w:noProof/>
        </w:rPr>
        <w:t>B</w:t>
      </w:r>
      <w:r w:rsidR="005D5925">
        <w:noBreakHyphen/>
      </w:r>
      <w:r w:rsidR="005D5925">
        <w:rPr>
          <w:noProof/>
        </w:rPr>
        <w:t>6</w:t>
      </w:r>
      <w:r>
        <w:fldChar w:fldCharType="end"/>
      </w:r>
      <w:r>
        <w:t>).</w:t>
      </w:r>
    </w:p>
    <w:p w:rsidR="00B35ECC" w:rsidRDefault="00B35ECC" w:rsidP="00B35ECC">
      <w:r>
        <w:t>Similar inundation patterns were observed in the Gingham wetland system with 575.38 ha of inundation at the start of the water year (</w:t>
      </w:r>
      <w:r>
        <w:fldChar w:fldCharType="begin"/>
      </w:r>
      <w:r>
        <w:instrText xml:space="preserve"> REF _Ref457547544 \h </w:instrText>
      </w:r>
      <w:r>
        <w:fldChar w:fldCharType="separate"/>
      </w:r>
      <w:r w:rsidR="005D5925">
        <w:t xml:space="preserve">Figure </w:t>
      </w:r>
      <w:r w:rsidR="005D5925">
        <w:rPr>
          <w:noProof/>
        </w:rPr>
        <w:t>B</w:t>
      </w:r>
      <w:r w:rsidR="005D5925">
        <w:noBreakHyphen/>
      </w:r>
      <w:r w:rsidR="005D5925">
        <w:rPr>
          <w:noProof/>
        </w:rPr>
        <w:t>4</w:t>
      </w:r>
      <w:r>
        <w:fldChar w:fldCharType="end"/>
      </w:r>
      <w:r>
        <w:t xml:space="preserve">).  Again, this is likely </w:t>
      </w:r>
      <w:r w:rsidR="00176BB7">
        <w:t>from residual water from</w:t>
      </w:r>
      <w:r>
        <w:t xml:space="preserve"> extensive flooding in 2014-15 (Commonwealth of Australia 2015).  There was a brief period of connection in the Gingham </w:t>
      </w:r>
      <w:r w:rsidR="001C3C04">
        <w:t>watercourse</w:t>
      </w:r>
      <w:r>
        <w:t xml:space="preserve"> in late June – early July 2015 (</w:t>
      </w:r>
      <w:r w:rsidR="009273DA">
        <w:fldChar w:fldCharType="begin"/>
      </w:r>
      <w:r w:rsidR="009273DA">
        <w:instrText xml:space="preserve"> REF _Ref457987841 \r \h </w:instrText>
      </w:r>
      <w:r w:rsidR="009273DA">
        <w:fldChar w:fldCharType="separate"/>
      </w:r>
      <w:r w:rsidR="005D5925">
        <w:t>Appendix A</w:t>
      </w:r>
      <w:r w:rsidR="009273DA">
        <w:fldChar w:fldCharType="end"/>
      </w:r>
      <w:r>
        <w:t>) but inundation patterns suggest that the extent of inundation captured in this image was not influenced greatly by this flow.  Inundation extent increased marginally in October 2015 reaching the largest extent for the water year at 592.38 ha.  Inundation then declined steadily for the remainder of the water year with the smallest extent (52.34 ha) recorded in April 2016.  There was a slight increase in inundation extent in May 2016 most likely associated with local rainfall in early May (</w:t>
      </w:r>
      <w:r>
        <w:fldChar w:fldCharType="begin"/>
      </w:r>
      <w:r>
        <w:instrText xml:space="preserve"> REF _Ref456348589 \h </w:instrText>
      </w:r>
      <w:r>
        <w:fldChar w:fldCharType="separate"/>
      </w:r>
      <w:r w:rsidR="005D5925">
        <w:t xml:space="preserve">Figure </w:t>
      </w:r>
      <w:r w:rsidR="005D5925">
        <w:rPr>
          <w:noProof/>
        </w:rPr>
        <w:t>B</w:t>
      </w:r>
      <w:r w:rsidR="005D5925">
        <w:noBreakHyphen/>
      </w:r>
      <w:r w:rsidR="005D5925">
        <w:rPr>
          <w:noProof/>
        </w:rPr>
        <w:t>6</w:t>
      </w:r>
      <w:r>
        <w:fldChar w:fldCharType="end"/>
      </w:r>
      <w:r>
        <w:t>).</w:t>
      </w:r>
    </w:p>
    <w:p w:rsidR="00B35ECC" w:rsidRPr="00303441" w:rsidRDefault="00B35ECC" w:rsidP="00B35ECC">
      <w:r>
        <w:t>Inundation in the Mallowa wetlands at the start of the 2015-16 water year was the lowest recorded at 10.73 ha (</w:t>
      </w:r>
      <w:r>
        <w:fldChar w:fldCharType="begin"/>
      </w:r>
      <w:r>
        <w:instrText xml:space="preserve"> REF _Ref457564153 \h </w:instrText>
      </w:r>
      <w:r>
        <w:fldChar w:fldCharType="separate"/>
      </w:r>
      <w:r w:rsidR="005D5925">
        <w:t xml:space="preserve">Figure </w:t>
      </w:r>
      <w:r w:rsidR="005D5925">
        <w:rPr>
          <w:noProof/>
        </w:rPr>
        <w:t>B</w:t>
      </w:r>
      <w:r w:rsidR="005D5925">
        <w:noBreakHyphen/>
      </w:r>
      <w:r w:rsidR="005D5925">
        <w:rPr>
          <w:noProof/>
        </w:rPr>
        <w:t>5</w:t>
      </w:r>
      <w:r>
        <w:fldChar w:fldCharType="end"/>
      </w:r>
      <w:r>
        <w:t xml:space="preserve">).  Inundation extent </w:t>
      </w:r>
      <w:r w:rsidR="00176BB7">
        <w:t>shown</w:t>
      </w:r>
      <w:r>
        <w:t xml:space="preserve"> in the October and November images reached a peak in February 2016 with 204.84 ha of inundation.  The inundation extent increases observed in the November and February images are related to environmental flows delivered to the Mallowa over the summer period (</w:t>
      </w:r>
      <w:r w:rsidR="009273DA">
        <w:fldChar w:fldCharType="begin"/>
      </w:r>
      <w:r w:rsidR="009273DA">
        <w:instrText xml:space="preserve"> REF _Ref457987841 \r \h </w:instrText>
      </w:r>
      <w:r w:rsidR="009273DA">
        <w:fldChar w:fldCharType="separate"/>
      </w:r>
      <w:r w:rsidR="005D5925">
        <w:t>Appendix A</w:t>
      </w:r>
      <w:r w:rsidR="009273DA">
        <w:fldChar w:fldCharType="end"/>
      </w:r>
      <w:r>
        <w:t>).  Flows in Mallowa Creek were almost entirely dependent on environmental water in the 2015-16 water year and when environmental deliveries ceased after February 2016 inundation extent dropped over the remainder of the season.</w:t>
      </w:r>
    </w:p>
    <w:p w:rsidR="00B35ECC" w:rsidRDefault="00B35ECC" w:rsidP="00B35ECC">
      <w:r>
        <w:t xml:space="preserve">Patterns in inundation volume generally followed inundation extent with maximum volume and inundation occurring in the </w:t>
      </w:r>
      <w:r w:rsidR="001C3C04">
        <w:t>lower</w:t>
      </w:r>
      <w:r>
        <w:t xml:space="preserve"> Gwydir wetlands in November 2015 and in the Gingham wetlands in October 2015 (</w:t>
      </w:r>
      <w:r>
        <w:fldChar w:fldCharType="begin"/>
      </w:r>
      <w:r>
        <w:instrText xml:space="preserve"> REF _Ref456347305 \h </w:instrText>
      </w:r>
      <w:r>
        <w:fldChar w:fldCharType="separate"/>
      </w:r>
      <w:r w:rsidR="005D5925">
        <w:t xml:space="preserve">Table </w:t>
      </w:r>
      <w:r w:rsidR="005D5925">
        <w:rPr>
          <w:noProof/>
        </w:rPr>
        <w:t>B</w:t>
      </w:r>
      <w:r w:rsidR="005D5925">
        <w:noBreakHyphen/>
      </w:r>
      <w:r w:rsidR="005D5925">
        <w:rPr>
          <w:noProof/>
        </w:rPr>
        <w:t>2</w:t>
      </w:r>
      <w:r>
        <w:fldChar w:fldCharType="end"/>
      </w:r>
      <w:r>
        <w:t xml:space="preserve">; </w:t>
      </w:r>
      <w:r>
        <w:fldChar w:fldCharType="begin"/>
      </w:r>
      <w:r>
        <w:instrText xml:space="preserve"> REF _Ref456347327 \h </w:instrText>
      </w:r>
      <w:r>
        <w:fldChar w:fldCharType="separate"/>
      </w:r>
      <w:r w:rsidR="005D5925">
        <w:t xml:space="preserve">Table </w:t>
      </w:r>
      <w:r w:rsidR="005D5925">
        <w:rPr>
          <w:noProof/>
        </w:rPr>
        <w:t>B</w:t>
      </w:r>
      <w:r w:rsidR="005D5925">
        <w:noBreakHyphen/>
      </w:r>
      <w:r w:rsidR="005D5925">
        <w:rPr>
          <w:noProof/>
        </w:rPr>
        <w:t>3</w:t>
      </w:r>
      <w:r>
        <w:fldChar w:fldCharType="end"/>
      </w:r>
      <w:r>
        <w:t xml:space="preserve">).  In the 2014-15 water year it was noted that total wetland inundation and volume appeared to reduce to a greater extent in the </w:t>
      </w:r>
      <w:r w:rsidR="001C3C04">
        <w:t>lower</w:t>
      </w:r>
      <w:r>
        <w:t xml:space="preserve"> Gwydir wetlands compared to the Gingham wetlands.  This pattern was reversed in 2015-16 as inundation extent and volume dropped much more sharply in the Gingham wetlands than the </w:t>
      </w:r>
      <w:r w:rsidR="001C3C04">
        <w:t>lower</w:t>
      </w:r>
      <w:r>
        <w:t xml:space="preserve"> Gwydir wetlands from peak inundation to the end of the water year.</w:t>
      </w:r>
    </w:p>
    <w:p w:rsidR="00B35ECC" w:rsidRDefault="004176FF" w:rsidP="00F85BC6">
      <w:pPr>
        <w:keepNext/>
        <w:spacing w:line="240" w:lineRule="auto"/>
        <w:jc w:val="center"/>
      </w:pPr>
      <w:r w:rsidRPr="008F5E11">
        <w:rPr>
          <w:noProof/>
          <w:lang w:eastAsia="en-AU"/>
        </w:rPr>
        <w:drawing>
          <wp:inline distT="0" distB="0" distL="0" distR="0">
            <wp:extent cx="5762625" cy="8162925"/>
            <wp:effectExtent l="0" t="0" r="9525" b="9525"/>
            <wp:docPr id="12" name="Picture 23" descr="Y:\14ARMNRM-0001 Stage 2 LTIM Gwydir\Maps\Final report maps 2015-2016\Fig G-8 Inundation_alltimes_GINGHAM_GWYDIR_v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14ARMNRM-0001 Stage 2 LTIM Gwydir\Maps\Final report maps 2015-2016\Fig G-8 Inundation_alltimes_GINGHAM_GWYDIR_v0b.jp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5762625" cy="8162925"/>
                    </a:xfrm>
                    <a:prstGeom prst="rect">
                      <a:avLst/>
                    </a:prstGeom>
                    <a:noFill/>
                    <a:ln>
                      <a:noFill/>
                    </a:ln>
                  </pic:spPr>
                </pic:pic>
              </a:graphicData>
            </a:graphic>
          </wp:inline>
        </w:drawing>
      </w:r>
    </w:p>
    <w:p w:rsidR="00B35ECC" w:rsidRDefault="00B35ECC" w:rsidP="00B35ECC">
      <w:pPr>
        <w:pStyle w:val="Caption"/>
      </w:pPr>
      <w:bookmarkStart w:id="18" w:name="_Ref457547544"/>
      <w:r>
        <w:t xml:space="preserve">Figure </w:t>
      </w:r>
      <w:fldSimple w:instr=" STYLEREF 6 \s ">
        <w:r w:rsidR="00673DAF">
          <w:rPr>
            <w:noProof/>
          </w:rPr>
          <w:t>B</w:t>
        </w:r>
      </w:fldSimple>
      <w:r w:rsidR="00673DAF">
        <w:noBreakHyphen/>
      </w:r>
      <w:fldSimple w:instr=" SEQ Figure \* ARABIC \s 6 ">
        <w:r w:rsidR="00673DAF">
          <w:rPr>
            <w:noProof/>
          </w:rPr>
          <w:t>4</w:t>
        </w:r>
      </w:fldSimple>
      <w:bookmarkEnd w:id="18"/>
      <w:r>
        <w:t xml:space="preserve"> Wetland inundation within the Gingham and Gwydir </w:t>
      </w:r>
      <w:r w:rsidR="00176BB7">
        <w:t>w</w:t>
      </w:r>
      <w:r>
        <w:t>etlands during the 2015-16 water year.</w:t>
      </w:r>
    </w:p>
    <w:p w:rsidR="00B35ECC" w:rsidRDefault="00B35ECC" w:rsidP="00B35ECC">
      <w:pPr>
        <w:sectPr w:rsidR="00B35ECC" w:rsidSect="00E23B8D">
          <w:headerReference w:type="default" r:id="rId30"/>
          <w:type w:val="nextColumn"/>
          <w:pgSz w:w="11907" w:h="16839" w:code="9"/>
          <w:pgMar w:top="1276" w:right="1219" w:bottom="1276" w:left="1480" w:header="708" w:footer="306" w:gutter="0"/>
          <w:pgNumType w:start="1" w:chapStyle="6"/>
          <w:cols w:space="708"/>
          <w:docGrid w:linePitch="360"/>
        </w:sectPr>
      </w:pPr>
    </w:p>
    <w:p w:rsidR="00B35ECC" w:rsidRDefault="004176FF" w:rsidP="00F85BC6">
      <w:pPr>
        <w:keepNext/>
        <w:spacing w:line="240" w:lineRule="auto"/>
        <w:jc w:val="center"/>
      </w:pPr>
      <w:r w:rsidRPr="008F5E11">
        <w:rPr>
          <w:noProof/>
          <w:lang w:eastAsia="en-AU"/>
        </w:rPr>
        <w:drawing>
          <wp:inline distT="0" distB="0" distL="0" distR="0">
            <wp:extent cx="7477125" cy="5286375"/>
            <wp:effectExtent l="0" t="0" r="9525" b="9525"/>
            <wp:docPr id="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7477125" cy="5286375"/>
                    </a:xfrm>
                    <a:prstGeom prst="rect">
                      <a:avLst/>
                    </a:prstGeom>
                    <a:noFill/>
                    <a:ln>
                      <a:noFill/>
                    </a:ln>
                  </pic:spPr>
                </pic:pic>
              </a:graphicData>
            </a:graphic>
          </wp:inline>
        </w:drawing>
      </w:r>
    </w:p>
    <w:p w:rsidR="00B35ECC" w:rsidRDefault="00B35ECC" w:rsidP="00B35ECC">
      <w:pPr>
        <w:pStyle w:val="Caption"/>
      </w:pPr>
      <w:bookmarkStart w:id="19" w:name="_Ref457564153"/>
      <w:r>
        <w:t xml:space="preserve">Figure </w:t>
      </w:r>
      <w:fldSimple w:instr=" STYLEREF 6 \s ">
        <w:r w:rsidR="00673DAF">
          <w:rPr>
            <w:noProof/>
          </w:rPr>
          <w:t>B</w:t>
        </w:r>
      </w:fldSimple>
      <w:r w:rsidR="00673DAF">
        <w:noBreakHyphen/>
      </w:r>
      <w:fldSimple w:instr=" SEQ Figure \* ARABIC \s 6 ">
        <w:r w:rsidR="00673DAF">
          <w:rPr>
            <w:noProof/>
          </w:rPr>
          <w:t>5</w:t>
        </w:r>
      </w:fldSimple>
      <w:bookmarkEnd w:id="19"/>
      <w:r>
        <w:t xml:space="preserve"> Wetland inundation within the Mallowa </w:t>
      </w:r>
      <w:r w:rsidR="00176BB7">
        <w:t>w</w:t>
      </w:r>
      <w:r>
        <w:t>etlands during the 2015-16 water year.</w:t>
      </w:r>
    </w:p>
    <w:p w:rsidR="00B35ECC" w:rsidRDefault="00B35ECC" w:rsidP="00B35ECC">
      <w:pPr>
        <w:sectPr w:rsidR="00B35ECC" w:rsidSect="00E23B8D">
          <w:headerReference w:type="default" r:id="rId32"/>
          <w:footerReference w:type="default" r:id="rId33"/>
          <w:type w:val="nextColumn"/>
          <w:pgSz w:w="16839" w:h="11907" w:orient="landscape" w:code="9"/>
          <w:pgMar w:top="1508" w:right="1219" w:bottom="1276" w:left="1480" w:header="570" w:footer="306" w:gutter="0"/>
          <w:pgNumType w:chapStyle="6"/>
          <w:cols w:space="708"/>
          <w:docGrid w:linePitch="360"/>
        </w:sectPr>
      </w:pPr>
    </w:p>
    <w:p w:rsidR="00B35ECC" w:rsidRDefault="00B35ECC" w:rsidP="00B35ECC">
      <w:pPr>
        <w:pStyle w:val="Caption"/>
        <w:keepNext/>
      </w:pPr>
      <w:bookmarkStart w:id="20" w:name="_Ref456347305"/>
      <w:r>
        <w:t xml:space="preserve">Table </w:t>
      </w:r>
      <w:fldSimple w:instr=" STYLEREF 6 \s ">
        <w:r w:rsidR="005D5925">
          <w:rPr>
            <w:noProof/>
          </w:rPr>
          <w:t>B</w:t>
        </w:r>
      </w:fldSimple>
      <w:r w:rsidR="005D4453">
        <w:noBreakHyphen/>
      </w:r>
      <w:fldSimple w:instr=" SEQ Table \* ARABIC \s 6 ">
        <w:r w:rsidR="005D5925">
          <w:rPr>
            <w:noProof/>
          </w:rPr>
          <w:t>2</w:t>
        </w:r>
      </w:fldSimple>
      <w:bookmarkEnd w:id="20"/>
      <w:r>
        <w:t xml:space="preserve"> Inflows, inundation extent and volume of water in the </w:t>
      </w:r>
      <w:r w:rsidR="001C3C04">
        <w:t>lower</w:t>
      </w:r>
      <w:r>
        <w:t xml:space="preserve"> Gwydir and Gingham wetlands throughout the 2015-16 water year.</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665"/>
        <w:gridCol w:w="1751"/>
        <w:gridCol w:w="3009"/>
        <w:gridCol w:w="1783"/>
      </w:tblGrid>
      <w:tr w:rsidR="00CC18AA" w:rsidRPr="005D4453" w:rsidTr="00CC18AA">
        <w:trPr>
          <w:trHeight w:val="240"/>
          <w:jc w:val="center"/>
        </w:trPr>
        <w:tc>
          <w:tcPr>
            <w:tcW w:w="1447" w:type="pct"/>
            <w:shd w:val="clear" w:color="auto" w:fill="D9D9D9"/>
            <w:noWrap/>
            <w:vAlign w:val="center"/>
            <w:hideMark/>
          </w:tcPr>
          <w:p w:rsidR="00176BB7" w:rsidRPr="00CC18AA" w:rsidRDefault="00176BB7" w:rsidP="00CC18AA">
            <w:pPr>
              <w:spacing w:before="60" w:after="60"/>
              <w:jc w:val="center"/>
              <w:rPr>
                <w:rFonts w:cs="Arial"/>
                <w:bCs/>
                <w:color w:val="000000"/>
                <w:szCs w:val="20"/>
                <w:lang w:val="en-US"/>
              </w:rPr>
            </w:pPr>
            <w:r w:rsidRPr="00CC18AA">
              <w:rPr>
                <w:rFonts w:cs="Arial"/>
                <w:bCs/>
                <w:color w:val="000000"/>
                <w:szCs w:val="20"/>
                <w:lang w:val="en-US"/>
              </w:rPr>
              <w:t>Wetland</w:t>
            </w:r>
          </w:p>
        </w:tc>
        <w:tc>
          <w:tcPr>
            <w:tcW w:w="951" w:type="pct"/>
            <w:shd w:val="clear" w:color="auto" w:fill="D9D9D9"/>
            <w:noWrap/>
            <w:vAlign w:val="center"/>
            <w:hideMark/>
          </w:tcPr>
          <w:p w:rsidR="00176BB7" w:rsidRPr="00CC18AA" w:rsidRDefault="00176BB7" w:rsidP="00CC18AA">
            <w:pPr>
              <w:spacing w:before="60" w:after="60"/>
              <w:jc w:val="center"/>
              <w:rPr>
                <w:rFonts w:cs="Arial"/>
                <w:bCs/>
                <w:color w:val="000000"/>
                <w:szCs w:val="20"/>
                <w:lang w:val="en-US"/>
              </w:rPr>
            </w:pPr>
            <w:r w:rsidRPr="00CC18AA">
              <w:rPr>
                <w:rFonts w:cs="Arial"/>
                <w:bCs/>
                <w:color w:val="000000"/>
                <w:szCs w:val="20"/>
                <w:lang w:val="en-US"/>
              </w:rPr>
              <w:t>Date</w:t>
            </w:r>
          </w:p>
        </w:tc>
        <w:tc>
          <w:tcPr>
            <w:tcW w:w="1634" w:type="pct"/>
            <w:shd w:val="clear" w:color="auto" w:fill="D9D9D9"/>
            <w:noWrap/>
            <w:vAlign w:val="center"/>
            <w:hideMark/>
          </w:tcPr>
          <w:p w:rsidR="00176BB7" w:rsidRPr="00CC18AA" w:rsidRDefault="00176BB7" w:rsidP="00CC18AA">
            <w:pPr>
              <w:spacing w:before="60" w:after="60"/>
              <w:jc w:val="center"/>
              <w:rPr>
                <w:rFonts w:cs="Arial"/>
                <w:bCs/>
                <w:color w:val="000000"/>
                <w:szCs w:val="20"/>
                <w:lang w:val="en-US"/>
              </w:rPr>
            </w:pPr>
            <w:r w:rsidRPr="00CC18AA">
              <w:rPr>
                <w:rFonts w:cs="Arial"/>
                <w:bCs/>
                <w:color w:val="000000"/>
                <w:szCs w:val="20"/>
                <w:lang w:val="en-US"/>
              </w:rPr>
              <w:t>Inundation Extent (ha)</w:t>
            </w:r>
          </w:p>
        </w:tc>
        <w:tc>
          <w:tcPr>
            <w:tcW w:w="968" w:type="pct"/>
            <w:shd w:val="clear" w:color="auto" w:fill="D9D9D9"/>
            <w:noWrap/>
            <w:vAlign w:val="center"/>
            <w:hideMark/>
          </w:tcPr>
          <w:p w:rsidR="00176BB7" w:rsidRPr="00CC18AA" w:rsidRDefault="00176BB7" w:rsidP="00CC18AA">
            <w:pPr>
              <w:spacing w:before="60" w:after="60"/>
              <w:jc w:val="center"/>
              <w:rPr>
                <w:rFonts w:cs="Arial"/>
                <w:bCs/>
                <w:color w:val="000000"/>
                <w:szCs w:val="20"/>
                <w:lang w:val="en-US"/>
              </w:rPr>
            </w:pPr>
            <w:r w:rsidRPr="00CC18AA">
              <w:rPr>
                <w:rFonts w:cs="Arial"/>
                <w:bCs/>
                <w:color w:val="000000"/>
                <w:szCs w:val="20"/>
                <w:lang w:val="en-US"/>
              </w:rPr>
              <w:t>Volume (ML)</w:t>
            </w:r>
          </w:p>
        </w:tc>
      </w:tr>
      <w:tr w:rsidR="00CC18AA" w:rsidRPr="005D4453" w:rsidTr="00CC18AA">
        <w:trPr>
          <w:trHeight w:val="240"/>
          <w:jc w:val="center"/>
        </w:trPr>
        <w:tc>
          <w:tcPr>
            <w:tcW w:w="1447" w:type="pct"/>
            <w:vMerge w:val="restart"/>
            <w:shd w:val="clear" w:color="auto" w:fill="auto"/>
            <w:noWrap/>
            <w:vAlign w:val="center"/>
            <w:hideMark/>
          </w:tcPr>
          <w:p w:rsidR="00176BB7" w:rsidRPr="00CC18AA" w:rsidRDefault="00176BB7" w:rsidP="00CC18AA">
            <w:pPr>
              <w:spacing w:before="60" w:after="60"/>
              <w:jc w:val="center"/>
              <w:rPr>
                <w:rFonts w:cs="Arial"/>
                <w:bCs/>
                <w:color w:val="000000"/>
                <w:szCs w:val="20"/>
                <w:lang w:val="en-US"/>
              </w:rPr>
            </w:pPr>
            <w:r w:rsidRPr="00CC18AA">
              <w:rPr>
                <w:rFonts w:cs="Arial"/>
                <w:bCs/>
                <w:color w:val="000000"/>
                <w:szCs w:val="20"/>
                <w:lang w:val="en-US"/>
              </w:rPr>
              <w:t>lower Gwydir</w:t>
            </w:r>
          </w:p>
        </w:tc>
        <w:tc>
          <w:tcPr>
            <w:tcW w:w="951" w:type="pct"/>
            <w:shd w:val="clear" w:color="auto" w:fill="auto"/>
            <w:noWrap/>
            <w:vAlign w:val="center"/>
            <w:hideMark/>
          </w:tcPr>
          <w:p w:rsidR="00176BB7" w:rsidRPr="00CC18AA" w:rsidRDefault="00176BB7" w:rsidP="00CC18AA">
            <w:pPr>
              <w:spacing w:before="60" w:after="60"/>
              <w:jc w:val="center"/>
              <w:rPr>
                <w:rFonts w:cs="Arial"/>
                <w:color w:val="000000"/>
                <w:szCs w:val="20"/>
                <w:lang w:val="en-US"/>
              </w:rPr>
            </w:pPr>
            <w:r w:rsidRPr="00CC18AA">
              <w:rPr>
                <w:rFonts w:cs="Arial"/>
                <w:color w:val="000000"/>
                <w:szCs w:val="20"/>
                <w:lang w:val="en-US"/>
              </w:rPr>
              <w:t>21/08/2015</w:t>
            </w:r>
          </w:p>
        </w:tc>
        <w:tc>
          <w:tcPr>
            <w:tcW w:w="1634" w:type="pct"/>
            <w:shd w:val="clear" w:color="auto" w:fill="auto"/>
            <w:noWrap/>
            <w:vAlign w:val="center"/>
            <w:hideMark/>
          </w:tcPr>
          <w:p w:rsidR="00176BB7" w:rsidRPr="00CC18AA" w:rsidRDefault="00176BB7" w:rsidP="00CC18AA">
            <w:pPr>
              <w:spacing w:before="60" w:after="60"/>
              <w:jc w:val="center"/>
              <w:rPr>
                <w:rFonts w:cs="Arial"/>
                <w:color w:val="000000"/>
                <w:szCs w:val="20"/>
                <w:lang w:val="en-US"/>
              </w:rPr>
            </w:pPr>
            <w:r w:rsidRPr="00CC18AA">
              <w:rPr>
                <w:rFonts w:cs="Arial"/>
                <w:color w:val="000000"/>
                <w:szCs w:val="20"/>
                <w:lang w:val="en-US"/>
              </w:rPr>
              <w:t>149.19</w:t>
            </w:r>
          </w:p>
        </w:tc>
        <w:tc>
          <w:tcPr>
            <w:tcW w:w="968" w:type="pct"/>
            <w:shd w:val="clear" w:color="auto" w:fill="auto"/>
            <w:noWrap/>
            <w:vAlign w:val="center"/>
            <w:hideMark/>
          </w:tcPr>
          <w:p w:rsidR="00176BB7" w:rsidRPr="00CC18AA" w:rsidRDefault="00176BB7" w:rsidP="00CC18AA">
            <w:pPr>
              <w:spacing w:before="60" w:after="60"/>
              <w:jc w:val="center"/>
              <w:rPr>
                <w:rFonts w:cs="Arial"/>
                <w:color w:val="000000"/>
                <w:szCs w:val="20"/>
                <w:lang w:val="en-US"/>
              </w:rPr>
            </w:pPr>
            <w:r w:rsidRPr="00CC18AA">
              <w:rPr>
                <w:rFonts w:cs="Arial"/>
                <w:color w:val="000000"/>
                <w:szCs w:val="20"/>
                <w:lang w:val="en-US"/>
              </w:rPr>
              <w:t>140</w:t>
            </w:r>
          </w:p>
        </w:tc>
      </w:tr>
      <w:tr w:rsidR="00CC18AA" w:rsidRPr="005D4453" w:rsidTr="00CC18AA">
        <w:trPr>
          <w:trHeight w:val="240"/>
          <w:jc w:val="center"/>
        </w:trPr>
        <w:tc>
          <w:tcPr>
            <w:tcW w:w="1447" w:type="pct"/>
            <w:vMerge/>
            <w:shd w:val="clear" w:color="auto" w:fill="auto"/>
            <w:vAlign w:val="center"/>
            <w:hideMark/>
          </w:tcPr>
          <w:p w:rsidR="00176BB7" w:rsidRPr="00CC18AA" w:rsidRDefault="00176BB7" w:rsidP="00CC18AA">
            <w:pPr>
              <w:spacing w:before="60" w:after="60"/>
              <w:jc w:val="center"/>
              <w:rPr>
                <w:rFonts w:cs="Arial"/>
                <w:bCs/>
                <w:color w:val="000000"/>
                <w:szCs w:val="20"/>
                <w:lang w:val="en-US"/>
              </w:rPr>
            </w:pPr>
          </w:p>
        </w:tc>
        <w:tc>
          <w:tcPr>
            <w:tcW w:w="951" w:type="pct"/>
            <w:shd w:val="clear" w:color="auto" w:fill="auto"/>
            <w:noWrap/>
            <w:vAlign w:val="center"/>
            <w:hideMark/>
          </w:tcPr>
          <w:p w:rsidR="00176BB7" w:rsidRPr="00CC18AA" w:rsidRDefault="00176BB7" w:rsidP="00CC18AA">
            <w:pPr>
              <w:spacing w:before="60" w:after="60"/>
              <w:jc w:val="center"/>
              <w:rPr>
                <w:rFonts w:cs="Arial"/>
                <w:color w:val="000000"/>
                <w:szCs w:val="20"/>
                <w:lang w:val="en-US"/>
              </w:rPr>
            </w:pPr>
            <w:r w:rsidRPr="00CC18AA">
              <w:rPr>
                <w:rFonts w:cs="Arial"/>
                <w:color w:val="000000"/>
                <w:szCs w:val="20"/>
                <w:lang w:val="en-US"/>
              </w:rPr>
              <w:t>8/10/2015</w:t>
            </w:r>
          </w:p>
        </w:tc>
        <w:tc>
          <w:tcPr>
            <w:tcW w:w="1634" w:type="pct"/>
            <w:shd w:val="clear" w:color="auto" w:fill="auto"/>
            <w:noWrap/>
            <w:vAlign w:val="center"/>
            <w:hideMark/>
          </w:tcPr>
          <w:p w:rsidR="00176BB7" w:rsidRPr="00CC18AA" w:rsidRDefault="00176BB7" w:rsidP="00CC18AA">
            <w:pPr>
              <w:spacing w:before="60" w:after="60"/>
              <w:jc w:val="center"/>
              <w:rPr>
                <w:rFonts w:cs="Arial"/>
                <w:color w:val="000000"/>
                <w:szCs w:val="20"/>
                <w:lang w:val="en-US"/>
              </w:rPr>
            </w:pPr>
            <w:r w:rsidRPr="00CC18AA">
              <w:rPr>
                <w:rFonts w:cs="Arial"/>
                <w:color w:val="000000"/>
                <w:szCs w:val="20"/>
                <w:lang w:val="en-US"/>
              </w:rPr>
              <w:t>106.07</w:t>
            </w:r>
          </w:p>
        </w:tc>
        <w:tc>
          <w:tcPr>
            <w:tcW w:w="968" w:type="pct"/>
            <w:shd w:val="clear" w:color="auto" w:fill="auto"/>
            <w:noWrap/>
            <w:vAlign w:val="center"/>
            <w:hideMark/>
          </w:tcPr>
          <w:p w:rsidR="00176BB7" w:rsidRPr="00CC18AA" w:rsidRDefault="00176BB7" w:rsidP="00CC18AA">
            <w:pPr>
              <w:spacing w:before="60" w:after="60"/>
              <w:jc w:val="center"/>
              <w:rPr>
                <w:rFonts w:cs="Arial"/>
                <w:color w:val="000000"/>
                <w:szCs w:val="20"/>
                <w:lang w:val="en-US"/>
              </w:rPr>
            </w:pPr>
            <w:r w:rsidRPr="00CC18AA">
              <w:rPr>
                <w:rFonts w:cs="Arial"/>
                <w:color w:val="000000"/>
                <w:szCs w:val="20"/>
                <w:lang w:val="en-US"/>
              </w:rPr>
              <w:t>63</w:t>
            </w:r>
          </w:p>
        </w:tc>
      </w:tr>
      <w:tr w:rsidR="00CC18AA" w:rsidRPr="005D4453" w:rsidTr="00CC18AA">
        <w:trPr>
          <w:trHeight w:val="240"/>
          <w:jc w:val="center"/>
        </w:trPr>
        <w:tc>
          <w:tcPr>
            <w:tcW w:w="1447" w:type="pct"/>
            <w:vMerge/>
            <w:shd w:val="clear" w:color="auto" w:fill="auto"/>
            <w:vAlign w:val="center"/>
            <w:hideMark/>
          </w:tcPr>
          <w:p w:rsidR="00176BB7" w:rsidRPr="00CC18AA" w:rsidRDefault="00176BB7" w:rsidP="00CC18AA">
            <w:pPr>
              <w:spacing w:before="60" w:after="60"/>
              <w:jc w:val="center"/>
              <w:rPr>
                <w:rFonts w:cs="Arial"/>
                <w:bCs/>
                <w:color w:val="000000"/>
                <w:szCs w:val="20"/>
                <w:lang w:val="en-US"/>
              </w:rPr>
            </w:pPr>
          </w:p>
        </w:tc>
        <w:tc>
          <w:tcPr>
            <w:tcW w:w="951" w:type="pct"/>
            <w:shd w:val="clear" w:color="auto" w:fill="auto"/>
            <w:noWrap/>
            <w:vAlign w:val="center"/>
            <w:hideMark/>
          </w:tcPr>
          <w:p w:rsidR="00176BB7" w:rsidRPr="00CC18AA" w:rsidRDefault="00176BB7" w:rsidP="00CC18AA">
            <w:pPr>
              <w:spacing w:before="60" w:after="60"/>
              <w:jc w:val="center"/>
              <w:rPr>
                <w:rFonts w:cs="Arial"/>
                <w:color w:val="000000"/>
                <w:szCs w:val="20"/>
                <w:lang w:val="en-US"/>
              </w:rPr>
            </w:pPr>
            <w:r w:rsidRPr="00CC18AA">
              <w:rPr>
                <w:rFonts w:cs="Arial"/>
                <w:color w:val="000000"/>
                <w:szCs w:val="20"/>
                <w:lang w:val="en-US"/>
              </w:rPr>
              <w:t>24/11/2015</w:t>
            </w:r>
          </w:p>
        </w:tc>
        <w:tc>
          <w:tcPr>
            <w:tcW w:w="1634" w:type="pct"/>
            <w:shd w:val="clear" w:color="auto" w:fill="auto"/>
            <w:noWrap/>
            <w:vAlign w:val="center"/>
            <w:hideMark/>
          </w:tcPr>
          <w:p w:rsidR="00176BB7" w:rsidRPr="00CC18AA" w:rsidRDefault="00176BB7" w:rsidP="00CC18AA">
            <w:pPr>
              <w:spacing w:before="60" w:after="60"/>
              <w:jc w:val="center"/>
              <w:rPr>
                <w:rFonts w:cs="Arial"/>
                <w:color w:val="000000"/>
                <w:szCs w:val="20"/>
                <w:lang w:val="en-US"/>
              </w:rPr>
            </w:pPr>
            <w:r w:rsidRPr="00CC18AA">
              <w:rPr>
                <w:rFonts w:cs="Arial"/>
                <w:color w:val="000000"/>
                <w:szCs w:val="20"/>
                <w:lang w:val="en-US"/>
              </w:rPr>
              <w:t>161.81</w:t>
            </w:r>
          </w:p>
        </w:tc>
        <w:tc>
          <w:tcPr>
            <w:tcW w:w="968" w:type="pct"/>
            <w:shd w:val="clear" w:color="auto" w:fill="auto"/>
            <w:noWrap/>
            <w:vAlign w:val="center"/>
            <w:hideMark/>
          </w:tcPr>
          <w:p w:rsidR="00176BB7" w:rsidRPr="00CC18AA" w:rsidRDefault="00176BB7" w:rsidP="00CC18AA">
            <w:pPr>
              <w:spacing w:before="60" w:after="60"/>
              <w:jc w:val="center"/>
              <w:rPr>
                <w:rFonts w:cs="Arial"/>
                <w:color w:val="000000"/>
                <w:szCs w:val="20"/>
                <w:lang w:val="en-US"/>
              </w:rPr>
            </w:pPr>
            <w:r w:rsidRPr="00CC18AA">
              <w:rPr>
                <w:rFonts w:cs="Arial"/>
                <w:color w:val="000000"/>
                <w:szCs w:val="20"/>
                <w:lang w:val="en-US"/>
              </w:rPr>
              <w:t>149</w:t>
            </w:r>
          </w:p>
        </w:tc>
      </w:tr>
      <w:tr w:rsidR="00CC18AA" w:rsidRPr="005D4453" w:rsidTr="00CC18AA">
        <w:trPr>
          <w:trHeight w:val="240"/>
          <w:jc w:val="center"/>
        </w:trPr>
        <w:tc>
          <w:tcPr>
            <w:tcW w:w="1447" w:type="pct"/>
            <w:vMerge/>
            <w:shd w:val="clear" w:color="auto" w:fill="auto"/>
            <w:vAlign w:val="center"/>
            <w:hideMark/>
          </w:tcPr>
          <w:p w:rsidR="00176BB7" w:rsidRPr="00CC18AA" w:rsidRDefault="00176BB7" w:rsidP="00CC18AA">
            <w:pPr>
              <w:spacing w:before="60" w:after="60"/>
              <w:jc w:val="center"/>
              <w:rPr>
                <w:rFonts w:cs="Arial"/>
                <w:bCs/>
                <w:color w:val="000000"/>
                <w:szCs w:val="20"/>
                <w:lang w:val="en-US"/>
              </w:rPr>
            </w:pPr>
          </w:p>
        </w:tc>
        <w:tc>
          <w:tcPr>
            <w:tcW w:w="951" w:type="pct"/>
            <w:shd w:val="clear" w:color="auto" w:fill="auto"/>
            <w:noWrap/>
            <w:vAlign w:val="center"/>
            <w:hideMark/>
          </w:tcPr>
          <w:p w:rsidR="00176BB7" w:rsidRPr="00CC18AA" w:rsidRDefault="00176BB7" w:rsidP="00CC18AA">
            <w:pPr>
              <w:spacing w:before="60" w:after="60"/>
              <w:jc w:val="center"/>
              <w:rPr>
                <w:rFonts w:cs="Arial"/>
                <w:color w:val="000000"/>
                <w:szCs w:val="20"/>
                <w:lang w:val="en-US"/>
              </w:rPr>
            </w:pPr>
            <w:r w:rsidRPr="00CC18AA">
              <w:rPr>
                <w:rFonts w:cs="Arial"/>
                <w:color w:val="000000"/>
                <w:szCs w:val="20"/>
                <w:lang w:val="en-US"/>
              </w:rPr>
              <w:t>13/02/2016</w:t>
            </w:r>
          </w:p>
        </w:tc>
        <w:tc>
          <w:tcPr>
            <w:tcW w:w="1634" w:type="pct"/>
            <w:shd w:val="clear" w:color="auto" w:fill="auto"/>
            <w:noWrap/>
            <w:vAlign w:val="center"/>
            <w:hideMark/>
          </w:tcPr>
          <w:p w:rsidR="00176BB7" w:rsidRPr="00CC18AA" w:rsidRDefault="00176BB7" w:rsidP="00CC18AA">
            <w:pPr>
              <w:spacing w:before="60" w:after="60"/>
              <w:jc w:val="center"/>
              <w:rPr>
                <w:rFonts w:cs="Arial"/>
                <w:color w:val="000000"/>
                <w:szCs w:val="20"/>
                <w:lang w:val="en-US"/>
              </w:rPr>
            </w:pPr>
            <w:r w:rsidRPr="00CC18AA">
              <w:rPr>
                <w:rFonts w:cs="Arial"/>
                <w:color w:val="000000"/>
                <w:szCs w:val="20"/>
                <w:lang w:val="en-US"/>
              </w:rPr>
              <w:t>83.62</w:t>
            </w:r>
          </w:p>
        </w:tc>
        <w:tc>
          <w:tcPr>
            <w:tcW w:w="968" w:type="pct"/>
            <w:shd w:val="clear" w:color="auto" w:fill="auto"/>
            <w:noWrap/>
            <w:vAlign w:val="center"/>
            <w:hideMark/>
          </w:tcPr>
          <w:p w:rsidR="00176BB7" w:rsidRPr="00CC18AA" w:rsidRDefault="00176BB7" w:rsidP="00CC18AA">
            <w:pPr>
              <w:spacing w:before="60" w:after="60"/>
              <w:jc w:val="center"/>
              <w:rPr>
                <w:rFonts w:cs="Arial"/>
                <w:color w:val="000000"/>
                <w:szCs w:val="20"/>
                <w:lang w:val="en-US"/>
              </w:rPr>
            </w:pPr>
            <w:r w:rsidRPr="00CC18AA">
              <w:rPr>
                <w:rFonts w:cs="Arial"/>
                <w:color w:val="000000"/>
                <w:szCs w:val="20"/>
                <w:lang w:val="en-US"/>
              </w:rPr>
              <w:t>41</w:t>
            </w:r>
          </w:p>
        </w:tc>
      </w:tr>
      <w:tr w:rsidR="00CC18AA" w:rsidRPr="005D4453" w:rsidTr="00CC18AA">
        <w:trPr>
          <w:trHeight w:val="240"/>
          <w:jc w:val="center"/>
        </w:trPr>
        <w:tc>
          <w:tcPr>
            <w:tcW w:w="1447" w:type="pct"/>
            <w:vMerge/>
            <w:shd w:val="clear" w:color="auto" w:fill="auto"/>
            <w:vAlign w:val="center"/>
            <w:hideMark/>
          </w:tcPr>
          <w:p w:rsidR="00176BB7" w:rsidRPr="00CC18AA" w:rsidRDefault="00176BB7" w:rsidP="00CC18AA">
            <w:pPr>
              <w:spacing w:before="60" w:after="60"/>
              <w:jc w:val="center"/>
              <w:rPr>
                <w:rFonts w:cs="Arial"/>
                <w:bCs/>
                <w:color w:val="000000"/>
                <w:szCs w:val="20"/>
                <w:lang w:val="en-US"/>
              </w:rPr>
            </w:pPr>
          </w:p>
        </w:tc>
        <w:tc>
          <w:tcPr>
            <w:tcW w:w="951" w:type="pct"/>
            <w:shd w:val="clear" w:color="auto" w:fill="auto"/>
            <w:noWrap/>
            <w:vAlign w:val="center"/>
            <w:hideMark/>
          </w:tcPr>
          <w:p w:rsidR="00176BB7" w:rsidRPr="00CC18AA" w:rsidRDefault="00176BB7" w:rsidP="00CC18AA">
            <w:pPr>
              <w:spacing w:before="60" w:after="60"/>
              <w:jc w:val="center"/>
              <w:rPr>
                <w:rFonts w:cs="Arial"/>
                <w:color w:val="000000"/>
                <w:szCs w:val="20"/>
                <w:lang w:val="en-US"/>
              </w:rPr>
            </w:pPr>
            <w:r w:rsidRPr="00CC18AA">
              <w:rPr>
                <w:rFonts w:cs="Arial"/>
                <w:color w:val="000000"/>
                <w:szCs w:val="20"/>
                <w:lang w:val="en-US"/>
              </w:rPr>
              <w:t>1/04/2016</w:t>
            </w:r>
          </w:p>
        </w:tc>
        <w:tc>
          <w:tcPr>
            <w:tcW w:w="1634" w:type="pct"/>
            <w:shd w:val="clear" w:color="auto" w:fill="auto"/>
            <w:noWrap/>
            <w:vAlign w:val="center"/>
            <w:hideMark/>
          </w:tcPr>
          <w:p w:rsidR="00176BB7" w:rsidRPr="00CC18AA" w:rsidRDefault="00176BB7" w:rsidP="00CC18AA">
            <w:pPr>
              <w:spacing w:before="60" w:after="60"/>
              <w:jc w:val="center"/>
              <w:rPr>
                <w:rFonts w:cs="Arial"/>
                <w:color w:val="000000"/>
                <w:szCs w:val="20"/>
                <w:lang w:val="en-US"/>
              </w:rPr>
            </w:pPr>
            <w:r w:rsidRPr="00CC18AA">
              <w:rPr>
                <w:rFonts w:cs="Arial"/>
                <w:color w:val="000000"/>
                <w:szCs w:val="20"/>
                <w:lang w:val="en-US"/>
              </w:rPr>
              <w:t>47.51</w:t>
            </w:r>
          </w:p>
        </w:tc>
        <w:tc>
          <w:tcPr>
            <w:tcW w:w="968" w:type="pct"/>
            <w:shd w:val="clear" w:color="auto" w:fill="auto"/>
            <w:noWrap/>
            <w:vAlign w:val="center"/>
            <w:hideMark/>
          </w:tcPr>
          <w:p w:rsidR="00176BB7" w:rsidRPr="00CC18AA" w:rsidRDefault="00176BB7" w:rsidP="00CC18AA">
            <w:pPr>
              <w:spacing w:before="60" w:after="60"/>
              <w:jc w:val="center"/>
              <w:rPr>
                <w:rFonts w:cs="Arial"/>
                <w:color w:val="000000"/>
                <w:szCs w:val="20"/>
                <w:lang w:val="en-US"/>
              </w:rPr>
            </w:pPr>
            <w:r w:rsidRPr="00CC18AA">
              <w:rPr>
                <w:rFonts w:cs="Arial"/>
                <w:color w:val="000000"/>
                <w:szCs w:val="20"/>
                <w:lang w:val="en-US"/>
              </w:rPr>
              <w:t>2</w:t>
            </w:r>
          </w:p>
        </w:tc>
      </w:tr>
      <w:tr w:rsidR="00CC18AA" w:rsidRPr="005D4453" w:rsidTr="00CC18AA">
        <w:trPr>
          <w:trHeight w:val="240"/>
          <w:jc w:val="center"/>
        </w:trPr>
        <w:tc>
          <w:tcPr>
            <w:tcW w:w="1447" w:type="pct"/>
            <w:vMerge/>
            <w:shd w:val="clear" w:color="auto" w:fill="auto"/>
            <w:vAlign w:val="center"/>
            <w:hideMark/>
          </w:tcPr>
          <w:p w:rsidR="00176BB7" w:rsidRPr="00CC18AA" w:rsidRDefault="00176BB7" w:rsidP="00CC18AA">
            <w:pPr>
              <w:spacing w:before="60" w:after="60"/>
              <w:jc w:val="center"/>
              <w:rPr>
                <w:rFonts w:cs="Arial"/>
                <w:bCs/>
                <w:color w:val="000000"/>
                <w:szCs w:val="20"/>
                <w:lang w:val="en-US"/>
              </w:rPr>
            </w:pPr>
          </w:p>
        </w:tc>
        <w:tc>
          <w:tcPr>
            <w:tcW w:w="951" w:type="pct"/>
            <w:shd w:val="clear" w:color="auto" w:fill="auto"/>
            <w:noWrap/>
            <w:vAlign w:val="center"/>
            <w:hideMark/>
          </w:tcPr>
          <w:p w:rsidR="00176BB7" w:rsidRPr="00CC18AA" w:rsidRDefault="00176BB7" w:rsidP="00CC18AA">
            <w:pPr>
              <w:spacing w:before="60" w:after="60"/>
              <w:jc w:val="center"/>
              <w:rPr>
                <w:rFonts w:cs="Arial"/>
                <w:color w:val="000000"/>
                <w:szCs w:val="20"/>
                <w:lang w:val="en-US"/>
              </w:rPr>
            </w:pPr>
            <w:r w:rsidRPr="00CC18AA">
              <w:rPr>
                <w:rFonts w:cs="Arial"/>
                <w:color w:val="000000"/>
                <w:szCs w:val="20"/>
                <w:lang w:val="en-US"/>
              </w:rPr>
              <w:t>19/05/2016</w:t>
            </w:r>
          </w:p>
        </w:tc>
        <w:tc>
          <w:tcPr>
            <w:tcW w:w="1634" w:type="pct"/>
            <w:shd w:val="clear" w:color="auto" w:fill="auto"/>
            <w:noWrap/>
            <w:vAlign w:val="center"/>
            <w:hideMark/>
          </w:tcPr>
          <w:p w:rsidR="00176BB7" w:rsidRPr="00CC18AA" w:rsidRDefault="00176BB7" w:rsidP="00CC18AA">
            <w:pPr>
              <w:spacing w:before="60" w:after="60"/>
              <w:jc w:val="center"/>
              <w:rPr>
                <w:rFonts w:cs="Arial"/>
                <w:color w:val="000000"/>
                <w:szCs w:val="20"/>
                <w:lang w:val="en-US"/>
              </w:rPr>
            </w:pPr>
            <w:r w:rsidRPr="00CC18AA">
              <w:rPr>
                <w:rFonts w:cs="Arial"/>
                <w:color w:val="000000"/>
                <w:szCs w:val="20"/>
                <w:lang w:val="en-US"/>
              </w:rPr>
              <w:t>66.51</w:t>
            </w:r>
          </w:p>
        </w:tc>
        <w:tc>
          <w:tcPr>
            <w:tcW w:w="968" w:type="pct"/>
            <w:shd w:val="clear" w:color="auto" w:fill="auto"/>
            <w:noWrap/>
            <w:vAlign w:val="center"/>
            <w:hideMark/>
          </w:tcPr>
          <w:p w:rsidR="00176BB7" w:rsidRPr="00CC18AA" w:rsidRDefault="00176BB7" w:rsidP="00CC18AA">
            <w:pPr>
              <w:spacing w:before="60" w:after="60"/>
              <w:jc w:val="center"/>
              <w:rPr>
                <w:rFonts w:cs="Arial"/>
                <w:color w:val="000000"/>
                <w:szCs w:val="20"/>
                <w:lang w:val="en-US"/>
              </w:rPr>
            </w:pPr>
            <w:r w:rsidRPr="00CC18AA">
              <w:rPr>
                <w:rFonts w:cs="Arial"/>
                <w:color w:val="000000"/>
                <w:szCs w:val="20"/>
                <w:lang w:val="en-US"/>
              </w:rPr>
              <w:t>33</w:t>
            </w:r>
          </w:p>
        </w:tc>
      </w:tr>
      <w:tr w:rsidR="00CC18AA" w:rsidRPr="005D4453" w:rsidTr="00CC18AA">
        <w:trPr>
          <w:trHeight w:val="240"/>
          <w:jc w:val="center"/>
        </w:trPr>
        <w:tc>
          <w:tcPr>
            <w:tcW w:w="1447" w:type="pct"/>
            <w:vMerge w:val="restart"/>
            <w:shd w:val="clear" w:color="auto" w:fill="auto"/>
            <w:noWrap/>
            <w:vAlign w:val="center"/>
            <w:hideMark/>
          </w:tcPr>
          <w:p w:rsidR="00176BB7" w:rsidRPr="00CC18AA" w:rsidRDefault="00176BB7" w:rsidP="00CC18AA">
            <w:pPr>
              <w:spacing w:before="60" w:after="60"/>
              <w:jc w:val="center"/>
              <w:rPr>
                <w:rFonts w:cs="Arial"/>
                <w:bCs/>
                <w:color w:val="000000"/>
                <w:szCs w:val="20"/>
                <w:lang w:val="en-US"/>
              </w:rPr>
            </w:pPr>
            <w:r w:rsidRPr="00CC18AA">
              <w:rPr>
                <w:rFonts w:cs="Arial"/>
                <w:bCs/>
                <w:color w:val="000000"/>
                <w:szCs w:val="20"/>
                <w:lang w:val="en-US"/>
              </w:rPr>
              <w:t>Gingham</w:t>
            </w:r>
          </w:p>
        </w:tc>
        <w:tc>
          <w:tcPr>
            <w:tcW w:w="951" w:type="pct"/>
            <w:shd w:val="clear" w:color="auto" w:fill="auto"/>
            <w:noWrap/>
            <w:vAlign w:val="center"/>
            <w:hideMark/>
          </w:tcPr>
          <w:p w:rsidR="00176BB7" w:rsidRPr="00CC18AA" w:rsidRDefault="00176BB7" w:rsidP="00CC18AA">
            <w:pPr>
              <w:spacing w:before="60" w:after="60"/>
              <w:jc w:val="center"/>
              <w:rPr>
                <w:rFonts w:cs="Arial"/>
                <w:color w:val="000000"/>
                <w:szCs w:val="20"/>
                <w:lang w:val="en-US"/>
              </w:rPr>
            </w:pPr>
            <w:r w:rsidRPr="00CC18AA">
              <w:rPr>
                <w:rFonts w:cs="Arial"/>
                <w:color w:val="000000"/>
                <w:szCs w:val="20"/>
                <w:lang w:val="en-US"/>
              </w:rPr>
              <w:t>21/08/2015</w:t>
            </w:r>
          </w:p>
        </w:tc>
        <w:tc>
          <w:tcPr>
            <w:tcW w:w="1634" w:type="pct"/>
            <w:shd w:val="clear" w:color="auto" w:fill="auto"/>
            <w:noWrap/>
            <w:vAlign w:val="center"/>
            <w:hideMark/>
          </w:tcPr>
          <w:p w:rsidR="00176BB7" w:rsidRPr="00CC18AA" w:rsidRDefault="00176BB7" w:rsidP="00CC18AA">
            <w:pPr>
              <w:spacing w:before="60" w:after="60"/>
              <w:jc w:val="center"/>
              <w:rPr>
                <w:rFonts w:cs="Arial"/>
                <w:color w:val="000000"/>
                <w:szCs w:val="20"/>
                <w:lang w:val="en-US"/>
              </w:rPr>
            </w:pPr>
            <w:r w:rsidRPr="00CC18AA">
              <w:rPr>
                <w:rFonts w:cs="Arial"/>
                <w:color w:val="000000"/>
                <w:szCs w:val="20"/>
                <w:lang w:val="en-US"/>
              </w:rPr>
              <w:t>575.38</w:t>
            </w:r>
          </w:p>
        </w:tc>
        <w:tc>
          <w:tcPr>
            <w:tcW w:w="968" w:type="pct"/>
            <w:shd w:val="clear" w:color="auto" w:fill="auto"/>
            <w:noWrap/>
            <w:vAlign w:val="center"/>
            <w:hideMark/>
          </w:tcPr>
          <w:p w:rsidR="00176BB7" w:rsidRPr="00CC18AA" w:rsidRDefault="00176BB7" w:rsidP="00CC18AA">
            <w:pPr>
              <w:spacing w:before="60" w:after="60"/>
              <w:jc w:val="center"/>
              <w:rPr>
                <w:rFonts w:cs="Arial"/>
                <w:color w:val="000000"/>
                <w:szCs w:val="20"/>
                <w:lang w:val="en-US"/>
              </w:rPr>
            </w:pPr>
            <w:r w:rsidRPr="00CC18AA">
              <w:rPr>
                <w:rFonts w:cs="Arial"/>
                <w:color w:val="000000"/>
                <w:szCs w:val="20"/>
                <w:lang w:val="en-US"/>
              </w:rPr>
              <w:t>354</w:t>
            </w:r>
          </w:p>
        </w:tc>
      </w:tr>
      <w:tr w:rsidR="00CC18AA" w:rsidRPr="005D4453" w:rsidTr="00CC18AA">
        <w:trPr>
          <w:trHeight w:val="240"/>
          <w:jc w:val="center"/>
        </w:trPr>
        <w:tc>
          <w:tcPr>
            <w:tcW w:w="1447" w:type="pct"/>
            <w:vMerge/>
            <w:shd w:val="clear" w:color="auto" w:fill="auto"/>
            <w:vAlign w:val="center"/>
            <w:hideMark/>
          </w:tcPr>
          <w:p w:rsidR="00176BB7" w:rsidRPr="00CC18AA" w:rsidRDefault="00176BB7" w:rsidP="00CC18AA">
            <w:pPr>
              <w:spacing w:before="60" w:after="60"/>
              <w:jc w:val="center"/>
              <w:rPr>
                <w:rFonts w:cs="Arial"/>
                <w:bCs/>
                <w:color w:val="000000"/>
                <w:szCs w:val="20"/>
                <w:lang w:val="en-US"/>
              </w:rPr>
            </w:pPr>
          </w:p>
        </w:tc>
        <w:tc>
          <w:tcPr>
            <w:tcW w:w="951" w:type="pct"/>
            <w:shd w:val="clear" w:color="auto" w:fill="auto"/>
            <w:noWrap/>
            <w:vAlign w:val="center"/>
            <w:hideMark/>
          </w:tcPr>
          <w:p w:rsidR="00176BB7" w:rsidRPr="00CC18AA" w:rsidRDefault="00176BB7" w:rsidP="00CC18AA">
            <w:pPr>
              <w:spacing w:before="60" w:after="60"/>
              <w:jc w:val="center"/>
              <w:rPr>
                <w:rFonts w:cs="Arial"/>
                <w:color w:val="000000"/>
                <w:szCs w:val="20"/>
                <w:lang w:val="en-US"/>
              </w:rPr>
            </w:pPr>
            <w:r w:rsidRPr="00CC18AA">
              <w:rPr>
                <w:rFonts w:cs="Arial"/>
                <w:color w:val="000000"/>
                <w:szCs w:val="20"/>
                <w:lang w:val="en-US"/>
              </w:rPr>
              <w:t>8/10/2015</w:t>
            </w:r>
          </w:p>
        </w:tc>
        <w:tc>
          <w:tcPr>
            <w:tcW w:w="1634" w:type="pct"/>
            <w:shd w:val="clear" w:color="auto" w:fill="auto"/>
            <w:noWrap/>
            <w:vAlign w:val="center"/>
            <w:hideMark/>
          </w:tcPr>
          <w:p w:rsidR="00176BB7" w:rsidRPr="00CC18AA" w:rsidRDefault="00176BB7" w:rsidP="00CC18AA">
            <w:pPr>
              <w:spacing w:before="60" w:after="60"/>
              <w:jc w:val="center"/>
              <w:rPr>
                <w:rFonts w:cs="Arial"/>
                <w:color w:val="000000"/>
                <w:szCs w:val="20"/>
                <w:lang w:val="en-US"/>
              </w:rPr>
            </w:pPr>
            <w:r w:rsidRPr="00CC18AA">
              <w:rPr>
                <w:rFonts w:cs="Arial"/>
                <w:color w:val="000000"/>
                <w:szCs w:val="20"/>
                <w:lang w:val="en-US"/>
              </w:rPr>
              <w:t>592.38</w:t>
            </w:r>
          </w:p>
        </w:tc>
        <w:tc>
          <w:tcPr>
            <w:tcW w:w="968" w:type="pct"/>
            <w:shd w:val="clear" w:color="auto" w:fill="auto"/>
            <w:noWrap/>
            <w:vAlign w:val="center"/>
            <w:hideMark/>
          </w:tcPr>
          <w:p w:rsidR="00176BB7" w:rsidRPr="00CC18AA" w:rsidRDefault="00176BB7" w:rsidP="00CC18AA">
            <w:pPr>
              <w:spacing w:before="60" w:after="60"/>
              <w:jc w:val="center"/>
              <w:rPr>
                <w:rFonts w:cs="Arial"/>
                <w:color w:val="000000"/>
                <w:szCs w:val="20"/>
                <w:lang w:val="en-US"/>
              </w:rPr>
            </w:pPr>
            <w:r w:rsidRPr="00CC18AA">
              <w:rPr>
                <w:rFonts w:cs="Arial"/>
                <w:color w:val="000000"/>
                <w:szCs w:val="20"/>
                <w:lang w:val="en-US"/>
              </w:rPr>
              <w:t>418</w:t>
            </w:r>
          </w:p>
        </w:tc>
      </w:tr>
      <w:tr w:rsidR="00CC18AA" w:rsidRPr="005D4453" w:rsidTr="00CC18AA">
        <w:trPr>
          <w:trHeight w:val="240"/>
          <w:jc w:val="center"/>
        </w:trPr>
        <w:tc>
          <w:tcPr>
            <w:tcW w:w="1447" w:type="pct"/>
            <w:vMerge/>
            <w:shd w:val="clear" w:color="auto" w:fill="auto"/>
            <w:vAlign w:val="center"/>
            <w:hideMark/>
          </w:tcPr>
          <w:p w:rsidR="00176BB7" w:rsidRPr="00CC18AA" w:rsidRDefault="00176BB7" w:rsidP="00CC18AA">
            <w:pPr>
              <w:spacing w:before="60" w:after="60"/>
              <w:jc w:val="center"/>
              <w:rPr>
                <w:rFonts w:cs="Arial"/>
                <w:bCs/>
                <w:color w:val="000000"/>
                <w:szCs w:val="20"/>
                <w:lang w:val="en-US"/>
              </w:rPr>
            </w:pPr>
          </w:p>
        </w:tc>
        <w:tc>
          <w:tcPr>
            <w:tcW w:w="951" w:type="pct"/>
            <w:shd w:val="clear" w:color="auto" w:fill="auto"/>
            <w:noWrap/>
            <w:vAlign w:val="center"/>
            <w:hideMark/>
          </w:tcPr>
          <w:p w:rsidR="00176BB7" w:rsidRPr="00CC18AA" w:rsidRDefault="00176BB7" w:rsidP="00CC18AA">
            <w:pPr>
              <w:spacing w:before="60" w:after="60"/>
              <w:jc w:val="center"/>
              <w:rPr>
                <w:rFonts w:cs="Arial"/>
                <w:color w:val="000000"/>
                <w:szCs w:val="20"/>
                <w:lang w:val="en-US"/>
              </w:rPr>
            </w:pPr>
            <w:r w:rsidRPr="00CC18AA">
              <w:rPr>
                <w:rFonts w:cs="Arial"/>
                <w:color w:val="000000"/>
                <w:szCs w:val="20"/>
                <w:lang w:val="en-US"/>
              </w:rPr>
              <w:t>24/11/2015</w:t>
            </w:r>
          </w:p>
        </w:tc>
        <w:tc>
          <w:tcPr>
            <w:tcW w:w="1634" w:type="pct"/>
            <w:shd w:val="clear" w:color="auto" w:fill="auto"/>
            <w:noWrap/>
            <w:vAlign w:val="center"/>
            <w:hideMark/>
          </w:tcPr>
          <w:p w:rsidR="00176BB7" w:rsidRPr="00CC18AA" w:rsidRDefault="00176BB7" w:rsidP="00CC18AA">
            <w:pPr>
              <w:spacing w:before="60" w:after="60"/>
              <w:jc w:val="center"/>
              <w:rPr>
                <w:rFonts w:cs="Arial"/>
                <w:color w:val="000000"/>
                <w:szCs w:val="20"/>
                <w:lang w:val="en-US"/>
              </w:rPr>
            </w:pPr>
            <w:r w:rsidRPr="00CC18AA">
              <w:rPr>
                <w:rFonts w:cs="Arial"/>
                <w:color w:val="000000"/>
                <w:szCs w:val="20"/>
                <w:lang w:val="en-US"/>
              </w:rPr>
              <w:t>247.27</w:t>
            </w:r>
          </w:p>
        </w:tc>
        <w:tc>
          <w:tcPr>
            <w:tcW w:w="968" w:type="pct"/>
            <w:shd w:val="clear" w:color="auto" w:fill="auto"/>
            <w:noWrap/>
            <w:vAlign w:val="center"/>
            <w:hideMark/>
          </w:tcPr>
          <w:p w:rsidR="00176BB7" w:rsidRPr="00CC18AA" w:rsidRDefault="00176BB7" w:rsidP="00CC18AA">
            <w:pPr>
              <w:spacing w:before="60" w:after="60"/>
              <w:jc w:val="center"/>
              <w:rPr>
                <w:rFonts w:cs="Arial"/>
                <w:color w:val="000000"/>
                <w:szCs w:val="20"/>
                <w:lang w:val="en-US"/>
              </w:rPr>
            </w:pPr>
            <w:r w:rsidRPr="00CC18AA">
              <w:rPr>
                <w:rFonts w:cs="Arial"/>
                <w:color w:val="000000"/>
                <w:szCs w:val="20"/>
                <w:lang w:val="en-US"/>
              </w:rPr>
              <w:t>344</w:t>
            </w:r>
          </w:p>
        </w:tc>
      </w:tr>
      <w:tr w:rsidR="00CC18AA" w:rsidRPr="005D4453" w:rsidTr="00CC18AA">
        <w:trPr>
          <w:trHeight w:val="240"/>
          <w:jc w:val="center"/>
        </w:trPr>
        <w:tc>
          <w:tcPr>
            <w:tcW w:w="1447" w:type="pct"/>
            <w:vMerge/>
            <w:shd w:val="clear" w:color="auto" w:fill="auto"/>
            <w:vAlign w:val="center"/>
            <w:hideMark/>
          </w:tcPr>
          <w:p w:rsidR="00176BB7" w:rsidRPr="00CC18AA" w:rsidRDefault="00176BB7" w:rsidP="00CC18AA">
            <w:pPr>
              <w:spacing w:before="60" w:after="60"/>
              <w:jc w:val="center"/>
              <w:rPr>
                <w:rFonts w:cs="Arial"/>
                <w:bCs/>
                <w:color w:val="000000"/>
                <w:szCs w:val="20"/>
                <w:lang w:val="en-US"/>
              </w:rPr>
            </w:pPr>
          </w:p>
        </w:tc>
        <w:tc>
          <w:tcPr>
            <w:tcW w:w="951" w:type="pct"/>
            <w:shd w:val="clear" w:color="auto" w:fill="auto"/>
            <w:noWrap/>
            <w:vAlign w:val="center"/>
            <w:hideMark/>
          </w:tcPr>
          <w:p w:rsidR="00176BB7" w:rsidRPr="00CC18AA" w:rsidRDefault="00176BB7" w:rsidP="00CC18AA">
            <w:pPr>
              <w:spacing w:before="60" w:after="60"/>
              <w:jc w:val="center"/>
              <w:rPr>
                <w:rFonts w:cs="Arial"/>
                <w:color w:val="000000"/>
                <w:szCs w:val="20"/>
                <w:lang w:val="en-US"/>
              </w:rPr>
            </w:pPr>
            <w:r w:rsidRPr="00CC18AA">
              <w:rPr>
                <w:rFonts w:cs="Arial"/>
                <w:color w:val="000000"/>
                <w:szCs w:val="20"/>
                <w:lang w:val="en-US"/>
              </w:rPr>
              <w:t>13/02/2016</w:t>
            </w:r>
          </w:p>
        </w:tc>
        <w:tc>
          <w:tcPr>
            <w:tcW w:w="1634" w:type="pct"/>
            <w:shd w:val="clear" w:color="auto" w:fill="auto"/>
            <w:noWrap/>
            <w:vAlign w:val="center"/>
            <w:hideMark/>
          </w:tcPr>
          <w:p w:rsidR="00176BB7" w:rsidRPr="00CC18AA" w:rsidRDefault="00176BB7" w:rsidP="00CC18AA">
            <w:pPr>
              <w:spacing w:before="60" w:after="60"/>
              <w:jc w:val="center"/>
              <w:rPr>
                <w:rFonts w:cs="Arial"/>
                <w:color w:val="000000"/>
                <w:szCs w:val="20"/>
                <w:lang w:val="en-US"/>
              </w:rPr>
            </w:pPr>
            <w:r w:rsidRPr="00CC18AA">
              <w:rPr>
                <w:rFonts w:cs="Arial"/>
                <w:color w:val="000000"/>
                <w:szCs w:val="20"/>
                <w:lang w:val="en-US"/>
              </w:rPr>
              <w:t>188.38</w:t>
            </w:r>
          </w:p>
        </w:tc>
        <w:tc>
          <w:tcPr>
            <w:tcW w:w="968" w:type="pct"/>
            <w:shd w:val="clear" w:color="auto" w:fill="auto"/>
            <w:noWrap/>
            <w:vAlign w:val="center"/>
            <w:hideMark/>
          </w:tcPr>
          <w:p w:rsidR="00176BB7" w:rsidRPr="00CC18AA" w:rsidRDefault="00176BB7" w:rsidP="00CC18AA">
            <w:pPr>
              <w:spacing w:before="60" w:after="60"/>
              <w:jc w:val="center"/>
              <w:rPr>
                <w:rFonts w:cs="Arial"/>
                <w:color w:val="000000"/>
                <w:szCs w:val="20"/>
                <w:lang w:val="en-US"/>
              </w:rPr>
            </w:pPr>
            <w:r w:rsidRPr="00CC18AA">
              <w:rPr>
                <w:rFonts w:cs="Arial"/>
                <w:color w:val="000000"/>
                <w:szCs w:val="20"/>
                <w:lang w:val="en-US"/>
              </w:rPr>
              <w:t>260</w:t>
            </w:r>
          </w:p>
        </w:tc>
      </w:tr>
      <w:tr w:rsidR="00CC18AA" w:rsidRPr="005D4453" w:rsidTr="00CC18AA">
        <w:trPr>
          <w:trHeight w:val="240"/>
          <w:jc w:val="center"/>
        </w:trPr>
        <w:tc>
          <w:tcPr>
            <w:tcW w:w="1447" w:type="pct"/>
            <w:vMerge/>
            <w:shd w:val="clear" w:color="auto" w:fill="auto"/>
            <w:vAlign w:val="center"/>
            <w:hideMark/>
          </w:tcPr>
          <w:p w:rsidR="00176BB7" w:rsidRPr="00CC18AA" w:rsidRDefault="00176BB7" w:rsidP="00CC18AA">
            <w:pPr>
              <w:spacing w:before="60" w:after="60"/>
              <w:jc w:val="center"/>
              <w:rPr>
                <w:rFonts w:cs="Arial"/>
                <w:bCs/>
                <w:color w:val="000000"/>
                <w:szCs w:val="20"/>
                <w:lang w:val="en-US"/>
              </w:rPr>
            </w:pPr>
          </w:p>
        </w:tc>
        <w:tc>
          <w:tcPr>
            <w:tcW w:w="951" w:type="pct"/>
            <w:shd w:val="clear" w:color="auto" w:fill="auto"/>
            <w:noWrap/>
            <w:vAlign w:val="center"/>
            <w:hideMark/>
          </w:tcPr>
          <w:p w:rsidR="00176BB7" w:rsidRPr="00CC18AA" w:rsidRDefault="00176BB7" w:rsidP="00CC18AA">
            <w:pPr>
              <w:spacing w:before="60" w:after="60"/>
              <w:jc w:val="center"/>
              <w:rPr>
                <w:rFonts w:cs="Arial"/>
                <w:color w:val="000000"/>
                <w:szCs w:val="20"/>
                <w:lang w:val="en-US"/>
              </w:rPr>
            </w:pPr>
            <w:r w:rsidRPr="00CC18AA">
              <w:rPr>
                <w:rFonts w:cs="Arial"/>
                <w:color w:val="000000"/>
                <w:szCs w:val="20"/>
                <w:lang w:val="en-US"/>
              </w:rPr>
              <w:t>1/04/2016</w:t>
            </w:r>
          </w:p>
        </w:tc>
        <w:tc>
          <w:tcPr>
            <w:tcW w:w="1634" w:type="pct"/>
            <w:shd w:val="clear" w:color="auto" w:fill="auto"/>
            <w:noWrap/>
            <w:vAlign w:val="center"/>
            <w:hideMark/>
          </w:tcPr>
          <w:p w:rsidR="00176BB7" w:rsidRPr="00CC18AA" w:rsidRDefault="00176BB7" w:rsidP="00CC18AA">
            <w:pPr>
              <w:spacing w:before="60" w:after="60"/>
              <w:jc w:val="center"/>
              <w:rPr>
                <w:rFonts w:cs="Arial"/>
                <w:color w:val="000000"/>
                <w:szCs w:val="20"/>
                <w:lang w:val="en-US"/>
              </w:rPr>
            </w:pPr>
            <w:r w:rsidRPr="00CC18AA">
              <w:rPr>
                <w:rFonts w:cs="Arial"/>
                <w:color w:val="000000"/>
                <w:szCs w:val="20"/>
                <w:lang w:val="en-US"/>
              </w:rPr>
              <w:t>52.34</w:t>
            </w:r>
          </w:p>
        </w:tc>
        <w:tc>
          <w:tcPr>
            <w:tcW w:w="968" w:type="pct"/>
            <w:shd w:val="clear" w:color="auto" w:fill="auto"/>
            <w:noWrap/>
            <w:vAlign w:val="center"/>
            <w:hideMark/>
          </w:tcPr>
          <w:p w:rsidR="00176BB7" w:rsidRPr="00CC18AA" w:rsidRDefault="00176BB7" w:rsidP="00CC18AA">
            <w:pPr>
              <w:spacing w:before="60" w:after="60"/>
              <w:jc w:val="center"/>
              <w:rPr>
                <w:rFonts w:cs="Arial"/>
                <w:color w:val="000000"/>
                <w:szCs w:val="20"/>
                <w:lang w:val="en-US"/>
              </w:rPr>
            </w:pPr>
            <w:r w:rsidRPr="00CC18AA">
              <w:rPr>
                <w:rFonts w:cs="Arial"/>
                <w:color w:val="000000"/>
                <w:szCs w:val="20"/>
                <w:lang w:val="en-US"/>
              </w:rPr>
              <w:t>38</w:t>
            </w:r>
          </w:p>
        </w:tc>
      </w:tr>
      <w:tr w:rsidR="00CC18AA" w:rsidRPr="005D4453" w:rsidTr="00CC18AA">
        <w:trPr>
          <w:trHeight w:val="240"/>
          <w:jc w:val="center"/>
        </w:trPr>
        <w:tc>
          <w:tcPr>
            <w:tcW w:w="1447" w:type="pct"/>
            <w:vMerge/>
            <w:shd w:val="clear" w:color="auto" w:fill="auto"/>
            <w:vAlign w:val="center"/>
            <w:hideMark/>
          </w:tcPr>
          <w:p w:rsidR="00176BB7" w:rsidRPr="00CC18AA" w:rsidRDefault="00176BB7" w:rsidP="00CC18AA">
            <w:pPr>
              <w:spacing w:before="60" w:after="60"/>
              <w:jc w:val="center"/>
              <w:rPr>
                <w:rFonts w:cs="Arial"/>
                <w:bCs/>
                <w:color w:val="000000"/>
                <w:szCs w:val="20"/>
                <w:lang w:val="en-US"/>
              </w:rPr>
            </w:pPr>
          </w:p>
        </w:tc>
        <w:tc>
          <w:tcPr>
            <w:tcW w:w="951" w:type="pct"/>
            <w:shd w:val="clear" w:color="auto" w:fill="auto"/>
            <w:noWrap/>
            <w:vAlign w:val="center"/>
            <w:hideMark/>
          </w:tcPr>
          <w:p w:rsidR="00176BB7" w:rsidRPr="00CC18AA" w:rsidRDefault="00176BB7" w:rsidP="00CC18AA">
            <w:pPr>
              <w:spacing w:before="60" w:after="60"/>
              <w:jc w:val="center"/>
              <w:rPr>
                <w:rFonts w:cs="Arial"/>
                <w:color w:val="000000"/>
                <w:szCs w:val="20"/>
                <w:lang w:val="en-US"/>
              </w:rPr>
            </w:pPr>
            <w:r w:rsidRPr="00CC18AA">
              <w:rPr>
                <w:rFonts w:cs="Arial"/>
                <w:color w:val="000000"/>
                <w:szCs w:val="20"/>
                <w:lang w:val="en-US"/>
              </w:rPr>
              <w:t>19/05/2016</w:t>
            </w:r>
          </w:p>
        </w:tc>
        <w:tc>
          <w:tcPr>
            <w:tcW w:w="1634" w:type="pct"/>
            <w:shd w:val="clear" w:color="auto" w:fill="auto"/>
            <w:noWrap/>
            <w:vAlign w:val="center"/>
            <w:hideMark/>
          </w:tcPr>
          <w:p w:rsidR="00176BB7" w:rsidRPr="00CC18AA" w:rsidRDefault="00176BB7" w:rsidP="00CC18AA">
            <w:pPr>
              <w:spacing w:before="60" w:after="60"/>
              <w:jc w:val="center"/>
              <w:rPr>
                <w:rFonts w:cs="Arial"/>
                <w:color w:val="000000"/>
                <w:szCs w:val="20"/>
                <w:lang w:val="en-US"/>
              </w:rPr>
            </w:pPr>
            <w:r w:rsidRPr="00CC18AA">
              <w:rPr>
                <w:rFonts w:cs="Arial"/>
                <w:color w:val="000000"/>
                <w:szCs w:val="20"/>
                <w:lang w:val="en-US"/>
              </w:rPr>
              <w:t>59.65</w:t>
            </w:r>
          </w:p>
        </w:tc>
        <w:tc>
          <w:tcPr>
            <w:tcW w:w="968" w:type="pct"/>
            <w:shd w:val="clear" w:color="auto" w:fill="auto"/>
            <w:noWrap/>
            <w:vAlign w:val="center"/>
            <w:hideMark/>
          </w:tcPr>
          <w:p w:rsidR="00176BB7" w:rsidRPr="00CC18AA" w:rsidRDefault="00176BB7" w:rsidP="00CC18AA">
            <w:pPr>
              <w:spacing w:before="60" w:after="60"/>
              <w:jc w:val="center"/>
              <w:rPr>
                <w:rFonts w:cs="Arial"/>
                <w:color w:val="000000"/>
                <w:szCs w:val="20"/>
                <w:lang w:val="en-US"/>
              </w:rPr>
            </w:pPr>
            <w:r w:rsidRPr="00CC18AA">
              <w:rPr>
                <w:rFonts w:cs="Arial"/>
                <w:color w:val="000000"/>
                <w:szCs w:val="20"/>
                <w:lang w:val="en-US"/>
              </w:rPr>
              <w:t>91</w:t>
            </w:r>
          </w:p>
        </w:tc>
      </w:tr>
    </w:tbl>
    <w:p w:rsidR="00B35ECC" w:rsidRDefault="00B35ECC" w:rsidP="00B35ECC"/>
    <w:p w:rsidR="00B35ECC" w:rsidRDefault="004176FF" w:rsidP="00B35ECC">
      <w:pPr>
        <w:keepNext/>
        <w:spacing w:line="240" w:lineRule="auto"/>
      </w:pPr>
      <w:r w:rsidRPr="008F5E11">
        <w:rPr>
          <w:noProof/>
          <w:lang w:eastAsia="en-AU"/>
        </w:rPr>
        <w:drawing>
          <wp:inline distT="0" distB="0" distL="0" distR="0">
            <wp:extent cx="5753100" cy="3600450"/>
            <wp:effectExtent l="0" t="0" r="0" b="0"/>
            <wp:docPr id="14"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35ECC" w:rsidRDefault="00B35ECC" w:rsidP="00B35ECC">
      <w:pPr>
        <w:pStyle w:val="Caption"/>
      </w:pPr>
      <w:bookmarkStart w:id="21" w:name="_Ref456348589"/>
      <w:r>
        <w:t xml:space="preserve">Figure </w:t>
      </w:r>
      <w:fldSimple w:instr=" STYLEREF 6 \s ">
        <w:r w:rsidR="00673DAF">
          <w:rPr>
            <w:noProof/>
          </w:rPr>
          <w:t>B</w:t>
        </w:r>
      </w:fldSimple>
      <w:r w:rsidR="00673DAF">
        <w:noBreakHyphen/>
      </w:r>
      <w:fldSimple w:instr=" SEQ Figure \* ARABIC \s 6 ">
        <w:r w:rsidR="00673DAF">
          <w:rPr>
            <w:noProof/>
          </w:rPr>
          <w:t>6</w:t>
        </w:r>
      </w:fldSimple>
      <w:bookmarkEnd w:id="21"/>
      <w:r>
        <w:t xml:space="preserve"> </w:t>
      </w:r>
      <w:r w:rsidRPr="00941447">
        <w:t>Daily rainfall for 2015-16 water year from Moree Aero station (BoM 2016)</w:t>
      </w:r>
      <w:r>
        <w:t>.</w:t>
      </w:r>
    </w:p>
    <w:p w:rsidR="00176BB7" w:rsidRPr="00176BB7" w:rsidRDefault="00176BB7" w:rsidP="00176BB7"/>
    <w:p w:rsidR="00B35ECC" w:rsidRDefault="00B35ECC" w:rsidP="00B35ECC">
      <w:pPr>
        <w:pStyle w:val="Caption"/>
        <w:keepNext/>
      </w:pPr>
      <w:bookmarkStart w:id="22" w:name="_Ref456347327"/>
      <w:r>
        <w:t xml:space="preserve">Table </w:t>
      </w:r>
      <w:fldSimple w:instr=" STYLEREF 6 \s ">
        <w:r w:rsidR="005D5925">
          <w:rPr>
            <w:noProof/>
          </w:rPr>
          <w:t>B</w:t>
        </w:r>
      </w:fldSimple>
      <w:r w:rsidR="005D4453">
        <w:noBreakHyphen/>
      </w:r>
      <w:fldSimple w:instr=" SEQ Table \* ARABIC \s 6 ">
        <w:r w:rsidR="005D5925">
          <w:rPr>
            <w:noProof/>
          </w:rPr>
          <w:t>3</w:t>
        </w:r>
      </w:fldSimple>
      <w:bookmarkEnd w:id="22"/>
      <w:r>
        <w:t xml:space="preserve"> Inflows and inundation extent in the Mallowa wetlands throughout the 2015-16 water year.</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64"/>
        <w:gridCol w:w="1754"/>
        <w:gridCol w:w="2362"/>
        <w:gridCol w:w="3128"/>
      </w:tblGrid>
      <w:tr w:rsidR="00CC18AA" w:rsidRPr="005D4453" w:rsidTr="00CC18AA">
        <w:trPr>
          <w:trHeight w:val="240"/>
          <w:jc w:val="center"/>
        </w:trPr>
        <w:tc>
          <w:tcPr>
            <w:tcW w:w="1153" w:type="pct"/>
            <w:shd w:val="clear" w:color="auto" w:fill="D9D9D9"/>
            <w:noWrap/>
            <w:vAlign w:val="center"/>
            <w:hideMark/>
          </w:tcPr>
          <w:p w:rsidR="00B35ECC" w:rsidRPr="00CC18AA" w:rsidRDefault="00B35ECC" w:rsidP="00CC18AA">
            <w:pPr>
              <w:spacing w:before="60" w:after="60"/>
              <w:jc w:val="center"/>
              <w:rPr>
                <w:rFonts w:cs="Arial"/>
                <w:bCs/>
                <w:color w:val="000000"/>
                <w:szCs w:val="20"/>
                <w:lang w:val="en-US"/>
              </w:rPr>
            </w:pPr>
            <w:r w:rsidRPr="00CC18AA">
              <w:rPr>
                <w:rFonts w:cs="Arial"/>
                <w:bCs/>
                <w:color w:val="000000"/>
                <w:szCs w:val="20"/>
                <w:lang w:val="en-US"/>
              </w:rPr>
              <w:t>Wetland</w:t>
            </w:r>
          </w:p>
        </w:tc>
        <w:tc>
          <w:tcPr>
            <w:tcW w:w="1039" w:type="pct"/>
            <w:shd w:val="clear" w:color="auto" w:fill="D9D9D9"/>
            <w:noWrap/>
            <w:vAlign w:val="center"/>
            <w:hideMark/>
          </w:tcPr>
          <w:p w:rsidR="00B35ECC" w:rsidRPr="00CC18AA" w:rsidRDefault="00B35ECC" w:rsidP="00CC18AA">
            <w:pPr>
              <w:spacing w:before="60" w:after="60"/>
              <w:jc w:val="center"/>
              <w:rPr>
                <w:rFonts w:cs="Arial"/>
                <w:bCs/>
                <w:color w:val="000000"/>
                <w:szCs w:val="20"/>
                <w:lang w:val="en-US"/>
              </w:rPr>
            </w:pPr>
            <w:r w:rsidRPr="00CC18AA">
              <w:rPr>
                <w:rFonts w:cs="Arial"/>
                <w:bCs/>
                <w:color w:val="000000"/>
                <w:szCs w:val="20"/>
                <w:lang w:val="en-US"/>
              </w:rPr>
              <w:t>Date</w:t>
            </w:r>
          </w:p>
        </w:tc>
        <w:tc>
          <w:tcPr>
            <w:tcW w:w="1023" w:type="pct"/>
            <w:shd w:val="clear" w:color="auto" w:fill="D9D9D9"/>
            <w:noWrap/>
            <w:vAlign w:val="center"/>
            <w:hideMark/>
          </w:tcPr>
          <w:p w:rsidR="00B35ECC" w:rsidRPr="00CC18AA" w:rsidRDefault="00176BB7" w:rsidP="00CC18AA">
            <w:pPr>
              <w:spacing w:before="60" w:after="60"/>
              <w:jc w:val="center"/>
              <w:rPr>
                <w:rFonts w:cs="Arial"/>
                <w:bCs/>
                <w:color w:val="000000"/>
                <w:szCs w:val="20"/>
                <w:lang w:val="en-US"/>
              </w:rPr>
            </w:pPr>
            <w:r w:rsidRPr="00CC18AA">
              <w:rPr>
                <w:rFonts w:cs="Arial"/>
                <w:bCs/>
                <w:color w:val="000000"/>
                <w:szCs w:val="20"/>
                <w:lang w:val="en-US"/>
              </w:rPr>
              <w:t xml:space="preserve">Cumulative </w:t>
            </w:r>
            <w:r w:rsidR="00B35ECC" w:rsidRPr="00CC18AA">
              <w:rPr>
                <w:rFonts w:cs="Arial"/>
                <w:bCs/>
                <w:color w:val="000000"/>
                <w:szCs w:val="20"/>
                <w:lang w:val="en-US"/>
              </w:rPr>
              <w:t>Inflows (ML)</w:t>
            </w:r>
          </w:p>
        </w:tc>
        <w:tc>
          <w:tcPr>
            <w:tcW w:w="1785" w:type="pct"/>
            <w:shd w:val="clear" w:color="auto" w:fill="D9D9D9"/>
            <w:noWrap/>
            <w:vAlign w:val="center"/>
            <w:hideMark/>
          </w:tcPr>
          <w:p w:rsidR="00B35ECC" w:rsidRPr="00CC18AA" w:rsidRDefault="00B35ECC" w:rsidP="00CC18AA">
            <w:pPr>
              <w:spacing w:before="60" w:after="60"/>
              <w:jc w:val="center"/>
              <w:rPr>
                <w:rFonts w:cs="Arial"/>
                <w:bCs/>
                <w:color w:val="000000"/>
                <w:szCs w:val="20"/>
                <w:lang w:val="en-US"/>
              </w:rPr>
            </w:pPr>
            <w:r w:rsidRPr="00CC18AA">
              <w:rPr>
                <w:rFonts w:cs="Arial"/>
                <w:bCs/>
                <w:color w:val="000000"/>
                <w:szCs w:val="20"/>
                <w:lang w:val="en-US"/>
              </w:rPr>
              <w:t>Inundation Extent (ha)</w:t>
            </w:r>
          </w:p>
        </w:tc>
      </w:tr>
      <w:tr w:rsidR="00CC18AA" w:rsidRPr="005D4453" w:rsidTr="00CC18AA">
        <w:trPr>
          <w:trHeight w:val="240"/>
          <w:jc w:val="center"/>
        </w:trPr>
        <w:tc>
          <w:tcPr>
            <w:tcW w:w="1153" w:type="pct"/>
            <w:vMerge w:val="restart"/>
            <w:shd w:val="clear" w:color="auto" w:fill="auto"/>
            <w:noWrap/>
            <w:vAlign w:val="center"/>
            <w:hideMark/>
          </w:tcPr>
          <w:p w:rsidR="00B35ECC" w:rsidRPr="00CC18AA" w:rsidRDefault="00B35ECC" w:rsidP="00CC18AA">
            <w:pPr>
              <w:spacing w:before="60" w:after="60"/>
              <w:jc w:val="center"/>
              <w:rPr>
                <w:rFonts w:cs="Arial"/>
                <w:bCs/>
                <w:color w:val="000000"/>
                <w:szCs w:val="20"/>
                <w:lang w:val="en-US"/>
              </w:rPr>
            </w:pPr>
            <w:r w:rsidRPr="00CC18AA">
              <w:rPr>
                <w:rFonts w:cs="Arial"/>
                <w:bCs/>
                <w:color w:val="000000"/>
                <w:szCs w:val="20"/>
                <w:lang w:val="en-US"/>
              </w:rPr>
              <w:t>Mallowa</w:t>
            </w:r>
          </w:p>
        </w:tc>
        <w:tc>
          <w:tcPr>
            <w:tcW w:w="1039"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21/08/2015</w:t>
            </w:r>
          </w:p>
        </w:tc>
        <w:tc>
          <w:tcPr>
            <w:tcW w:w="102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11</w:t>
            </w:r>
          </w:p>
        </w:tc>
        <w:tc>
          <w:tcPr>
            <w:tcW w:w="1785"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10.73</w:t>
            </w:r>
          </w:p>
        </w:tc>
      </w:tr>
      <w:tr w:rsidR="00CC18AA" w:rsidRPr="005D4453" w:rsidTr="00CC18AA">
        <w:trPr>
          <w:trHeight w:val="240"/>
          <w:jc w:val="center"/>
        </w:trPr>
        <w:tc>
          <w:tcPr>
            <w:tcW w:w="1153" w:type="pct"/>
            <w:vMerge/>
            <w:shd w:val="clear" w:color="auto" w:fill="auto"/>
            <w:vAlign w:val="center"/>
            <w:hideMark/>
          </w:tcPr>
          <w:p w:rsidR="00B35ECC" w:rsidRPr="00CC18AA" w:rsidRDefault="00B35ECC" w:rsidP="00CC18AA">
            <w:pPr>
              <w:spacing w:before="60" w:after="60"/>
              <w:jc w:val="center"/>
              <w:rPr>
                <w:rFonts w:cs="Arial"/>
                <w:bCs/>
                <w:color w:val="000000"/>
                <w:szCs w:val="20"/>
                <w:lang w:val="en-US"/>
              </w:rPr>
            </w:pPr>
          </w:p>
        </w:tc>
        <w:tc>
          <w:tcPr>
            <w:tcW w:w="1039"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8/10/2015</w:t>
            </w:r>
          </w:p>
        </w:tc>
        <w:tc>
          <w:tcPr>
            <w:tcW w:w="102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23</w:t>
            </w:r>
          </w:p>
        </w:tc>
        <w:tc>
          <w:tcPr>
            <w:tcW w:w="1785"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13.1</w:t>
            </w:r>
          </w:p>
        </w:tc>
      </w:tr>
      <w:tr w:rsidR="00CC18AA" w:rsidRPr="005D4453" w:rsidTr="00CC18AA">
        <w:trPr>
          <w:trHeight w:val="240"/>
          <w:jc w:val="center"/>
        </w:trPr>
        <w:tc>
          <w:tcPr>
            <w:tcW w:w="1153" w:type="pct"/>
            <w:vMerge/>
            <w:shd w:val="clear" w:color="auto" w:fill="auto"/>
            <w:vAlign w:val="center"/>
            <w:hideMark/>
          </w:tcPr>
          <w:p w:rsidR="00B35ECC" w:rsidRPr="00CC18AA" w:rsidRDefault="00B35ECC" w:rsidP="00CC18AA">
            <w:pPr>
              <w:spacing w:before="60" w:after="60"/>
              <w:jc w:val="center"/>
              <w:rPr>
                <w:rFonts w:cs="Arial"/>
                <w:bCs/>
                <w:color w:val="000000"/>
                <w:szCs w:val="20"/>
                <w:lang w:val="en-US"/>
              </w:rPr>
            </w:pPr>
          </w:p>
        </w:tc>
        <w:tc>
          <w:tcPr>
            <w:tcW w:w="1039"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24/11/2015</w:t>
            </w:r>
          </w:p>
        </w:tc>
        <w:tc>
          <w:tcPr>
            <w:tcW w:w="102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23</w:t>
            </w:r>
          </w:p>
        </w:tc>
        <w:tc>
          <w:tcPr>
            <w:tcW w:w="1785"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24.23</w:t>
            </w:r>
          </w:p>
        </w:tc>
      </w:tr>
      <w:tr w:rsidR="00CC18AA" w:rsidRPr="005D4453" w:rsidTr="00CC18AA">
        <w:trPr>
          <w:trHeight w:val="240"/>
          <w:jc w:val="center"/>
        </w:trPr>
        <w:tc>
          <w:tcPr>
            <w:tcW w:w="1153" w:type="pct"/>
            <w:vMerge/>
            <w:shd w:val="clear" w:color="auto" w:fill="auto"/>
            <w:vAlign w:val="center"/>
            <w:hideMark/>
          </w:tcPr>
          <w:p w:rsidR="00B35ECC" w:rsidRPr="00CC18AA" w:rsidRDefault="00B35ECC" w:rsidP="00CC18AA">
            <w:pPr>
              <w:spacing w:before="60" w:after="60"/>
              <w:jc w:val="center"/>
              <w:rPr>
                <w:rFonts w:cs="Arial"/>
                <w:bCs/>
                <w:color w:val="000000"/>
                <w:szCs w:val="20"/>
                <w:lang w:val="en-US"/>
              </w:rPr>
            </w:pPr>
          </w:p>
        </w:tc>
        <w:tc>
          <w:tcPr>
            <w:tcW w:w="1039"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13/02/2016</w:t>
            </w:r>
          </w:p>
        </w:tc>
        <w:tc>
          <w:tcPr>
            <w:tcW w:w="102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4</w:t>
            </w:r>
            <w:r w:rsidR="00176BB7" w:rsidRPr="00CC18AA">
              <w:rPr>
                <w:rFonts w:cs="Arial"/>
                <w:color w:val="000000"/>
                <w:szCs w:val="20"/>
                <w:lang w:val="en-US"/>
              </w:rPr>
              <w:t>,</w:t>
            </w:r>
            <w:r w:rsidRPr="00CC18AA">
              <w:rPr>
                <w:rFonts w:cs="Arial"/>
                <w:color w:val="000000"/>
                <w:szCs w:val="20"/>
                <w:lang w:val="en-US"/>
              </w:rPr>
              <w:t>406</w:t>
            </w:r>
          </w:p>
        </w:tc>
        <w:tc>
          <w:tcPr>
            <w:tcW w:w="1785"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204.84</w:t>
            </w:r>
          </w:p>
        </w:tc>
      </w:tr>
      <w:tr w:rsidR="00CC18AA" w:rsidRPr="005D4453" w:rsidTr="00CC18AA">
        <w:trPr>
          <w:trHeight w:val="240"/>
          <w:jc w:val="center"/>
        </w:trPr>
        <w:tc>
          <w:tcPr>
            <w:tcW w:w="1153" w:type="pct"/>
            <w:vMerge/>
            <w:shd w:val="clear" w:color="auto" w:fill="auto"/>
            <w:vAlign w:val="center"/>
            <w:hideMark/>
          </w:tcPr>
          <w:p w:rsidR="00B35ECC" w:rsidRPr="00CC18AA" w:rsidRDefault="00B35ECC" w:rsidP="00CC18AA">
            <w:pPr>
              <w:spacing w:before="60" w:after="60"/>
              <w:jc w:val="center"/>
              <w:rPr>
                <w:rFonts w:cs="Arial"/>
                <w:bCs/>
                <w:color w:val="000000"/>
                <w:szCs w:val="20"/>
                <w:lang w:val="en-US"/>
              </w:rPr>
            </w:pPr>
          </w:p>
        </w:tc>
        <w:tc>
          <w:tcPr>
            <w:tcW w:w="1039"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1/04/2016</w:t>
            </w:r>
          </w:p>
        </w:tc>
        <w:tc>
          <w:tcPr>
            <w:tcW w:w="102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4</w:t>
            </w:r>
            <w:r w:rsidR="00176BB7" w:rsidRPr="00CC18AA">
              <w:rPr>
                <w:rFonts w:cs="Arial"/>
                <w:color w:val="000000"/>
                <w:szCs w:val="20"/>
                <w:lang w:val="en-US"/>
              </w:rPr>
              <w:t>,</w:t>
            </w:r>
            <w:r w:rsidRPr="00CC18AA">
              <w:rPr>
                <w:rFonts w:cs="Arial"/>
                <w:color w:val="000000"/>
                <w:szCs w:val="20"/>
                <w:lang w:val="en-US"/>
              </w:rPr>
              <w:t>428</w:t>
            </w:r>
          </w:p>
        </w:tc>
        <w:tc>
          <w:tcPr>
            <w:tcW w:w="1785"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64.44</w:t>
            </w:r>
          </w:p>
        </w:tc>
      </w:tr>
      <w:tr w:rsidR="00CC18AA" w:rsidRPr="005D4453" w:rsidTr="00CC18AA">
        <w:trPr>
          <w:trHeight w:val="240"/>
          <w:jc w:val="center"/>
        </w:trPr>
        <w:tc>
          <w:tcPr>
            <w:tcW w:w="1153" w:type="pct"/>
            <w:vMerge/>
            <w:shd w:val="clear" w:color="auto" w:fill="auto"/>
            <w:vAlign w:val="center"/>
            <w:hideMark/>
          </w:tcPr>
          <w:p w:rsidR="00B35ECC" w:rsidRPr="00CC18AA" w:rsidRDefault="00B35ECC" w:rsidP="00CC18AA">
            <w:pPr>
              <w:spacing w:before="60" w:after="60"/>
              <w:jc w:val="center"/>
              <w:rPr>
                <w:rFonts w:cs="Arial"/>
                <w:bCs/>
                <w:color w:val="000000"/>
                <w:szCs w:val="20"/>
                <w:lang w:val="en-US"/>
              </w:rPr>
            </w:pPr>
          </w:p>
        </w:tc>
        <w:tc>
          <w:tcPr>
            <w:tcW w:w="1039"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19/05/2016</w:t>
            </w:r>
          </w:p>
        </w:tc>
        <w:tc>
          <w:tcPr>
            <w:tcW w:w="102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4</w:t>
            </w:r>
            <w:r w:rsidR="00176BB7" w:rsidRPr="00CC18AA">
              <w:rPr>
                <w:rFonts w:cs="Arial"/>
                <w:color w:val="000000"/>
                <w:szCs w:val="20"/>
                <w:lang w:val="en-US"/>
              </w:rPr>
              <w:t>,</w:t>
            </w:r>
            <w:r w:rsidRPr="00CC18AA">
              <w:rPr>
                <w:rFonts w:cs="Arial"/>
                <w:color w:val="000000"/>
                <w:szCs w:val="20"/>
                <w:lang w:val="en-US"/>
              </w:rPr>
              <w:t>438</w:t>
            </w:r>
          </w:p>
        </w:tc>
        <w:tc>
          <w:tcPr>
            <w:tcW w:w="1785"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18.35</w:t>
            </w:r>
          </w:p>
        </w:tc>
      </w:tr>
    </w:tbl>
    <w:p w:rsidR="005D4453" w:rsidRDefault="005D4453" w:rsidP="005D4453"/>
    <w:p w:rsidR="00B35ECC" w:rsidRDefault="00B35ECC" w:rsidP="009C1DAC">
      <w:pPr>
        <w:pStyle w:val="Heading8"/>
      </w:pPr>
      <w:r>
        <w:t>Vegetation community inundation</w:t>
      </w:r>
    </w:p>
    <w:p w:rsidR="00B35ECC" w:rsidRDefault="00B35ECC" w:rsidP="00B35ECC">
      <w:r>
        <w:t xml:space="preserve">In the </w:t>
      </w:r>
      <w:r w:rsidR="001C3C04">
        <w:t>lower</w:t>
      </w:r>
      <w:r>
        <w:t xml:space="preserve"> Gwydir wetlands, river coobah – lignum association (0-67% of inundated area) and water couch – spike rush – tussock rush (1-73% of inundated area) were the most commonly inundated vegetation communities throughout the 2015-16 water year (</w:t>
      </w:r>
      <w:r>
        <w:fldChar w:fldCharType="begin"/>
      </w:r>
      <w:r>
        <w:instrText xml:space="preserve"> REF _Ref456347353 \h </w:instrText>
      </w:r>
      <w:r>
        <w:fldChar w:fldCharType="separate"/>
      </w:r>
      <w:r w:rsidR="005D5925">
        <w:t xml:space="preserve">Table </w:t>
      </w:r>
      <w:r w:rsidR="005D5925">
        <w:rPr>
          <w:noProof/>
        </w:rPr>
        <w:t>B</w:t>
      </w:r>
      <w:r w:rsidR="005D5925">
        <w:noBreakHyphen/>
      </w:r>
      <w:r w:rsidR="005D5925">
        <w:rPr>
          <w:noProof/>
        </w:rPr>
        <w:t>4</w:t>
      </w:r>
      <w:r>
        <w:fldChar w:fldCharType="end"/>
      </w:r>
      <w:r>
        <w:t xml:space="preserve">). </w:t>
      </w:r>
      <w:r w:rsidR="00D81812">
        <w:t xml:space="preserve"> </w:t>
      </w:r>
      <w:r>
        <w:t>At the peak inundation extent in November 2015</w:t>
      </w:r>
      <w:r w:rsidR="00176BB7">
        <w:t>,</w:t>
      </w:r>
      <w:r>
        <w:t xml:space="preserve"> six different vegetation communities were inundated to some degree (</w:t>
      </w:r>
      <w:r>
        <w:fldChar w:fldCharType="begin"/>
      </w:r>
      <w:r>
        <w:instrText xml:space="preserve"> REF _Ref456347353 \h </w:instrText>
      </w:r>
      <w:r>
        <w:fldChar w:fldCharType="separate"/>
      </w:r>
      <w:r w:rsidR="005D5925">
        <w:t xml:space="preserve">Table </w:t>
      </w:r>
      <w:r w:rsidR="005D5925">
        <w:rPr>
          <w:noProof/>
        </w:rPr>
        <w:t>B</w:t>
      </w:r>
      <w:r w:rsidR="005D5925">
        <w:noBreakHyphen/>
      </w:r>
      <w:r w:rsidR="005D5925">
        <w:rPr>
          <w:noProof/>
        </w:rPr>
        <w:t>4</w:t>
      </w:r>
      <w:r>
        <w:fldChar w:fldCharType="end"/>
      </w:r>
      <w:r>
        <w:t xml:space="preserve">), although this was not the maximum number of </w:t>
      </w:r>
      <w:r w:rsidR="00176BB7">
        <w:t xml:space="preserve">inundated </w:t>
      </w:r>
      <w:r>
        <w:t>vegetation communities.  In May 2016</w:t>
      </w:r>
      <w:r w:rsidR="00176BB7">
        <w:t>,</w:t>
      </w:r>
      <w:r>
        <w:t xml:space="preserve"> seven communities were inundated, including the same six inundated in November 2015 plus a small area (3 ha) of common reed – tussock sedge.</w:t>
      </w:r>
    </w:p>
    <w:p w:rsidR="00B35ECC" w:rsidRDefault="00B35ECC" w:rsidP="00B35ECC">
      <w:r>
        <w:t>In the Gingham wetlands, water couch – spike-rush – tussock rush marsh grassland (1-53% of inundated area) and river cooba – lignum swamp shrubland (2-39% of inundated area) were the most commonly inundated vegetation communities (</w:t>
      </w:r>
      <w:r w:rsidR="006D02DA">
        <w:fldChar w:fldCharType="begin"/>
      </w:r>
      <w:r w:rsidR="006D02DA">
        <w:instrText xml:space="preserve"> REF _Ref461543494 \h </w:instrText>
      </w:r>
      <w:r w:rsidR="006D02DA">
        <w:fldChar w:fldCharType="separate"/>
      </w:r>
      <w:r w:rsidR="005D5925">
        <w:t xml:space="preserve">Table </w:t>
      </w:r>
      <w:r w:rsidR="005D5925">
        <w:rPr>
          <w:noProof/>
        </w:rPr>
        <w:t>B</w:t>
      </w:r>
      <w:r w:rsidR="005D5925">
        <w:noBreakHyphen/>
      </w:r>
      <w:r w:rsidR="005D5925">
        <w:rPr>
          <w:noProof/>
        </w:rPr>
        <w:t>5</w:t>
      </w:r>
      <w:r w:rsidR="006D02DA">
        <w:fldChar w:fldCharType="end"/>
      </w:r>
      <w:r>
        <w:t xml:space="preserve">).  The river cooba – lignum swamp shrubland vegetation community was extensively inundated early in the water year (169 ha in August 2015 and 230 ha in October 2015) but this extent decreased sharply at all other image capture times (1-7 ha for the remainder of the water year).  </w:t>
      </w:r>
      <w:r w:rsidR="00176BB7">
        <w:t xml:space="preserve">The low lying </w:t>
      </w:r>
      <w:r>
        <w:t xml:space="preserve">water couch – spike rush – tussock rush marsh grassland was inundated </w:t>
      </w:r>
      <w:r w:rsidR="00176BB7">
        <w:t>for the majority of</w:t>
      </w:r>
      <w:r>
        <w:t xml:space="preserve"> the year.  This community accounted for </w:t>
      </w:r>
      <w:r w:rsidR="00176BB7">
        <w:t xml:space="preserve">only </w:t>
      </w:r>
      <w:r>
        <w:t>1% of inundated area in April 2016, but at all other times accounted for between 22 and 53% of inundated area.  At the peak inundation extent in October 2015</w:t>
      </w:r>
      <w:r w:rsidR="00176BB7">
        <w:t>,</w:t>
      </w:r>
      <w:r>
        <w:t xml:space="preserve"> 13 different vegetation communities were inundated (</w:t>
      </w:r>
      <w:r w:rsidR="006D02DA">
        <w:fldChar w:fldCharType="begin"/>
      </w:r>
      <w:r w:rsidR="006D02DA">
        <w:instrText xml:space="preserve"> REF _Ref461543494 \h </w:instrText>
      </w:r>
      <w:r w:rsidR="006D02DA">
        <w:fldChar w:fldCharType="separate"/>
      </w:r>
      <w:r w:rsidR="005D5925">
        <w:t xml:space="preserve">Table </w:t>
      </w:r>
      <w:r w:rsidR="005D5925">
        <w:rPr>
          <w:noProof/>
        </w:rPr>
        <w:t>B</w:t>
      </w:r>
      <w:r w:rsidR="005D5925">
        <w:noBreakHyphen/>
      </w:r>
      <w:r w:rsidR="005D5925">
        <w:rPr>
          <w:noProof/>
        </w:rPr>
        <w:t>5</w:t>
      </w:r>
      <w:r w:rsidR="006D02DA">
        <w:fldChar w:fldCharType="end"/>
      </w:r>
      <w:r>
        <w:t>), which was the maximum number of vegetation communities inundated in the Gingham wetlands in the 2015-16 water year.</w:t>
      </w:r>
    </w:p>
    <w:p w:rsidR="00B35ECC" w:rsidRPr="00E36C6A" w:rsidRDefault="00B35ECC" w:rsidP="00B35ECC">
      <w:r>
        <w:t>In the Mallowa wetlands, cool</w:t>
      </w:r>
      <w:r w:rsidR="00833B2A">
        <w:t>i</w:t>
      </w:r>
      <w:r>
        <w:t>bah – river cooba – lignum association was the most commonly inundated vegetation community, accounting for between 93 and 100% of inundated area across the water year (</w:t>
      </w:r>
      <w:r>
        <w:fldChar w:fldCharType="begin"/>
      </w:r>
      <w:r>
        <w:instrText xml:space="preserve"> REF _Ref456347407 \h </w:instrText>
      </w:r>
      <w:r>
        <w:fldChar w:fldCharType="separate"/>
      </w:r>
      <w:r w:rsidR="005D5925">
        <w:t xml:space="preserve">Table </w:t>
      </w:r>
      <w:r w:rsidR="005D5925">
        <w:rPr>
          <w:noProof/>
        </w:rPr>
        <w:t>B</w:t>
      </w:r>
      <w:r w:rsidR="005D5925">
        <w:noBreakHyphen/>
      </w:r>
      <w:r w:rsidR="005D5925">
        <w:rPr>
          <w:noProof/>
        </w:rPr>
        <w:t>6</w:t>
      </w:r>
      <w:r>
        <w:fldChar w:fldCharType="end"/>
      </w:r>
      <w:r>
        <w:t>).  At the peak inundation extent in February 2016 four different vegetation communities were inundated. Being fringing wetlands</w:t>
      </w:r>
      <w:r w:rsidR="00176BB7">
        <w:t xml:space="preserve"> adjacent to the river channel</w:t>
      </w:r>
      <w:r>
        <w:t>, rather than terminal wetlands such as those in the Gwydir and Gingham systems, inundation along the Mallowa Cree</w:t>
      </w:r>
      <w:r w:rsidR="00176BB7">
        <w:t>k is generally restricted to th</w:t>
      </w:r>
      <w:r>
        <w:t>e</w:t>
      </w:r>
      <w:r w:rsidR="00176BB7">
        <w:t>s</w:t>
      </w:r>
      <w:r>
        <w:t>e areas immediately adjacent the main channel.  Therefore, inundation does not tend to be as broad in the landscape and it is to be expected that fewer vegetation communities are affected by inundation.</w:t>
      </w:r>
    </w:p>
    <w:p w:rsidR="00B35ECC" w:rsidRDefault="00B35ECC" w:rsidP="00B35ECC"/>
    <w:p w:rsidR="00B35ECC" w:rsidRDefault="00B35ECC" w:rsidP="00B35ECC"/>
    <w:p w:rsidR="00B35ECC" w:rsidRDefault="00B35ECC" w:rsidP="00B35ECC">
      <w:pPr>
        <w:sectPr w:rsidR="00B35ECC" w:rsidSect="004F411E">
          <w:headerReference w:type="default" r:id="rId35"/>
          <w:footerReference w:type="default" r:id="rId36"/>
          <w:type w:val="nextColumn"/>
          <w:pgSz w:w="11907" w:h="16839" w:code="9"/>
          <w:pgMar w:top="1508" w:right="1219" w:bottom="1457" w:left="1480" w:header="708" w:footer="306" w:gutter="0"/>
          <w:pgNumType w:chapStyle="6"/>
          <w:cols w:space="708"/>
          <w:docGrid w:linePitch="360"/>
        </w:sectPr>
      </w:pPr>
    </w:p>
    <w:p w:rsidR="00B35ECC" w:rsidRDefault="00B35ECC" w:rsidP="005D4453">
      <w:pPr>
        <w:pStyle w:val="Caption"/>
        <w:keepNext/>
        <w:ind w:right="67"/>
      </w:pPr>
      <w:bookmarkStart w:id="23" w:name="_Ref456347353"/>
      <w:r>
        <w:t xml:space="preserve">Table </w:t>
      </w:r>
      <w:fldSimple w:instr=" STYLEREF 6 \s ">
        <w:r w:rsidR="005D5925">
          <w:rPr>
            <w:noProof/>
          </w:rPr>
          <w:t>B</w:t>
        </w:r>
      </w:fldSimple>
      <w:r w:rsidR="005D4453">
        <w:noBreakHyphen/>
      </w:r>
      <w:fldSimple w:instr=" SEQ Table \* ARABIC \s 6 ">
        <w:r w:rsidR="005D5925">
          <w:rPr>
            <w:noProof/>
          </w:rPr>
          <w:t>4</w:t>
        </w:r>
      </w:fldSimple>
      <w:bookmarkEnd w:id="23"/>
      <w:r>
        <w:t xml:space="preserve"> Wetland inundation extent and volumes, including percentage of total extent and volume, for different vegetation communities in the </w:t>
      </w:r>
      <w:r w:rsidR="001C3C04">
        <w:t>lower</w:t>
      </w:r>
      <w:r>
        <w:t xml:space="preserve"> Gwydir wetlands in 2015-16.</w:t>
      </w:r>
    </w:p>
    <w:tbl>
      <w:tblPr>
        <w:tblW w:w="4975" w:type="pct"/>
        <w:tblBorders>
          <w:insideH w:val="single" w:sz="4" w:space="0" w:color="auto"/>
          <w:insideV w:val="single" w:sz="4" w:space="0" w:color="auto"/>
        </w:tblBorders>
        <w:tblLayout w:type="fixed"/>
        <w:tblLook w:val="04A0" w:firstRow="1" w:lastRow="0" w:firstColumn="1" w:lastColumn="0" w:noHBand="0" w:noVBand="1"/>
      </w:tblPr>
      <w:tblGrid>
        <w:gridCol w:w="1013"/>
        <w:gridCol w:w="2290"/>
        <w:gridCol w:w="1005"/>
        <w:gridCol w:w="861"/>
        <w:gridCol w:w="861"/>
        <w:gridCol w:w="861"/>
        <w:gridCol w:w="861"/>
        <w:gridCol w:w="1007"/>
        <w:gridCol w:w="861"/>
        <w:gridCol w:w="861"/>
        <w:gridCol w:w="861"/>
        <w:gridCol w:w="861"/>
        <w:gridCol w:w="864"/>
        <w:gridCol w:w="1002"/>
      </w:tblGrid>
      <w:tr w:rsidR="00B35ECC" w:rsidRPr="005D4453" w:rsidTr="00CC18AA">
        <w:trPr>
          <w:trHeight w:val="300"/>
        </w:trPr>
        <w:tc>
          <w:tcPr>
            <w:tcW w:w="360" w:type="pct"/>
            <w:vMerge w:val="restart"/>
            <w:tcBorders>
              <w:top w:val="single" w:sz="4" w:space="0" w:color="auto"/>
            </w:tcBorders>
            <w:shd w:val="clear" w:color="auto" w:fill="D9D9D9"/>
            <w:noWrap/>
            <w:vAlign w:val="center"/>
            <w:hideMark/>
          </w:tcPr>
          <w:p w:rsidR="00B35ECC" w:rsidRPr="005D4453" w:rsidRDefault="00B35ECC" w:rsidP="00BF2063">
            <w:pPr>
              <w:spacing w:before="60" w:after="60"/>
              <w:ind w:right="-101"/>
              <w:jc w:val="center"/>
              <w:rPr>
                <w:rFonts w:cs="Arial"/>
                <w:color w:val="000000"/>
                <w:szCs w:val="20"/>
                <w:lang w:val="en-US"/>
              </w:rPr>
            </w:pPr>
            <w:r w:rsidRPr="005D4453">
              <w:rPr>
                <w:rFonts w:cs="Arial"/>
                <w:color w:val="000000"/>
                <w:szCs w:val="20"/>
                <w:lang w:val="en-US"/>
              </w:rPr>
              <w:t>Wetland</w:t>
            </w:r>
          </w:p>
        </w:tc>
        <w:tc>
          <w:tcPr>
            <w:tcW w:w="814" w:type="pct"/>
            <w:vMerge w:val="restart"/>
            <w:tcBorders>
              <w:top w:val="single" w:sz="4" w:space="0" w:color="auto"/>
            </w:tcBorders>
            <w:shd w:val="clear" w:color="auto" w:fill="D9D9D9"/>
            <w:noWrap/>
            <w:vAlign w:val="center"/>
            <w:hideMark/>
          </w:tcPr>
          <w:p w:rsidR="00B35ECC" w:rsidRPr="005D4453" w:rsidRDefault="00B35ECC" w:rsidP="005D4453">
            <w:pPr>
              <w:spacing w:before="60" w:after="60"/>
              <w:rPr>
                <w:rFonts w:cs="Arial"/>
                <w:color w:val="000000"/>
                <w:szCs w:val="20"/>
                <w:lang w:val="en-US"/>
              </w:rPr>
            </w:pPr>
            <w:r w:rsidRPr="005D4453">
              <w:rPr>
                <w:rFonts w:cs="Arial"/>
                <w:bCs/>
                <w:color w:val="000000"/>
                <w:szCs w:val="20"/>
                <w:lang w:val="en-US"/>
              </w:rPr>
              <w:t>Vegetation community</w:t>
            </w:r>
          </w:p>
        </w:tc>
        <w:tc>
          <w:tcPr>
            <w:tcW w:w="1939" w:type="pct"/>
            <w:gridSpan w:val="6"/>
            <w:tcBorders>
              <w:top w:val="single" w:sz="4" w:space="0" w:color="auto"/>
            </w:tcBorders>
            <w:shd w:val="clear" w:color="auto" w:fill="D9D9D9"/>
            <w:noWrap/>
            <w:vAlign w:val="center"/>
            <w:hideMark/>
          </w:tcPr>
          <w:p w:rsidR="00B35ECC" w:rsidRPr="005D4453" w:rsidRDefault="00B35ECC" w:rsidP="005D4453">
            <w:pPr>
              <w:spacing w:before="60" w:after="60"/>
              <w:jc w:val="center"/>
              <w:rPr>
                <w:rFonts w:cs="Arial"/>
                <w:bCs/>
                <w:color w:val="000000"/>
                <w:szCs w:val="20"/>
                <w:lang w:val="en-US"/>
              </w:rPr>
            </w:pPr>
            <w:r w:rsidRPr="005D4453">
              <w:rPr>
                <w:rFonts w:cs="Arial"/>
                <w:bCs/>
                <w:color w:val="000000"/>
                <w:szCs w:val="20"/>
                <w:lang w:val="en-US"/>
              </w:rPr>
              <w:t>Area inundated - ha (%)</w:t>
            </w:r>
          </w:p>
        </w:tc>
        <w:tc>
          <w:tcPr>
            <w:tcW w:w="1887" w:type="pct"/>
            <w:gridSpan w:val="6"/>
            <w:tcBorders>
              <w:top w:val="single" w:sz="4" w:space="0" w:color="auto"/>
            </w:tcBorders>
            <w:shd w:val="clear" w:color="auto" w:fill="D9D9D9"/>
            <w:noWrap/>
            <w:vAlign w:val="center"/>
            <w:hideMark/>
          </w:tcPr>
          <w:p w:rsidR="00B35ECC" w:rsidRPr="005D4453" w:rsidRDefault="00B35ECC" w:rsidP="005D4453">
            <w:pPr>
              <w:spacing w:before="60" w:after="60"/>
              <w:jc w:val="center"/>
              <w:rPr>
                <w:rFonts w:cs="Arial"/>
                <w:bCs/>
                <w:color w:val="000000"/>
                <w:szCs w:val="20"/>
                <w:lang w:val="en-US"/>
              </w:rPr>
            </w:pPr>
            <w:r w:rsidRPr="005D4453">
              <w:rPr>
                <w:rFonts w:cs="Arial"/>
                <w:bCs/>
                <w:color w:val="000000"/>
                <w:szCs w:val="20"/>
                <w:lang w:val="en-US"/>
              </w:rPr>
              <w:t>Volume - ML (%)</w:t>
            </w:r>
          </w:p>
        </w:tc>
      </w:tr>
      <w:tr w:rsidR="00CC18AA" w:rsidRPr="005D4453" w:rsidTr="00CC18AA">
        <w:trPr>
          <w:trHeight w:val="315"/>
        </w:trPr>
        <w:tc>
          <w:tcPr>
            <w:tcW w:w="360" w:type="pct"/>
            <w:vMerge/>
            <w:vAlign w:val="center"/>
            <w:hideMark/>
          </w:tcPr>
          <w:p w:rsidR="00B35ECC" w:rsidRPr="005D4453" w:rsidRDefault="00B35ECC" w:rsidP="005D4453">
            <w:pPr>
              <w:spacing w:before="60" w:after="60"/>
              <w:jc w:val="center"/>
              <w:rPr>
                <w:rFonts w:cs="Arial"/>
                <w:color w:val="000000"/>
                <w:szCs w:val="20"/>
                <w:lang w:val="en-US"/>
              </w:rPr>
            </w:pPr>
          </w:p>
        </w:tc>
        <w:tc>
          <w:tcPr>
            <w:tcW w:w="814" w:type="pct"/>
            <w:vMerge/>
            <w:shd w:val="clear" w:color="auto" w:fill="auto"/>
            <w:noWrap/>
            <w:vAlign w:val="center"/>
            <w:hideMark/>
          </w:tcPr>
          <w:p w:rsidR="00B35ECC" w:rsidRPr="005D4453" w:rsidRDefault="00B35ECC" w:rsidP="005D4453">
            <w:pPr>
              <w:spacing w:before="60" w:after="60"/>
              <w:jc w:val="center"/>
              <w:rPr>
                <w:rFonts w:cs="Arial"/>
                <w:b/>
                <w:bCs/>
                <w:color w:val="000000"/>
                <w:szCs w:val="20"/>
                <w:lang w:val="en-US"/>
              </w:rPr>
            </w:pPr>
          </w:p>
        </w:tc>
        <w:tc>
          <w:tcPr>
            <w:tcW w:w="357" w:type="pct"/>
            <w:shd w:val="clear" w:color="auto" w:fill="D9D9D9"/>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Aug 15</w:t>
            </w:r>
          </w:p>
        </w:tc>
        <w:tc>
          <w:tcPr>
            <w:tcW w:w="306" w:type="pct"/>
            <w:shd w:val="clear" w:color="auto" w:fill="D9D9D9"/>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Oct 15</w:t>
            </w:r>
          </w:p>
        </w:tc>
        <w:tc>
          <w:tcPr>
            <w:tcW w:w="306" w:type="pct"/>
            <w:shd w:val="clear" w:color="auto" w:fill="D9D9D9"/>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Nov 15</w:t>
            </w:r>
          </w:p>
        </w:tc>
        <w:tc>
          <w:tcPr>
            <w:tcW w:w="306" w:type="pct"/>
            <w:shd w:val="clear" w:color="auto" w:fill="D9D9D9"/>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Feb 16</w:t>
            </w:r>
          </w:p>
        </w:tc>
        <w:tc>
          <w:tcPr>
            <w:tcW w:w="306" w:type="pct"/>
            <w:shd w:val="clear" w:color="auto" w:fill="D9D9D9"/>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Apr 16</w:t>
            </w:r>
          </w:p>
        </w:tc>
        <w:tc>
          <w:tcPr>
            <w:tcW w:w="358" w:type="pct"/>
            <w:shd w:val="clear" w:color="auto" w:fill="D9D9D9"/>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May 16</w:t>
            </w:r>
          </w:p>
        </w:tc>
        <w:tc>
          <w:tcPr>
            <w:tcW w:w="306" w:type="pct"/>
            <w:shd w:val="clear" w:color="auto" w:fill="D9D9D9"/>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Aug 15</w:t>
            </w:r>
          </w:p>
        </w:tc>
        <w:tc>
          <w:tcPr>
            <w:tcW w:w="306" w:type="pct"/>
            <w:shd w:val="clear" w:color="auto" w:fill="D9D9D9"/>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Oct 15</w:t>
            </w:r>
          </w:p>
        </w:tc>
        <w:tc>
          <w:tcPr>
            <w:tcW w:w="306" w:type="pct"/>
            <w:shd w:val="clear" w:color="auto" w:fill="D9D9D9"/>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Nov 15</w:t>
            </w:r>
          </w:p>
        </w:tc>
        <w:tc>
          <w:tcPr>
            <w:tcW w:w="306" w:type="pct"/>
            <w:shd w:val="clear" w:color="auto" w:fill="D9D9D9"/>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Feb 16</w:t>
            </w:r>
          </w:p>
        </w:tc>
        <w:tc>
          <w:tcPr>
            <w:tcW w:w="307" w:type="pct"/>
            <w:shd w:val="clear" w:color="auto" w:fill="D9D9D9"/>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Apr 16</w:t>
            </w:r>
          </w:p>
        </w:tc>
        <w:tc>
          <w:tcPr>
            <w:tcW w:w="356" w:type="pct"/>
            <w:shd w:val="clear" w:color="auto" w:fill="D9D9D9"/>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May 16</w:t>
            </w:r>
          </w:p>
        </w:tc>
      </w:tr>
      <w:tr w:rsidR="005D4453" w:rsidRPr="005D4453" w:rsidTr="005D4453">
        <w:trPr>
          <w:trHeight w:val="300"/>
        </w:trPr>
        <w:tc>
          <w:tcPr>
            <w:tcW w:w="360" w:type="pct"/>
            <w:vMerge w:val="restar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Gwydir</w:t>
            </w:r>
          </w:p>
        </w:tc>
        <w:tc>
          <w:tcPr>
            <w:tcW w:w="814" w:type="pct"/>
            <w:shd w:val="clear" w:color="auto" w:fill="auto"/>
            <w:noWrap/>
            <w:vAlign w:val="center"/>
            <w:hideMark/>
          </w:tcPr>
          <w:p w:rsidR="00B35ECC" w:rsidRPr="005D4453" w:rsidRDefault="006177FD" w:rsidP="005D4453">
            <w:pPr>
              <w:spacing w:before="60" w:after="60"/>
              <w:jc w:val="left"/>
              <w:rPr>
                <w:rFonts w:cs="Arial"/>
                <w:color w:val="000000"/>
                <w:szCs w:val="20"/>
                <w:lang w:val="en-US"/>
              </w:rPr>
            </w:pPr>
            <w:r w:rsidRPr="005D4453">
              <w:rPr>
                <w:rFonts w:cs="Arial"/>
                <w:color w:val="000000"/>
                <w:szCs w:val="20"/>
                <w:lang w:val="en-US"/>
              </w:rPr>
              <w:t>common reed - marsh club-rush</w:t>
            </w:r>
          </w:p>
        </w:tc>
        <w:tc>
          <w:tcPr>
            <w:tcW w:w="357"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4 (2)</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5 (5)</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58"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15 (23)</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2 (1)</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2 (6)</w:t>
            </w:r>
          </w:p>
        </w:tc>
        <w:tc>
          <w:tcPr>
            <w:tcW w:w="307"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5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8 (23)</w:t>
            </w:r>
          </w:p>
        </w:tc>
      </w:tr>
      <w:tr w:rsidR="005D4453" w:rsidRPr="005D4453" w:rsidTr="005D4453">
        <w:trPr>
          <w:trHeight w:val="300"/>
        </w:trPr>
        <w:tc>
          <w:tcPr>
            <w:tcW w:w="360" w:type="pct"/>
            <w:vMerge/>
            <w:vAlign w:val="center"/>
            <w:hideMark/>
          </w:tcPr>
          <w:p w:rsidR="00B35ECC" w:rsidRPr="005D4453" w:rsidRDefault="00B35ECC" w:rsidP="005D4453">
            <w:pPr>
              <w:spacing w:before="60" w:after="60"/>
              <w:jc w:val="center"/>
              <w:rPr>
                <w:rFonts w:cs="Arial"/>
                <w:color w:val="000000"/>
                <w:szCs w:val="20"/>
                <w:lang w:val="en-US"/>
              </w:rPr>
            </w:pPr>
          </w:p>
        </w:tc>
        <w:tc>
          <w:tcPr>
            <w:tcW w:w="814" w:type="pct"/>
            <w:shd w:val="clear" w:color="auto" w:fill="auto"/>
            <w:noWrap/>
            <w:vAlign w:val="center"/>
            <w:hideMark/>
          </w:tcPr>
          <w:p w:rsidR="00B35ECC" w:rsidRPr="005D4453" w:rsidRDefault="006177FD" w:rsidP="005D4453">
            <w:pPr>
              <w:spacing w:before="60" w:after="60"/>
              <w:jc w:val="left"/>
              <w:rPr>
                <w:rFonts w:cs="Arial"/>
                <w:color w:val="000000"/>
                <w:szCs w:val="20"/>
                <w:lang w:val="en-US"/>
              </w:rPr>
            </w:pPr>
            <w:r w:rsidRPr="005D4453">
              <w:rPr>
                <w:rFonts w:cs="Arial"/>
                <w:color w:val="000000"/>
                <w:szCs w:val="20"/>
                <w:lang w:val="en-US"/>
              </w:rPr>
              <w:t>common reed - tussock sedge</w:t>
            </w:r>
          </w:p>
        </w:tc>
        <w:tc>
          <w:tcPr>
            <w:tcW w:w="357"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58"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3 (4)</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07"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5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1 (4)</w:t>
            </w:r>
          </w:p>
        </w:tc>
      </w:tr>
      <w:tr w:rsidR="005D4453" w:rsidRPr="005D4453" w:rsidTr="005D4453">
        <w:trPr>
          <w:trHeight w:val="300"/>
        </w:trPr>
        <w:tc>
          <w:tcPr>
            <w:tcW w:w="360" w:type="pct"/>
            <w:vMerge/>
            <w:vAlign w:val="center"/>
            <w:hideMark/>
          </w:tcPr>
          <w:p w:rsidR="00B35ECC" w:rsidRPr="005D4453" w:rsidRDefault="00B35ECC" w:rsidP="005D4453">
            <w:pPr>
              <w:spacing w:before="60" w:after="60"/>
              <w:jc w:val="center"/>
              <w:rPr>
                <w:rFonts w:cs="Arial"/>
                <w:color w:val="000000"/>
                <w:szCs w:val="20"/>
                <w:lang w:val="en-US"/>
              </w:rPr>
            </w:pPr>
          </w:p>
        </w:tc>
        <w:tc>
          <w:tcPr>
            <w:tcW w:w="814" w:type="pct"/>
            <w:shd w:val="clear" w:color="auto" w:fill="auto"/>
            <w:noWrap/>
            <w:vAlign w:val="center"/>
            <w:hideMark/>
          </w:tcPr>
          <w:p w:rsidR="00B35ECC" w:rsidRPr="005D4453" w:rsidRDefault="006177FD" w:rsidP="005D4453">
            <w:pPr>
              <w:spacing w:before="60" w:after="60"/>
              <w:jc w:val="left"/>
              <w:rPr>
                <w:rFonts w:cs="Arial"/>
                <w:color w:val="000000"/>
                <w:szCs w:val="20"/>
                <w:lang w:val="en-US"/>
              </w:rPr>
            </w:pPr>
            <w:r w:rsidRPr="005D4453">
              <w:rPr>
                <w:rFonts w:cs="Arial"/>
                <w:color w:val="000000"/>
                <w:szCs w:val="20"/>
                <w:lang w:val="en-US"/>
              </w:rPr>
              <w:t>coolibah - river red gum association</w:t>
            </w:r>
          </w:p>
        </w:tc>
        <w:tc>
          <w:tcPr>
            <w:tcW w:w="357"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2 (2)</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9 (9)</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10 (6)</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3 (5)</w:t>
            </w:r>
          </w:p>
        </w:tc>
        <w:tc>
          <w:tcPr>
            <w:tcW w:w="358"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1 (2)</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1 (1)</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5 (7)</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5 (3)</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07"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1 (1)</w:t>
            </w:r>
          </w:p>
        </w:tc>
        <w:tc>
          <w:tcPr>
            <w:tcW w:w="35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1 (2)</w:t>
            </w:r>
          </w:p>
        </w:tc>
      </w:tr>
      <w:tr w:rsidR="005D4453" w:rsidRPr="005D4453" w:rsidTr="005D4453">
        <w:trPr>
          <w:trHeight w:val="300"/>
        </w:trPr>
        <w:tc>
          <w:tcPr>
            <w:tcW w:w="360" w:type="pct"/>
            <w:vMerge/>
            <w:vAlign w:val="center"/>
            <w:hideMark/>
          </w:tcPr>
          <w:p w:rsidR="00B35ECC" w:rsidRPr="005D4453" w:rsidRDefault="00B35ECC" w:rsidP="005D4453">
            <w:pPr>
              <w:spacing w:before="60" w:after="60"/>
              <w:jc w:val="center"/>
              <w:rPr>
                <w:rFonts w:cs="Arial"/>
                <w:color w:val="000000"/>
                <w:szCs w:val="20"/>
                <w:lang w:val="en-US"/>
              </w:rPr>
            </w:pPr>
          </w:p>
        </w:tc>
        <w:tc>
          <w:tcPr>
            <w:tcW w:w="814" w:type="pct"/>
            <w:shd w:val="clear" w:color="auto" w:fill="auto"/>
            <w:noWrap/>
            <w:vAlign w:val="center"/>
            <w:hideMark/>
          </w:tcPr>
          <w:p w:rsidR="00B35ECC" w:rsidRPr="005D4453" w:rsidRDefault="006177FD" w:rsidP="005D4453">
            <w:pPr>
              <w:spacing w:before="60" w:after="60"/>
              <w:jc w:val="left"/>
              <w:rPr>
                <w:rFonts w:cs="Arial"/>
                <w:color w:val="000000"/>
                <w:szCs w:val="20"/>
                <w:lang w:val="en-US"/>
              </w:rPr>
            </w:pPr>
            <w:r w:rsidRPr="005D4453">
              <w:rPr>
                <w:rFonts w:cs="Arial"/>
                <w:color w:val="000000"/>
                <w:szCs w:val="20"/>
                <w:lang w:val="en-US"/>
              </w:rPr>
              <w:t>coolibah woodland</w:t>
            </w:r>
          </w:p>
        </w:tc>
        <w:tc>
          <w:tcPr>
            <w:tcW w:w="357"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8 (5)</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w:t>
            </w:r>
            <w:r w:rsidR="002148D8" w:rsidRPr="005D4453">
              <w:rPr>
                <w:rFonts w:cs="Arial"/>
                <w:color w:val="000000"/>
                <w:szCs w:val="20"/>
                <w:lang w:val="en-US"/>
              </w:rPr>
              <w:t>.5</w:t>
            </w:r>
            <w:r w:rsidRPr="005D4453">
              <w:rPr>
                <w:rFonts w:cs="Arial"/>
                <w:color w:val="000000"/>
                <w:szCs w:val="20"/>
                <w:lang w:val="en-US"/>
              </w:rPr>
              <w:t xml:space="preserve"> (1)</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58"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4 (3)</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w:t>
            </w:r>
            <w:r w:rsidR="002148D8" w:rsidRPr="005D4453">
              <w:rPr>
                <w:rFonts w:cs="Arial"/>
                <w:color w:val="000000"/>
                <w:szCs w:val="20"/>
                <w:lang w:val="en-US"/>
              </w:rPr>
              <w:t>.25</w:t>
            </w:r>
            <w:r w:rsidRPr="005D4453">
              <w:rPr>
                <w:rFonts w:cs="Arial"/>
                <w:color w:val="000000"/>
                <w:szCs w:val="20"/>
                <w:lang w:val="en-US"/>
              </w:rPr>
              <w:t xml:space="preserve"> (1)</w:t>
            </w:r>
          </w:p>
        </w:tc>
        <w:tc>
          <w:tcPr>
            <w:tcW w:w="307"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5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r>
      <w:tr w:rsidR="005D4453" w:rsidRPr="005D4453" w:rsidTr="005D4453">
        <w:trPr>
          <w:trHeight w:val="300"/>
        </w:trPr>
        <w:tc>
          <w:tcPr>
            <w:tcW w:w="360" w:type="pct"/>
            <w:vMerge/>
            <w:vAlign w:val="center"/>
            <w:hideMark/>
          </w:tcPr>
          <w:p w:rsidR="00B35ECC" w:rsidRPr="005D4453" w:rsidRDefault="00B35ECC" w:rsidP="005D4453">
            <w:pPr>
              <w:spacing w:before="60" w:after="60"/>
              <w:jc w:val="center"/>
              <w:rPr>
                <w:rFonts w:cs="Arial"/>
                <w:color w:val="000000"/>
                <w:szCs w:val="20"/>
                <w:lang w:val="en-US"/>
              </w:rPr>
            </w:pPr>
          </w:p>
        </w:tc>
        <w:tc>
          <w:tcPr>
            <w:tcW w:w="814" w:type="pct"/>
            <w:shd w:val="clear" w:color="auto" w:fill="auto"/>
            <w:noWrap/>
            <w:vAlign w:val="center"/>
            <w:hideMark/>
          </w:tcPr>
          <w:p w:rsidR="00B35ECC" w:rsidRPr="005D4453" w:rsidRDefault="006177FD" w:rsidP="001D4CEC">
            <w:pPr>
              <w:spacing w:before="60" w:after="60"/>
              <w:jc w:val="left"/>
              <w:rPr>
                <w:rFonts w:cs="Arial"/>
                <w:color w:val="000000"/>
                <w:szCs w:val="20"/>
                <w:lang w:val="en-US"/>
              </w:rPr>
            </w:pPr>
            <w:r w:rsidRPr="005D4453">
              <w:rPr>
                <w:rFonts w:cs="Arial"/>
                <w:color w:val="000000"/>
                <w:szCs w:val="20"/>
                <w:lang w:val="en-US"/>
              </w:rPr>
              <w:t>cumb</w:t>
            </w:r>
            <w:r w:rsidR="001D4CEC">
              <w:rPr>
                <w:rFonts w:cs="Arial"/>
                <w:color w:val="000000"/>
                <w:szCs w:val="20"/>
                <w:lang w:val="en-US"/>
              </w:rPr>
              <w:t>u</w:t>
            </w:r>
            <w:r w:rsidRPr="005D4453">
              <w:rPr>
                <w:rFonts w:cs="Arial"/>
                <w:color w:val="000000"/>
                <w:szCs w:val="20"/>
                <w:lang w:val="en-US"/>
              </w:rPr>
              <w:t>ngi-marsh club rush</w:t>
            </w:r>
          </w:p>
        </w:tc>
        <w:tc>
          <w:tcPr>
            <w:tcW w:w="357"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7 (4)</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58"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1 (1)</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3 (2)</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07"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56" w:type="pct"/>
            <w:shd w:val="clear" w:color="auto" w:fill="auto"/>
            <w:noWrap/>
            <w:vAlign w:val="center"/>
            <w:hideMark/>
          </w:tcPr>
          <w:p w:rsidR="00B35ECC" w:rsidRPr="005D4453" w:rsidRDefault="002148D8" w:rsidP="005D4453">
            <w:pPr>
              <w:spacing w:before="60" w:after="60"/>
              <w:jc w:val="center"/>
              <w:rPr>
                <w:rFonts w:cs="Arial"/>
                <w:color w:val="000000"/>
                <w:szCs w:val="20"/>
                <w:lang w:val="en-US"/>
              </w:rPr>
            </w:pPr>
            <w:r w:rsidRPr="005D4453">
              <w:rPr>
                <w:rFonts w:cs="Arial"/>
                <w:color w:val="000000"/>
                <w:szCs w:val="20"/>
                <w:lang w:val="en-US"/>
              </w:rPr>
              <w:t>0.46</w:t>
            </w:r>
            <w:r w:rsidR="005D4453">
              <w:rPr>
                <w:rFonts w:cs="Arial"/>
                <w:color w:val="000000"/>
                <w:szCs w:val="20"/>
                <w:lang w:val="en-US"/>
              </w:rPr>
              <w:t xml:space="preserve"> </w:t>
            </w:r>
            <w:r w:rsidR="00B35ECC" w:rsidRPr="005D4453">
              <w:rPr>
                <w:rFonts w:cs="Arial"/>
                <w:color w:val="000000"/>
                <w:szCs w:val="20"/>
                <w:lang w:val="en-US"/>
              </w:rPr>
              <w:t>(1)</w:t>
            </w:r>
          </w:p>
        </w:tc>
      </w:tr>
      <w:tr w:rsidR="005D4453" w:rsidRPr="005D4453" w:rsidTr="005D4453">
        <w:trPr>
          <w:trHeight w:val="300"/>
        </w:trPr>
        <w:tc>
          <w:tcPr>
            <w:tcW w:w="360" w:type="pct"/>
            <w:vMerge/>
            <w:vAlign w:val="center"/>
            <w:hideMark/>
          </w:tcPr>
          <w:p w:rsidR="00B35ECC" w:rsidRPr="005D4453" w:rsidRDefault="00B35ECC" w:rsidP="005D4453">
            <w:pPr>
              <w:spacing w:before="60" w:after="60"/>
              <w:jc w:val="center"/>
              <w:rPr>
                <w:rFonts w:cs="Arial"/>
                <w:color w:val="000000"/>
                <w:szCs w:val="20"/>
                <w:lang w:val="en-US"/>
              </w:rPr>
            </w:pPr>
          </w:p>
        </w:tc>
        <w:tc>
          <w:tcPr>
            <w:tcW w:w="814" w:type="pct"/>
            <w:shd w:val="clear" w:color="auto" w:fill="auto"/>
            <w:noWrap/>
            <w:vAlign w:val="center"/>
            <w:hideMark/>
          </w:tcPr>
          <w:p w:rsidR="00B35ECC" w:rsidRPr="005D4453" w:rsidRDefault="006177FD" w:rsidP="005D4453">
            <w:pPr>
              <w:spacing w:before="60" w:after="60"/>
              <w:jc w:val="left"/>
              <w:rPr>
                <w:rFonts w:cs="Arial"/>
                <w:color w:val="000000"/>
                <w:szCs w:val="20"/>
                <w:lang w:val="en-US"/>
              </w:rPr>
            </w:pPr>
            <w:r w:rsidRPr="005D4453">
              <w:rPr>
                <w:rFonts w:cs="Arial"/>
                <w:color w:val="000000"/>
                <w:szCs w:val="20"/>
                <w:lang w:val="en-US"/>
              </w:rPr>
              <w:t>river cooba - lignum association</w:t>
            </w:r>
          </w:p>
        </w:tc>
        <w:tc>
          <w:tcPr>
            <w:tcW w:w="357"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28 (19)</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62 (59)</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73 (45)</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56 (67)</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58"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26 (39)</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28 (20)</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31 (49)</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73 (49)</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28 (68)</w:t>
            </w:r>
          </w:p>
        </w:tc>
        <w:tc>
          <w:tcPr>
            <w:tcW w:w="307"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5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13 (40)</w:t>
            </w:r>
          </w:p>
        </w:tc>
      </w:tr>
      <w:tr w:rsidR="005D4453" w:rsidRPr="005D4453" w:rsidTr="005D4453">
        <w:trPr>
          <w:trHeight w:val="300"/>
        </w:trPr>
        <w:tc>
          <w:tcPr>
            <w:tcW w:w="360" w:type="pct"/>
            <w:vMerge/>
            <w:vAlign w:val="center"/>
            <w:hideMark/>
          </w:tcPr>
          <w:p w:rsidR="00B35ECC" w:rsidRPr="005D4453" w:rsidRDefault="00B35ECC" w:rsidP="005D4453">
            <w:pPr>
              <w:spacing w:before="60" w:after="60"/>
              <w:jc w:val="center"/>
              <w:rPr>
                <w:rFonts w:cs="Arial"/>
                <w:color w:val="000000"/>
                <w:szCs w:val="20"/>
                <w:lang w:val="en-US"/>
              </w:rPr>
            </w:pPr>
          </w:p>
        </w:tc>
        <w:tc>
          <w:tcPr>
            <w:tcW w:w="814" w:type="pct"/>
            <w:shd w:val="clear" w:color="auto" w:fill="auto"/>
            <w:noWrap/>
            <w:vAlign w:val="center"/>
            <w:hideMark/>
          </w:tcPr>
          <w:p w:rsidR="00B35ECC" w:rsidRPr="005D4453" w:rsidRDefault="006177FD" w:rsidP="005D4453">
            <w:pPr>
              <w:spacing w:before="60" w:after="60"/>
              <w:jc w:val="left"/>
              <w:rPr>
                <w:rFonts w:cs="Arial"/>
                <w:color w:val="000000"/>
                <w:szCs w:val="20"/>
                <w:lang w:val="en-US"/>
              </w:rPr>
            </w:pPr>
            <w:r w:rsidRPr="005D4453">
              <w:rPr>
                <w:rFonts w:cs="Arial"/>
                <w:color w:val="000000"/>
                <w:szCs w:val="20"/>
                <w:lang w:val="en-US"/>
              </w:rPr>
              <w:t>water couch - spike-rush - tussock rush</w:t>
            </w:r>
          </w:p>
        </w:tc>
        <w:tc>
          <w:tcPr>
            <w:tcW w:w="357"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102 (68)</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30 (29)</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66 (41)</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21 (25)</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1 (1)</w:t>
            </w:r>
          </w:p>
        </w:tc>
        <w:tc>
          <w:tcPr>
            <w:tcW w:w="358"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19 (29)</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102 (73)</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15 (24)</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66 (44)</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10 (26)</w:t>
            </w:r>
          </w:p>
        </w:tc>
        <w:tc>
          <w:tcPr>
            <w:tcW w:w="307"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5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10 (29)</w:t>
            </w:r>
          </w:p>
        </w:tc>
      </w:tr>
      <w:tr w:rsidR="005D4453" w:rsidRPr="005D4453" w:rsidTr="005D4453">
        <w:trPr>
          <w:trHeight w:val="300"/>
        </w:trPr>
        <w:tc>
          <w:tcPr>
            <w:tcW w:w="360" w:type="pct"/>
            <w:vMerge/>
            <w:vAlign w:val="center"/>
            <w:hideMark/>
          </w:tcPr>
          <w:p w:rsidR="00B35ECC" w:rsidRPr="005D4453" w:rsidRDefault="00B35ECC" w:rsidP="005D4453">
            <w:pPr>
              <w:spacing w:before="60" w:after="60"/>
              <w:jc w:val="center"/>
              <w:rPr>
                <w:rFonts w:cs="Arial"/>
                <w:color w:val="000000"/>
                <w:szCs w:val="20"/>
                <w:lang w:val="en-US"/>
              </w:rPr>
            </w:pPr>
          </w:p>
        </w:tc>
        <w:tc>
          <w:tcPr>
            <w:tcW w:w="814" w:type="pct"/>
            <w:shd w:val="clear" w:color="auto" w:fill="auto"/>
            <w:noWrap/>
            <w:vAlign w:val="center"/>
            <w:hideMark/>
          </w:tcPr>
          <w:p w:rsidR="00B35ECC" w:rsidRPr="005D4453" w:rsidRDefault="006177FD" w:rsidP="005D4453">
            <w:pPr>
              <w:spacing w:before="60" w:after="60"/>
              <w:jc w:val="left"/>
              <w:rPr>
                <w:rFonts w:cs="Arial"/>
                <w:color w:val="000000"/>
                <w:szCs w:val="20"/>
                <w:lang w:val="en-US"/>
              </w:rPr>
            </w:pPr>
            <w:r w:rsidRPr="005D4453">
              <w:rPr>
                <w:rFonts w:cs="Arial"/>
                <w:color w:val="000000"/>
                <w:szCs w:val="20"/>
                <w:lang w:val="en-US"/>
              </w:rPr>
              <w:t>natural water body</w:t>
            </w:r>
          </w:p>
        </w:tc>
        <w:tc>
          <w:tcPr>
            <w:tcW w:w="357"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2 (2)</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42 (89)</w:t>
            </w:r>
          </w:p>
        </w:tc>
        <w:tc>
          <w:tcPr>
            <w:tcW w:w="358"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2 (1)</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12 (20)</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07"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212 (99)</w:t>
            </w:r>
          </w:p>
        </w:tc>
        <w:tc>
          <w:tcPr>
            <w:tcW w:w="35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r>
      <w:tr w:rsidR="005D4453" w:rsidRPr="005D4453" w:rsidTr="005D4453">
        <w:trPr>
          <w:trHeight w:val="300"/>
        </w:trPr>
        <w:tc>
          <w:tcPr>
            <w:tcW w:w="360" w:type="pct"/>
            <w:vMerge/>
            <w:vAlign w:val="center"/>
            <w:hideMark/>
          </w:tcPr>
          <w:p w:rsidR="00B35ECC" w:rsidRPr="005D4453" w:rsidRDefault="00B35ECC" w:rsidP="005D4453">
            <w:pPr>
              <w:spacing w:before="60" w:after="60"/>
              <w:jc w:val="center"/>
              <w:rPr>
                <w:rFonts w:cs="Arial"/>
                <w:color w:val="000000"/>
                <w:szCs w:val="20"/>
                <w:lang w:val="en-US"/>
              </w:rPr>
            </w:pPr>
          </w:p>
        </w:tc>
        <w:tc>
          <w:tcPr>
            <w:tcW w:w="814" w:type="pct"/>
            <w:shd w:val="clear" w:color="auto" w:fill="auto"/>
            <w:noWrap/>
            <w:vAlign w:val="center"/>
            <w:hideMark/>
          </w:tcPr>
          <w:p w:rsidR="00B35ECC" w:rsidRPr="005D4453" w:rsidRDefault="006177FD" w:rsidP="005D4453">
            <w:pPr>
              <w:spacing w:before="60" w:after="60"/>
              <w:jc w:val="left"/>
              <w:rPr>
                <w:rFonts w:cs="Arial"/>
                <w:color w:val="000000"/>
                <w:szCs w:val="20"/>
                <w:lang w:val="en-US"/>
              </w:rPr>
            </w:pPr>
            <w:r w:rsidRPr="005D4453">
              <w:rPr>
                <w:rFonts w:cs="Arial"/>
                <w:color w:val="000000"/>
                <w:szCs w:val="20"/>
                <w:lang w:val="en-US"/>
              </w:rPr>
              <w:t>cultivated land</w:t>
            </w:r>
          </w:p>
        </w:tc>
        <w:tc>
          <w:tcPr>
            <w:tcW w:w="357"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7 (5)</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58"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4 (3)</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07"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5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r>
      <w:tr w:rsidR="005D4453" w:rsidRPr="005D4453" w:rsidTr="005D4453">
        <w:trPr>
          <w:trHeight w:val="300"/>
        </w:trPr>
        <w:tc>
          <w:tcPr>
            <w:tcW w:w="360" w:type="pct"/>
            <w:vMerge/>
            <w:vAlign w:val="center"/>
            <w:hideMark/>
          </w:tcPr>
          <w:p w:rsidR="00B35ECC" w:rsidRPr="005D4453" w:rsidRDefault="00B35ECC" w:rsidP="005D4453">
            <w:pPr>
              <w:spacing w:before="60" w:after="60"/>
              <w:jc w:val="center"/>
              <w:rPr>
                <w:rFonts w:cs="Arial"/>
                <w:color w:val="000000"/>
                <w:szCs w:val="20"/>
                <w:lang w:val="en-US"/>
              </w:rPr>
            </w:pPr>
          </w:p>
        </w:tc>
        <w:tc>
          <w:tcPr>
            <w:tcW w:w="814" w:type="pct"/>
            <w:shd w:val="clear" w:color="auto" w:fill="auto"/>
            <w:noWrap/>
            <w:vAlign w:val="center"/>
            <w:hideMark/>
          </w:tcPr>
          <w:p w:rsidR="00B35ECC" w:rsidRPr="005D4453" w:rsidRDefault="006177FD" w:rsidP="005D4453">
            <w:pPr>
              <w:spacing w:before="60" w:after="60"/>
              <w:jc w:val="left"/>
              <w:rPr>
                <w:rFonts w:cs="Arial"/>
                <w:color w:val="000000"/>
                <w:szCs w:val="20"/>
                <w:lang w:val="en-US"/>
              </w:rPr>
            </w:pPr>
            <w:r w:rsidRPr="005D4453">
              <w:rPr>
                <w:rFonts w:cs="Arial"/>
                <w:color w:val="000000"/>
                <w:szCs w:val="20"/>
                <w:lang w:val="en-US"/>
              </w:rPr>
              <w:t>farm dam*</w:t>
            </w:r>
          </w:p>
        </w:tc>
        <w:tc>
          <w:tcPr>
            <w:tcW w:w="357"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2 (1)</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2 (2)</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3 (2)</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2 (2)</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2 (4)</w:t>
            </w:r>
          </w:p>
        </w:tc>
        <w:tc>
          <w:tcPr>
            <w:tcW w:w="358"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1 (1)</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0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07"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c>
          <w:tcPr>
            <w:tcW w:w="356" w:type="pct"/>
            <w:shd w:val="clear" w:color="auto" w:fill="auto"/>
            <w:noWrap/>
            <w:vAlign w:val="center"/>
            <w:hideMark/>
          </w:tcPr>
          <w:p w:rsidR="00B35ECC" w:rsidRPr="005D4453" w:rsidRDefault="00B35ECC" w:rsidP="005D4453">
            <w:pPr>
              <w:spacing w:before="60" w:after="60"/>
              <w:jc w:val="center"/>
              <w:rPr>
                <w:rFonts w:cs="Arial"/>
                <w:color w:val="000000"/>
                <w:szCs w:val="20"/>
                <w:lang w:val="en-US"/>
              </w:rPr>
            </w:pPr>
            <w:r w:rsidRPr="005D4453">
              <w:rPr>
                <w:rFonts w:cs="Arial"/>
                <w:color w:val="000000"/>
                <w:szCs w:val="20"/>
                <w:lang w:val="en-US"/>
              </w:rPr>
              <w:t>0 (0)</w:t>
            </w:r>
          </w:p>
        </w:tc>
      </w:tr>
      <w:tr w:rsidR="005D4453" w:rsidRPr="005D4453" w:rsidTr="005D4453">
        <w:trPr>
          <w:trHeight w:val="315"/>
        </w:trPr>
        <w:tc>
          <w:tcPr>
            <w:tcW w:w="360" w:type="pct"/>
            <w:vMerge/>
            <w:tcBorders>
              <w:bottom w:val="single" w:sz="4" w:space="0" w:color="auto"/>
            </w:tcBorders>
            <w:vAlign w:val="center"/>
            <w:hideMark/>
          </w:tcPr>
          <w:p w:rsidR="00B35ECC" w:rsidRPr="005D4453" w:rsidRDefault="00B35ECC" w:rsidP="005D4453">
            <w:pPr>
              <w:spacing w:before="60" w:after="60"/>
              <w:jc w:val="center"/>
              <w:rPr>
                <w:rFonts w:cs="Arial"/>
                <w:color w:val="000000"/>
                <w:szCs w:val="20"/>
                <w:lang w:val="en-US"/>
              </w:rPr>
            </w:pPr>
          </w:p>
        </w:tc>
        <w:tc>
          <w:tcPr>
            <w:tcW w:w="814" w:type="pct"/>
            <w:tcBorders>
              <w:bottom w:val="single" w:sz="4" w:space="0" w:color="auto"/>
            </w:tcBorders>
            <w:shd w:val="clear" w:color="auto" w:fill="auto"/>
            <w:noWrap/>
            <w:vAlign w:val="center"/>
            <w:hideMark/>
          </w:tcPr>
          <w:p w:rsidR="00B35ECC" w:rsidRPr="005D4453" w:rsidRDefault="00B35ECC" w:rsidP="005D4453">
            <w:pPr>
              <w:spacing w:before="60" w:after="60"/>
              <w:jc w:val="left"/>
              <w:rPr>
                <w:rFonts w:cs="Arial"/>
                <w:b/>
                <w:bCs/>
                <w:color w:val="000000"/>
                <w:szCs w:val="20"/>
                <w:lang w:val="en-US"/>
              </w:rPr>
            </w:pPr>
            <w:r w:rsidRPr="005D4453">
              <w:rPr>
                <w:rFonts w:cs="Arial"/>
                <w:b/>
                <w:bCs/>
                <w:color w:val="000000"/>
                <w:szCs w:val="20"/>
                <w:lang w:val="en-US"/>
              </w:rPr>
              <w:t>Total</w:t>
            </w:r>
          </w:p>
        </w:tc>
        <w:tc>
          <w:tcPr>
            <w:tcW w:w="357" w:type="pct"/>
            <w:tcBorders>
              <w:bottom w:val="single" w:sz="4" w:space="0" w:color="auto"/>
            </w:tcBorders>
            <w:shd w:val="clear" w:color="auto" w:fill="auto"/>
            <w:noWrap/>
            <w:vAlign w:val="center"/>
            <w:hideMark/>
          </w:tcPr>
          <w:p w:rsidR="00B35ECC" w:rsidRPr="005D4453" w:rsidRDefault="00B35ECC" w:rsidP="005D4453">
            <w:pPr>
              <w:spacing w:before="60" w:after="60"/>
              <w:jc w:val="center"/>
              <w:rPr>
                <w:rFonts w:cs="Arial"/>
                <w:b/>
                <w:bCs/>
                <w:color w:val="000000"/>
                <w:szCs w:val="20"/>
                <w:lang w:val="en-US"/>
              </w:rPr>
            </w:pPr>
            <w:r w:rsidRPr="005D4453">
              <w:rPr>
                <w:rFonts w:cs="Arial"/>
                <w:b/>
                <w:bCs/>
                <w:color w:val="000000"/>
                <w:szCs w:val="20"/>
                <w:lang w:val="en-US"/>
              </w:rPr>
              <w:t>149</w:t>
            </w:r>
          </w:p>
        </w:tc>
        <w:tc>
          <w:tcPr>
            <w:tcW w:w="306" w:type="pct"/>
            <w:tcBorders>
              <w:bottom w:val="single" w:sz="4" w:space="0" w:color="auto"/>
            </w:tcBorders>
            <w:shd w:val="clear" w:color="auto" w:fill="auto"/>
            <w:noWrap/>
            <w:vAlign w:val="center"/>
            <w:hideMark/>
          </w:tcPr>
          <w:p w:rsidR="00B35ECC" w:rsidRPr="005D4453" w:rsidRDefault="00B35ECC" w:rsidP="005D4453">
            <w:pPr>
              <w:spacing w:before="60" w:after="60"/>
              <w:jc w:val="center"/>
              <w:rPr>
                <w:rFonts w:cs="Arial"/>
                <w:b/>
                <w:bCs/>
                <w:color w:val="000000"/>
                <w:szCs w:val="20"/>
                <w:lang w:val="en-US"/>
              </w:rPr>
            </w:pPr>
            <w:r w:rsidRPr="005D4453">
              <w:rPr>
                <w:rFonts w:cs="Arial"/>
                <w:b/>
                <w:bCs/>
                <w:color w:val="000000"/>
                <w:szCs w:val="20"/>
                <w:lang w:val="en-US"/>
              </w:rPr>
              <w:t>106</w:t>
            </w:r>
          </w:p>
        </w:tc>
        <w:tc>
          <w:tcPr>
            <w:tcW w:w="306" w:type="pct"/>
            <w:tcBorders>
              <w:bottom w:val="single" w:sz="4" w:space="0" w:color="auto"/>
            </w:tcBorders>
            <w:shd w:val="clear" w:color="auto" w:fill="auto"/>
            <w:noWrap/>
            <w:vAlign w:val="center"/>
            <w:hideMark/>
          </w:tcPr>
          <w:p w:rsidR="00B35ECC" w:rsidRPr="005D4453" w:rsidRDefault="00B35ECC" w:rsidP="005D4453">
            <w:pPr>
              <w:spacing w:before="60" w:after="60"/>
              <w:jc w:val="center"/>
              <w:rPr>
                <w:rFonts w:cs="Arial"/>
                <w:b/>
                <w:bCs/>
                <w:color w:val="000000"/>
                <w:szCs w:val="20"/>
                <w:lang w:val="en-US"/>
              </w:rPr>
            </w:pPr>
            <w:r w:rsidRPr="005D4453">
              <w:rPr>
                <w:rFonts w:cs="Arial"/>
                <w:b/>
                <w:bCs/>
                <w:color w:val="000000"/>
                <w:szCs w:val="20"/>
                <w:lang w:val="en-US"/>
              </w:rPr>
              <w:t>162</w:t>
            </w:r>
          </w:p>
        </w:tc>
        <w:tc>
          <w:tcPr>
            <w:tcW w:w="306" w:type="pct"/>
            <w:tcBorders>
              <w:bottom w:val="single" w:sz="4" w:space="0" w:color="auto"/>
            </w:tcBorders>
            <w:shd w:val="clear" w:color="auto" w:fill="auto"/>
            <w:noWrap/>
            <w:vAlign w:val="center"/>
            <w:hideMark/>
          </w:tcPr>
          <w:p w:rsidR="00B35ECC" w:rsidRPr="005D4453" w:rsidRDefault="00B35ECC" w:rsidP="005D4453">
            <w:pPr>
              <w:spacing w:before="60" w:after="60"/>
              <w:jc w:val="center"/>
              <w:rPr>
                <w:rFonts w:cs="Arial"/>
                <w:b/>
                <w:bCs/>
                <w:color w:val="000000"/>
                <w:szCs w:val="20"/>
                <w:lang w:val="en-US"/>
              </w:rPr>
            </w:pPr>
            <w:r w:rsidRPr="005D4453">
              <w:rPr>
                <w:rFonts w:cs="Arial"/>
                <w:b/>
                <w:bCs/>
                <w:color w:val="000000"/>
                <w:szCs w:val="20"/>
                <w:lang w:val="en-US"/>
              </w:rPr>
              <w:t>84</w:t>
            </w:r>
          </w:p>
        </w:tc>
        <w:tc>
          <w:tcPr>
            <w:tcW w:w="306" w:type="pct"/>
            <w:tcBorders>
              <w:bottom w:val="single" w:sz="4" w:space="0" w:color="auto"/>
            </w:tcBorders>
            <w:shd w:val="clear" w:color="auto" w:fill="auto"/>
            <w:noWrap/>
            <w:vAlign w:val="center"/>
            <w:hideMark/>
          </w:tcPr>
          <w:p w:rsidR="00B35ECC" w:rsidRPr="005D4453" w:rsidRDefault="00B35ECC" w:rsidP="005D4453">
            <w:pPr>
              <w:spacing w:before="60" w:after="60"/>
              <w:jc w:val="center"/>
              <w:rPr>
                <w:rFonts w:cs="Arial"/>
                <w:b/>
                <w:bCs/>
                <w:color w:val="000000"/>
                <w:szCs w:val="20"/>
                <w:lang w:val="en-US"/>
              </w:rPr>
            </w:pPr>
            <w:r w:rsidRPr="005D4453">
              <w:rPr>
                <w:rFonts w:cs="Arial"/>
                <w:b/>
                <w:bCs/>
                <w:color w:val="000000"/>
                <w:szCs w:val="20"/>
                <w:lang w:val="en-US"/>
              </w:rPr>
              <w:t>48</w:t>
            </w:r>
          </w:p>
        </w:tc>
        <w:tc>
          <w:tcPr>
            <w:tcW w:w="358" w:type="pct"/>
            <w:tcBorders>
              <w:bottom w:val="single" w:sz="4" w:space="0" w:color="auto"/>
            </w:tcBorders>
            <w:shd w:val="clear" w:color="auto" w:fill="auto"/>
            <w:noWrap/>
            <w:vAlign w:val="center"/>
            <w:hideMark/>
          </w:tcPr>
          <w:p w:rsidR="00B35ECC" w:rsidRPr="005D4453" w:rsidRDefault="00B35ECC" w:rsidP="005D4453">
            <w:pPr>
              <w:spacing w:before="60" w:after="60"/>
              <w:jc w:val="center"/>
              <w:rPr>
                <w:rFonts w:cs="Arial"/>
                <w:b/>
                <w:bCs/>
                <w:color w:val="000000"/>
                <w:szCs w:val="20"/>
                <w:lang w:val="en-US"/>
              </w:rPr>
            </w:pPr>
            <w:r w:rsidRPr="005D4453">
              <w:rPr>
                <w:rFonts w:cs="Arial"/>
                <w:b/>
                <w:bCs/>
                <w:color w:val="000000"/>
                <w:szCs w:val="20"/>
                <w:lang w:val="en-US"/>
              </w:rPr>
              <w:t>67</w:t>
            </w:r>
          </w:p>
        </w:tc>
        <w:tc>
          <w:tcPr>
            <w:tcW w:w="306" w:type="pct"/>
            <w:tcBorders>
              <w:bottom w:val="single" w:sz="4" w:space="0" w:color="auto"/>
            </w:tcBorders>
            <w:shd w:val="clear" w:color="auto" w:fill="auto"/>
            <w:noWrap/>
            <w:vAlign w:val="center"/>
            <w:hideMark/>
          </w:tcPr>
          <w:p w:rsidR="00B35ECC" w:rsidRPr="005D4453" w:rsidRDefault="00B35ECC" w:rsidP="005D4453">
            <w:pPr>
              <w:spacing w:before="60" w:after="60"/>
              <w:jc w:val="center"/>
              <w:rPr>
                <w:rFonts w:cs="Arial"/>
                <w:b/>
                <w:bCs/>
                <w:color w:val="000000"/>
                <w:szCs w:val="20"/>
                <w:lang w:val="en-US"/>
              </w:rPr>
            </w:pPr>
            <w:r w:rsidRPr="005D4453">
              <w:rPr>
                <w:rFonts w:cs="Arial"/>
                <w:b/>
                <w:bCs/>
                <w:color w:val="000000"/>
                <w:szCs w:val="20"/>
                <w:lang w:val="en-US"/>
              </w:rPr>
              <w:t>140</w:t>
            </w:r>
          </w:p>
        </w:tc>
        <w:tc>
          <w:tcPr>
            <w:tcW w:w="306" w:type="pct"/>
            <w:tcBorders>
              <w:bottom w:val="single" w:sz="4" w:space="0" w:color="auto"/>
            </w:tcBorders>
            <w:shd w:val="clear" w:color="auto" w:fill="auto"/>
            <w:noWrap/>
            <w:vAlign w:val="center"/>
            <w:hideMark/>
          </w:tcPr>
          <w:p w:rsidR="00B35ECC" w:rsidRPr="005D4453" w:rsidRDefault="00B35ECC" w:rsidP="005D4453">
            <w:pPr>
              <w:spacing w:before="60" w:after="60"/>
              <w:jc w:val="center"/>
              <w:rPr>
                <w:rFonts w:cs="Arial"/>
                <w:b/>
                <w:bCs/>
                <w:color w:val="000000"/>
                <w:szCs w:val="20"/>
                <w:lang w:val="en-US"/>
              </w:rPr>
            </w:pPr>
            <w:r w:rsidRPr="005D4453">
              <w:rPr>
                <w:rFonts w:cs="Arial"/>
                <w:b/>
                <w:bCs/>
                <w:color w:val="000000"/>
                <w:szCs w:val="20"/>
                <w:lang w:val="en-US"/>
              </w:rPr>
              <w:t>63</w:t>
            </w:r>
          </w:p>
        </w:tc>
        <w:tc>
          <w:tcPr>
            <w:tcW w:w="306" w:type="pct"/>
            <w:tcBorders>
              <w:bottom w:val="single" w:sz="4" w:space="0" w:color="auto"/>
            </w:tcBorders>
            <w:shd w:val="clear" w:color="auto" w:fill="auto"/>
            <w:noWrap/>
            <w:vAlign w:val="center"/>
            <w:hideMark/>
          </w:tcPr>
          <w:p w:rsidR="00B35ECC" w:rsidRPr="005D4453" w:rsidRDefault="00B35ECC" w:rsidP="005D4453">
            <w:pPr>
              <w:spacing w:before="60" w:after="60"/>
              <w:jc w:val="center"/>
              <w:rPr>
                <w:rFonts w:cs="Arial"/>
                <w:b/>
                <w:bCs/>
                <w:color w:val="000000"/>
                <w:szCs w:val="20"/>
                <w:lang w:val="en-US"/>
              </w:rPr>
            </w:pPr>
            <w:r w:rsidRPr="005D4453">
              <w:rPr>
                <w:rFonts w:cs="Arial"/>
                <w:b/>
                <w:bCs/>
                <w:color w:val="000000"/>
                <w:szCs w:val="20"/>
                <w:lang w:val="en-US"/>
              </w:rPr>
              <w:t>149</w:t>
            </w:r>
          </w:p>
        </w:tc>
        <w:tc>
          <w:tcPr>
            <w:tcW w:w="306" w:type="pct"/>
            <w:tcBorders>
              <w:bottom w:val="single" w:sz="4" w:space="0" w:color="auto"/>
            </w:tcBorders>
            <w:shd w:val="clear" w:color="auto" w:fill="auto"/>
            <w:noWrap/>
            <w:vAlign w:val="center"/>
            <w:hideMark/>
          </w:tcPr>
          <w:p w:rsidR="00B35ECC" w:rsidRPr="005D4453" w:rsidRDefault="00B35ECC" w:rsidP="005D4453">
            <w:pPr>
              <w:spacing w:before="60" w:after="60"/>
              <w:jc w:val="center"/>
              <w:rPr>
                <w:rFonts w:cs="Arial"/>
                <w:b/>
                <w:bCs/>
                <w:color w:val="000000"/>
                <w:szCs w:val="20"/>
                <w:lang w:val="en-US"/>
              </w:rPr>
            </w:pPr>
            <w:r w:rsidRPr="005D4453">
              <w:rPr>
                <w:rFonts w:cs="Arial"/>
                <w:b/>
                <w:bCs/>
                <w:color w:val="000000"/>
                <w:szCs w:val="20"/>
                <w:lang w:val="en-US"/>
              </w:rPr>
              <w:t>41</w:t>
            </w:r>
          </w:p>
        </w:tc>
        <w:tc>
          <w:tcPr>
            <w:tcW w:w="307" w:type="pct"/>
            <w:tcBorders>
              <w:bottom w:val="single" w:sz="4" w:space="0" w:color="auto"/>
            </w:tcBorders>
            <w:shd w:val="clear" w:color="auto" w:fill="auto"/>
            <w:noWrap/>
            <w:vAlign w:val="center"/>
            <w:hideMark/>
          </w:tcPr>
          <w:p w:rsidR="00B35ECC" w:rsidRPr="005D4453" w:rsidRDefault="00B35ECC" w:rsidP="005D4453">
            <w:pPr>
              <w:spacing w:before="60" w:after="60"/>
              <w:jc w:val="center"/>
              <w:rPr>
                <w:rFonts w:cs="Arial"/>
                <w:b/>
                <w:bCs/>
                <w:color w:val="000000"/>
                <w:szCs w:val="20"/>
                <w:lang w:val="en-US"/>
              </w:rPr>
            </w:pPr>
            <w:r w:rsidRPr="005D4453">
              <w:rPr>
                <w:rFonts w:cs="Arial"/>
                <w:b/>
                <w:bCs/>
                <w:color w:val="000000"/>
                <w:szCs w:val="20"/>
                <w:lang w:val="en-US"/>
              </w:rPr>
              <w:t>213</w:t>
            </w:r>
          </w:p>
        </w:tc>
        <w:tc>
          <w:tcPr>
            <w:tcW w:w="356" w:type="pct"/>
            <w:tcBorders>
              <w:bottom w:val="single" w:sz="4" w:space="0" w:color="auto"/>
            </w:tcBorders>
            <w:shd w:val="clear" w:color="auto" w:fill="auto"/>
            <w:noWrap/>
            <w:vAlign w:val="center"/>
            <w:hideMark/>
          </w:tcPr>
          <w:p w:rsidR="00B35ECC" w:rsidRPr="005D4453" w:rsidRDefault="00B35ECC" w:rsidP="005D4453">
            <w:pPr>
              <w:spacing w:before="60" w:after="60"/>
              <w:jc w:val="center"/>
              <w:rPr>
                <w:rFonts w:cs="Arial"/>
                <w:b/>
                <w:bCs/>
                <w:color w:val="000000"/>
                <w:szCs w:val="20"/>
                <w:lang w:val="en-US"/>
              </w:rPr>
            </w:pPr>
            <w:r w:rsidRPr="005D4453">
              <w:rPr>
                <w:rFonts w:cs="Arial"/>
                <w:b/>
                <w:bCs/>
                <w:color w:val="000000"/>
                <w:szCs w:val="20"/>
                <w:lang w:val="en-US"/>
              </w:rPr>
              <w:t>33</w:t>
            </w:r>
          </w:p>
        </w:tc>
      </w:tr>
    </w:tbl>
    <w:p w:rsidR="00B35ECC" w:rsidRDefault="005D4453" w:rsidP="007A0923">
      <w:pPr>
        <w:pStyle w:val="Caption"/>
      </w:pPr>
      <w:bookmarkStart w:id="24" w:name="_Ref456347378"/>
      <w:r>
        <w:br w:type="page"/>
      </w:r>
      <w:bookmarkStart w:id="25" w:name="_Ref461543494"/>
      <w:r w:rsidR="00B35ECC">
        <w:t xml:space="preserve">Table </w:t>
      </w:r>
      <w:fldSimple w:instr=" STYLEREF 6 \s ">
        <w:r w:rsidR="005D5925">
          <w:rPr>
            <w:noProof/>
          </w:rPr>
          <w:t>B</w:t>
        </w:r>
      </w:fldSimple>
      <w:r>
        <w:noBreakHyphen/>
      </w:r>
      <w:fldSimple w:instr=" SEQ Table \* ARABIC \s 6 ">
        <w:r w:rsidR="005D5925">
          <w:rPr>
            <w:noProof/>
          </w:rPr>
          <w:t>5</w:t>
        </w:r>
      </w:fldSimple>
      <w:bookmarkEnd w:id="24"/>
      <w:bookmarkEnd w:id="25"/>
      <w:r w:rsidR="00B35ECC">
        <w:t xml:space="preserve"> </w:t>
      </w:r>
      <w:r w:rsidR="00B35ECC" w:rsidRPr="005147E5">
        <w:t>Wetland inundation extent and volumes, including percentage of total extent and volume, for different vegetation</w:t>
      </w:r>
      <w:r w:rsidR="00B35ECC">
        <w:t xml:space="preserve"> communities in the Gingham</w:t>
      </w:r>
      <w:r w:rsidR="00B35ECC" w:rsidRPr="005147E5">
        <w:t xml:space="preserve"> wetlands in 2015-16.</w:t>
      </w:r>
    </w:p>
    <w:tbl>
      <w:tblPr>
        <w:tblW w:w="5027"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07"/>
        <w:gridCol w:w="2298"/>
        <w:gridCol w:w="1005"/>
        <w:gridCol w:w="865"/>
        <w:gridCol w:w="861"/>
        <w:gridCol w:w="861"/>
        <w:gridCol w:w="861"/>
        <w:gridCol w:w="1009"/>
        <w:gridCol w:w="861"/>
        <w:gridCol w:w="861"/>
        <w:gridCol w:w="864"/>
        <w:gridCol w:w="861"/>
        <w:gridCol w:w="859"/>
        <w:gridCol w:w="1143"/>
      </w:tblGrid>
      <w:tr w:rsidR="00CC18AA" w:rsidRPr="005D4453" w:rsidTr="00CC18AA">
        <w:trPr>
          <w:trHeight w:val="300"/>
          <w:tblHeader/>
        </w:trPr>
        <w:tc>
          <w:tcPr>
            <w:tcW w:w="354" w:type="pct"/>
            <w:vMerge w:val="restart"/>
            <w:shd w:val="clear" w:color="auto" w:fill="D9D9D9"/>
            <w:noWrap/>
            <w:vAlign w:val="center"/>
            <w:hideMark/>
          </w:tcPr>
          <w:p w:rsidR="006177FD" w:rsidRPr="00CC18AA" w:rsidRDefault="006177FD" w:rsidP="00CC18AA">
            <w:pPr>
              <w:spacing w:before="60" w:after="60"/>
              <w:ind w:left="-108" w:right="-120"/>
              <w:jc w:val="center"/>
              <w:rPr>
                <w:rFonts w:cs="Arial"/>
                <w:bCs/>
                <w:color w:val="000000"/>
                <w:szCs w:val="20"/>
                <w:lang w:val="en-US"/>
              </w:rPr>
            </w:pPr>
            <w:r w:rsidRPr="00CC18AA">
              <w:rPr>
                <w:rFonts w:cs="Arial"/>
                <w:bCs/>
                <w:color w:val="000000"/>
                <w:szCs w:val="20"/>
                <w:lang w:val="en-US"/>
              </w:rPr>
              <w:t>Wetland</w:t>
            </w:r>
          </w:p>
        </w:tc>
        <w:tc>
          <w:tcPr>
            <w:tcW w:w="808" w:type="pct"/>
            <w:vMerge w:val="restart"/>
            <w:shd w:val="clear" w:color="auto" w:fill="D9D9D9"/>
            <w:noWrap/>
            <w:vAlign w:val="center"/>
            <w:hideMark/>
          </w:tcPr>
          <w:p w:rsidR="006177FD" w:rsidRPr="00CC18AA" w:rsidRDefault="006177FD" w:rsidP="00CC18AA">
            <w:pPr>
              <w:spacing w:before="60" w:after="60"/>
              <w:jc w:val="center"/>
              <w:rPr>
                <w:rFonts w:cs="Arial"/>
                <w:bCs/>
                <w:color w:val="000000"/>
                <w:szCs w:val="20"/>
                <w:lang w:val="en-US"/>
              </w:rPr>
            </w:pPr>
            <w:r w:rsidRPr="00CC18AA">
              <w:rPr>
                <w:rFonts w:cs="Arial"/>
                <w:bCs/>
                <w:color w:val="000000"/>
                <w:szCs w:val="20"/>
                <w:lang w:val="en-US"/>
              </w:rPr>
              <w:t>Vegetation community</w:t>
            </w:r>
          </w:p>
        </w:tc>
        <w:tc>
          <w:tcPr>
            <w:tcW w:w="1920" w:type="pct"/>
            <w:gridSpan w:val="6"/>
            <w:shd w:val="clear" w:color="auto" w:fill="D9D9D9"/>
            <w:noWrap/>
            <w:vAlign w:val="center"/>
            <w:hideMark/>
          </w:tcPr>
          <w:p w:rsidR="006177FD" w:rsidRPr="00CC18AA" w:rsidRDefault="006177FD" w:rsidP="00CC18AA">
            <w:pPr>
              <w:spacing w:before="60" w:after="60"/>
              <w:jc w:val="center"/>
              <w:rPr>
                <w:rFonts w:cs="Arial"/>
                <w:bCs/>
                <w:color w:val="000000"/>
                <w:szCs w:val="20"/>
                <w:lang w:val="en-US"/>
              </w:rPr>
            </w:pPr>
            <w:r w:rsidRPr="00CC18AA">
              <w:rPr>
                <w:rFonts w:cs="Arial"/>
                <w:bCs/>
                <w:color w:val="000000"/>
                <w:szCs w:val="20"/>
                <w:lang w:val="en-US"/>
              </w:rPr>
              <w:t>Area inundated - ha (%)</w:t>
            </w:r>
          </w:p>
        </w:tc>
        <w:tc>
          <w:tcPr>
            <w:tcW w:w="1918" w:type="pct"/>
            <w:gridSpan w:val="6"/>
            <w:shd w:val="clear" w:color="auto" w:fill="D9D9D9"/>
            <w:noWrap/>
            <w:vAlign w:val="center"/>
            <w:hideMark/>
          </w:tcPr>
          <w:p w:rsidR="006177FD" w:rsidRPr="00CC18AA" w:rsidRDefault="006177FD" w:rsidP="00CC18AA">
            <w:pPr>
              <w:spacing w:before="60" w:after="60"/>
              <w:jc w:val="center"/>
              <w:rPr>
                <w:rFonts w:cs="Arial"/>
                <w:bCs/>
                <w:color w:val="000000"/>
                <w:szCs w:val="20"/>
                <w:lang w:val="en-US"/>
              </w:rPr>
            </w:pPr>
            <w:r w:rsidRPr="00CC18AA">
              <w:rPr>
                <w:rFonts w:cs="Arial"/>
                <w:bCs/>
                <w:color w:val="000000"/>
                <w:szCs w:val="20"/>
                <w:lang w:val="en-US"/>
              </w:rPr>
              <w:t>Volume - ML (%)</w:t>
            </w:r>
          </w:p>
        </w:tc>
      </w:tr>
      <w:tr w:rsidR="00CC18AA" w:rsidRPr="005D4453" w:rsidTr="00CC18AA">
        <w:trPr>
          <w:trHeight w:val="315"/>
          <w:tblHeader/>
        </w:trPr>
        <w:tc>
          <w:tcPr>
            <w:tcW w:w="354" w:type="pct"/>
            <w:vMerge/>
            <w:shd w:val="clear" w:color="auto" w:fill="D9D9D9"/>
            <w:vAlign w:val="center"/>
            <w:hideMark/>
          </w:tcPr>
          <w:p w:rsidR="006177FD" w:rsidRPr="00CC18AA" w:rsidRDefault="006177FD" w:rsidP="00CC18AA">
            <w:pPr>
              <w:spacing w:before="60" w:after="60"/>
              <w:jc w:val="center"/>
              <w:rPr>
                <w:rFonts w:cs="Arial"/>
                <w:bCs/>
                <w:color w:val="000000"/>
                <w:szCs w:val="20"/>
                <w:lang w:val="en-US"/>
              </w:rPr>
            </w:pPr>
          </w:p>
        </w:tc>
        <w:tc>
          <w:tcPr>
            <w:tcW w:w="808" w:type="pct"/>
            <w:vMerge/>
            <w:shd w:val="clear" w:color="auto" w:fill="D9D9D9"/>
            <w:noWrap/>
            <w:vAlign w:val="center"/>
            <w:hideMark/>
          </w:tcPr>
          <w:p w:rsidR="006177FD" w:rsidRPr="00CC18AA" w:rsidRDefault="006177FD" w:rsidP="00CC18AA">
            <w:pPr>
              <w:spacing w:before="60" w:after="60"/>
              <w:jc w:val="center"/>
              <w:rPr>
                <w:rFonts w:cs="Arial"/>
                <w:b/>
                <w:bCs/>
                <w:color w:val="000000"/>
                <w:szCs w:val="20"/>
                <w:lang w:val="en-US"/>
              </w:rPr>
            </w:pPr>
          </w:p>
        </w:tc>
        <w:tc>
          <w:tcPr>
            <w:tcW w:w="353" w:type="pct"/>
            <w:shd w:val="clear" w:color="auto" w:fill="D9D9D9"/>
            <w:noWrap/>
            <w:vAlign w:val="center"/>
            <w:hideMark/>
          </w:tcPr>
          <w:p w:rsidR="006177FD" w:rsidRPr="00CC18AA" w:rsidRDefault="006177FD" w:rsidP="00CC18AA">
            <w:pPr>
              <w:spacing w:before="60" w:after="60"/>
              <w:jc w:val="center"/>
              <w:rPr>
                <w:rFonts w:cs="Arial"/>
                <w:bCs/>
                <w:color w:val="000000"/>
                <w:szCs w:val="20"/>
                <w:lang w:val="en-US"/>
              </w:rPr>
            </w:pPr>
            <w:r w:rsidRPr="00CC18AA">
              <w:rPr>
                <w:rFonts w:cs="Arial"/>
                <w:bCs/>
                <w:color w:val="000000"/>
                <w:szCs w:val="20"/>
                <w:lang w:val="en-US"/>
              </w:rPr>
              <w:t>Aug 15</w:t>
            </w:r>
          </w:p>
        </w:tc>
        <w:tc>
          <w:tcPr>
            <w:tcW w:w="304" w:type="pct"/>
            <w:shd w:val="clear" w:color="auto" w:fill="D9D9D9"/>
            <w:noWrap/>
            <w:vAlign w:val="center"/>
            <w:hideMark/>
          </w:tcPr>
          <w:p w:rsidR="006177FD" w:rsidRPr="00CC18AA" w:rsidRDefault="006177FD" w:rsidP="00CC18AA">
            <w:pPr>
              <w:spacing w:before="60" w:after="60"/>
              <w:jc w:val="center"/>
              <w:rPr>
                <w:rFonts w:cs="Arial"/>
                <w:bCs/>
                <w:color w:val="000000"/>
                <w:szCs w:val="20"/>
                <w:lang w:val="en-US"/>
              </w:rPr>
            </w:pPr>
            <w:r w:rsidRPr="00CC18AA">
              <w:rPr>
                <w:rFonts w:cs="Arial"/>
                <w:bCs/>
                <w:color w:val="000000"/>
                <w:szCs w:val="20"/>
                <w:lang w:val="en-US"/>
              </w:rPr>
              <w:t>Oct 15</w:t>
            </w:r>
          </w:p>
        </w:tc>
        <w:tc>
          <w:tcPr>
            <w:tcW w:w="303" w:type="pct"/>
            <w:shd w:val="clear" w:color="auto" w:fill="D9D9D9"/>
            <w:noWrap/>
            <w:vAlign w:val="center"/>
            <w:hideMark/>
          </w:tcPr>
          <w:p w:rsidR="006177FD" w:rsidRPr="00CC18AA" w:rsidRDefault="006177FD" w:rsidP="00CC18AA">
            <w:pPr>
              <w:spacing w:before="60" w:after="60"/>
              <w:jc w:val="center"/>
              <w:rPr>
                <w:rFonts w:cs="Arial"/>
                <w:bCs/>
                <w:color w:val="000000"/>
                <w:szCs w:val="20"/>
                <w:lang w:val="en-US"/>
              </w:rPr>
            </w:pPr>
            <w:r w:rsidRPr="00CC18AA">
              <w:rPr>
                <w:rFonts w:cs="Arial"/>
                <w:bCs/>
                <w:color w:val="000000"/>
                <w:szCs w:val="20"/>
                <w:lang w:val="en-US"/>
              </w:rPr>
              <w:t>Nov 15</w:t>
            </w:r>
          </w:p>
        </w:tc>
        <w:tc>
          <w:tcPr>
            <w:tcW w:w="303" w:type="pct"/>
            <w:shd w:val="clear" w:color="auto" w:fill="D9D9D9"/>
            <w:noWrap/>
            <w:vAlign w:val="center"/>
            <w:hideMark/>
          </w:tcPr>
          <w:p w:rsidR="006177FD" w:rsidRPr="00CC18AA" w:rsidRDefault="006177FD" w:rsidP="00CC18AA">
            <w:pPr>
              <w:spacing w:before="60" w:after="60"/>
              <w:jc w:val="center"/>
              <w:rPr>
                <w:rFonts w:cs="Arial"/>
                <w:bCs/>
                <w:color w:val="000000"/>
                <w:szCs w:val="20"/>
                <w:lang w:val="en-US"/>
              </w:rPr>
            </w:pPr>
            <w:r w:rsidRPr="00CC18AA">
              <w:rPr>
                <w:rFonts w:cs="Arial"/>
                <w:bCs/>
                <w:color w:val="000000"/>
                <w:szCs w:val="20"/>
                <w:lang w:val="en-US"/>
              </w:rPr>
              <w:t>Feb 16</w:t>
            </w:r>
          </w:p>
        </w:tc>
        <w:tc>
          <w:tcPr>
            <w:tcW w:w="303" w:type="pct"/>
            <w:shd w:val="clear" w:color="auto" w:fill="D9D9D9"/>
            <w:noWrap/>
            <w:vAlign w:val="center"/>
            <w:hideMark/>
          </w:tcPr>
          <w:p w:rsidR="006177FD" w:rsidRPr="00CC18AA" w:rsidRDefault="006177FD" w:rsidP="00CC18AA">
            <w:pPr>
              <w:spacing w:before="60" w:after="60"/>
              <w:jc w:val="center"/>
              <w:rPr>
                <w:rFonts w:cs="Arial"/>
                <w:bCs/>
                <w:color w:val="000000"/>
                <w:szCs w:val="20"/>
                <w:lang w:val="en-US"/>
              </w:rPr>
            </w:pPr>
            <w:r w:rsidRPr="00CC18AA">
              <w:rPr>
                <w:rFonts w:cs="Arial"/>
                <w:bCs/>
                <w:color w:val="000000"/>
                <w:szCs w:val="20"/>
                <w:lang w:val="en-US"/>
              </w:rPr>
              <w:t>Apr 16</w:t>
            </w:r>
          </w:p>
        </w:tc>
        <w:tc>
          <w:tcPr>
            <w:tcW w:w="355" w:type="pct"/>
            <w:shd w:val="clear" w:color="auto" w:fill="D9D9D9"/>
            <w:noWrap/>
            <w:vAlign w:val="center"/>
            <w:hideMark/>
          </w:tcPr>
          <w:p w:rsidR="006177FD" w:rsidRPr="00CC18AA" w:rsidRDefault="006177FD" w:rsidP="00CC18AA">
            <w:pPr>
              <w:spacing w:before="60" w:after="60"/>
              <w:jc w:val="center"/>
              <w:rPr>
                <w:rFonts w:cs="Arial"/>
                <w:bCs/>
                <w:color w:val="000000"/>
                <w:szCs w:val="20"/>
                <w:lang w:val="en-US"/>
              </w:rPr>
            </w:pPr>
            <w:r w:rsidRPr="00CC18AA">
              <w:rPr>
                <w:rFonts w:cs="Arial"/>
                <w:bCs/>
                <w:color w:val="000000"/>
                <w:szCs w:val="20"/>
                <w:lang w:val="en-US"/>
              </w:rPr>
              <w:t>May 16</w:t>
            </w:r>
          </w:p>
        </w:tc>
        <w:tc>
          <w:tcPr>
            <w:tcW w:w="303" w:type="pct"/>
            <w:shd w:val="clear" w:color="auto" w:fill="D9D9D9"/>
            <w:noWrap/>
            <w:vAlign w:val="center"/>
            <w:hideMark/>
          </w:tcPr>
          <w:p w:rsidR="006177FD" w:rsidRPr="00CC18AA" w:rsidRDefault="006177FD" w:rsidP="00CC18AA">
            <w:pPr>
              <w:spacing w:before="60" w:after="60"/>
              <w:jc w:val="center"/>
              <w:rPr>
                <w:rFonts w:cs="Arial"/>
                <w:bCs/>
                <w:color w:val="000000"/>
                <w:szCs w:val="20"/>
                <w:lang w:val="en-US"/>
              </w:rPr>
            </w:pPr>
            <w:r w:rsidRPr="00CC18AA">
              <w:rPr>
                <w:rFonts w:cs="Arial"/>
                <w:bCs/>
                <w:color w:val="000000"/>
                <w:szCs w:val="20"/>
                <w:lang w:val="en-US"/>
              </w:rPr>
              <w:t>Aug 15</w:t>
            </w:r>
          </w:p>
        </w:tc>
        <w:tc>
          <w:tcPr>
            <w:tcW w:w="303" w:type="pct"/>
            <w:shd w:val="clear" w:color="auto" w:fill="D9D9D9"/>
            <w:noWrap/>
            <w:vAlign w:val="center"/>
            <w:hideMark/>
          </w:tcPr>
          <w:p w:rsidR="006177FD" w:rsidRPr="00CC18AA" w:rsidRDefault="006177FD" w:rsidP="00CC18AA">
            <w:pPr>
              <w:spacing w:before="60" w:after="60"/>
              <w:jc w:val="center"/>
              <w:rPr>
                <w:rFonts w:cs="Arial"/>
                <w:bCs/>
                <w:color w:val="000000"/>
                <w:szCs w:val="20"/>
                <w:lang w:val="en-US"/>
              </w:rPr>
            </w:pPr>
            <w:r w:rsidRPr="00CC18AA">
              <w:rPr>
                <w:rFonts w:cs="Arial"/>
                <w:bCs/>
                <w:color w:val="000000"/>
                <w:szCs w:val="20"/>
                <w:lang w:val="en-US"/>
              </w:rPr>
              <w:t>Oct 15</w:t>
            </w:r>
          </w:p>
        </w:tc>
        <w:tc>
          <w:tcPr>
            <w:tcW w:w="304" w:type="pct"/>
            <w:shd w:val="clear" w:color="auto" w:fill="D9D9D9"/>
            <w:noWrap/>
            <w:vAlign w:val="center"/>
            <w:hideMark/>
          </w:tcPr>
          <w:p w:rsidR="006177FD" w:rsidRPr="00CC18AA" w:rsidRDefault="006177FD" w:rsidP="00CC18AA">
            <w:pPr>
              <w:spacing w:before="60" w:after="60"/>
              <w:jc w:val="center"/>
              <w:rPr>
                <w:rFonts w:cs="Arial"/>
                <w:bCs/>
                <w:color w:val="000000"/>
                <w:szCs w:val="20"/>
                <w:lang w:val="en-US"/>
              </w:rPr>
            </w:pPr>
            <w:r w:rsidRPr="00CC18AA">
              <w:rPr>
                <w:rFonts w:cs="Arial"/>
                <w:bCs/>
                <w:color w:val="000000"/>
                <w:szCs w:val="20"/>
                <w:lang w:val="en-US"/>
              </w:rPr>
              <w:t>Nov 15</w:t>
            </w:r>
          </w:p>
        </w:tc>
        <w:tc>
          <w:tcPr>
            <w:tcW w:w="303" w:type="pct"/>
            <w:shd w:val="clear" w:color="auto" w:fill="D9D9D9"/>
            <w:noWrap/>
            <w:vAlign w:val="center"/>
            <w:hideMark/>
          </w:tcPr>
          <w:p w:rsidR="006177FD" w:rsidRPr="00CC18AA" w:rsidRDefault="006177FD" w:rsidP="00CC18AA">
            <w:pPr>
              <w:spacing w:before="60" w:after="60"/>
              <w:jc w:val="center"/>
              <w:rPr>
                <w:rFonts w:cs="Arial"/>
                <w:bCs/>
                <w:color w:val="000000"/>
                <w:szCs w:val="20"/>
                <w:lang w:val="en-US"/>
              </w:rPr>
            </w:pPr>
            <w:r w:rsidRPr="00CC18AA">
              <w:rPr>
                <w:rFonts w:cs="Arial"/>
                <w:bCs/>
                <w:color w:val="000000"/>
                <w:szCs w:val="20"/>
                <w:lang w:val="en-US"/>
              </w:rPr>
              <w:t>Feb 16</w:t>
            </w:r>
          </w:p>
        </w:tc>
        <w:tc>
          <w:tcPr>
            <w:tcW w:w="302" w:type="pct"/>
            <w:shd w:val="clear" w:color="auto" w:fill="D9D9D9"/>
            <w:noWrap/>
            <w:vAlign w:val="center"/>
            <w:hideMark/>
          </w:tcPr>
          <w:p w:rsidR="006177FD" w:rsidRPr="00CC18AA" w:rsidRDefault="006177FD" w:rsidP="00CC18AA">
            <w:pPr>
              <w:spacing w:before="60" w:after="60"/>
              <w:jc w:val="center"/>
              <w:rPr>
                <w:rFonts w:cs="Arial"/>
                <w:bCs/>
                <w:color w:val="000000"/>
                <w:szCs w:val="20"/>
                <w:lang w:val="en-US"/>
              </w:rPr>
            </w:pPr>
            <w:r w:rsidRPr="00CC18AA">
              <w:rPr>
                <w:rFonts w:cs="Arial"/>
                <w:bCs/>
                <w:color w:val="000000"/>
                <w:szCs w:val="20"/>
                <w:lang w:val="en-US"/>
              </w:rPr>
              <w:t>Apr 16</w:t>
            </w:r>
          </w:p>
        </w:tc>
        <w:tc>
          <w:tcPr>
            <w:tcW w:w="404" w:type="pct"/>
            <w:shd w:val="clear" w:color="auto" w:fill="D9D9D9"/>
            <w:noWrap/>
            <w:vAlign w:val="center"/>
            <w:hideMark/>
          </w:tcPr>
          <w:p w:rsidR="006177FD" w:rsidRPr="00CC18AA" w:rsidRDefault="006177FD" w:rsidP="00CC18AA">
            <w:pPr>
              <w:spacing w:before="60" w:after="60"/>
              <w:jc w:val="center"/>
              <w:rPr>
                <w:rFonts w:cs="Arial"/>
                <w:bCs/>
                <w:color w:val="000000"/>
                <w:szCs w:val="20"/>
                <w:lang w:val="en-US"/>
              </w:rPr>
            </w:pPr>
            <w:r w:rsidRPr="00CC18AA">
              <w:rPr>
                <w:rFonts w:cs="Arial"/>
                <w:bCs/>
                <w:color w:val="000000"/>
                <w:szCs w:val="20"/>
                <w:lang w:val="en-US"/>
              </w:rPr>
              <w:t>May 16</w:t>
            </w:r>
          </w:p>
        </w:tc>
      </w:tr>
      <w:tr w:rsidR="00CC18AA" w:rsidRPr="005D4453" w:rsidTr="00CC18AA">
        <w:trPr>
          <w:trHeight w:val="300"/>
        </w:trPr>
        <w:tc>
          <w:tcPr>
            <w:tcW w:w="354" w:type="pct"/>
            <w:vMerge w:val="restart"/>
            <w:shd w:val="clear" w:color="auto" w:fill="auto"/>
            <w:noWrap/>
            <w:textDirection w:val="btLr"/>
            <w:vAlign w:val="center"/>
            <w:hideMark/>
          </w:tcPr>
          <w:p w:rsidR="00B35ECC" w:rsidRPr="00CC18AA" w:rsidRDefault="00B35ECC" w:rsidP="00CC18AA">
            <w:pPr>
              <w:spacing w:before="60" w:after="60"/>
              <w:ind w:left="113" w:right="113"/>
              <w:jc w:val="center"/>
              <w:rPr>
                <w:rFonts w:cs="Arial"/>
                <w:bCs/>
                <w:color w:val="000000"/>
                <w:szCs w:val="20"/>
                <w:lang w:val="en-US"/>
              </w:rPr>
            </w:pPr>
            <w:r w:rsidRPr="00CC18AA">
              <w:rPr>
                <w:rFonts w:cs="Arial"/>
                <w:bCs/>
                <w:color w:val="000000"/>
                <w:szCs w:val="20"/>
                <w:lang w:val="en-US"/>
              </w:rPr>
              <w:t>Gingham</w:t>
            </w:r>
          </w:p>
        </w:tc>
        <w:tc>
          <w:tcPr>
            <w:tcW w:w="808" w:type="pct"/>
            <w:shd w:val="clear" w:color="auto" w:fill="auto"/>
            <w:noWrap/>
            <w:vAlign w:val="center"/>
            <w:hideMark/>
          </w:tcPr>
          <w:p w:rsidR="00B35ECC" w:rsidRPr="00CC18AA" w:rsidRDefault="006177FD" w:rsidP="00CC18AA">
            <w:pPr>
              <w:spacing w:before="60" w:after="60"/>
              <w:jc w:val="left"/>
              <w:rPr>
                <w:rFonts w:cs="Arial"/>
                <w:color w:val="000000"/>
                <w:szCs w:val="20"/>
                <w:lang w:val="en-US"/>
              </w:rPr>
            </w:pPr>
            <w:r w:rsidRPr="00CC18AA">
              <w:rPr>
                <w:rFonts w:cs="Arial"/>
                <w:color w:val="000000"/>
                <w:szCs w:val="20"/>
                <w:lang w:val="en-US"/>
              </w:rPr>
              <w:t>baradine red gum shrubby open forest</w:t>
            </w:r>
          </w:p>
        </w:tc>
        <w:tc>
          <w:tcPr>
            <w:tcW w:w="35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2 (0)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2 (1)</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8 (16)</w:t>
            </w:r>
          </w:p>
        </w:tc>
        <w:tc>
          <w:tcPr>
            <w:tcW w:w="355"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4 (7)</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 (0)</w:t>
            </w:r>
          </w:p>
        </w:tc>
        <w:tc>
          <w:tcPr>
            <w:tcW w:w="3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 (0)</w:t>
            </w:r>
          </w:p>
        </w:tc>
        <w:tc>
          <w:tcPr>
            <w:tcW w:w="302"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4 (11)</w:t>
            </w:r>
          </w:p>
        </w:tc>
        <w:tc>
          <w:tcPr>
            <w:tcW w:w="4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2 (2)</w:t>
            </w:r>
          </w:p>
        </w:tc>
      </w:tr>
      <w:tr w:rsidR="00CC18AA" w:rsidRPr="005D4453" w:rsidTr="00CC18AA">
        <w:trPr>
          <w:trHeight w:val="300"/>
        </w:trPr>
        <w:tc>
          <w:tcPr>
            <w:tcW w:w="354" w:type="pct"/>
            <w:vMerge/>
            <w:shd w:val="clear" w:color="auto" w:fill="auto"/>
            <w:vAlign w:val="center"/>
            <w:hideMark/>
          </w:tcPr>
          <w:p w:rsidR="00B35ECC" w:rsidRPr="00CC18AA" w:rsidRDefault="00B35ECC" w:rsidP="00CC18AA">
            <w:pPr>
              <w:spacing w:before="60" w:after="60"/>
              <w:jc w:val="center"/>
              <w:rPr>
                <w:rFonts w:cs="Arial"/>
                <w:bCs/>
                <w:color w:val="000000"/>
                <w:szCs w:val="20"/>
                <w:lang w:val="en-US"/>
              </w:rPr>
            </w:pPr>
          </w:p>
        </w:tc>
        <w:tc>
          <w:tcPr>
            <w:tcW w:w="808" w:type="pct"/>
            <w:shd w:val="clear" w:color="auto" w:fill="auto"/>
            <w:noWrap/>
            <w:vAlign w:val="center"/>
            <w:hideMark/>
          </w:tcPr>
          <w:p w:rsidR="00B35ECC" w:rsidRPr="00CC18AA" w:rsidRDefault="006177FD" w:rsidP="00CC18AA">
            <w:pPr>
              <w:spacing w:before="60" w:after="60"/>
              <w:jc w:val="left"/>
              <w:rPr>
                <w:rFonts w:cs="Arial"/>
                <w:color w:val="000000"/>
                <w:szCs w:val="20"/>
                <w:lang w:val="en-US"/>
              </w:rPr>
            </w:pPr>
            <w:r w:rsidRPr="00CC18AA">
              <w:rPr>
                <w:rFonts w:cs="Arial"/>
                <w:color w:val="000000"/>
                <w:szCs w:val="20"/>
                <w:lang w:val="en-US"/>
              </w:rPr>
              <w:t>belah grassy woodland</w:t>
            </w:r>
          </w:p>
        </w:tc>
        <w:tc>
          <w:tcPr>
            <w:tcW w:w="35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9 (2)</w:t>
            </w:r>
          </w:p>
        </w:tc>
        <w:tc>
          <w:tcPr>
            <w:tcW w:w="3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10 (2)</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 (0</w:t>
            </w:r>
            <w:r w:rsidR="00DC40CE" w:rsidRPr="00CC18AA">
              <w:rPr>
                <w:rFonts w:cs="Arial"/>
                <w:color w:val="000000"/>
                <w:szCs w:val="20"/>
                <w:lang w:val="en-US"/>
              </w:rPr>
              <w:t>.23</w:t>
            </w:r>
            <w:r w:rsidRPr="00CC18AA">
              <w:rPr>
                <w:rFonts w:cs="Arial"/>
                <w:color w:val="000000"/>
                <w:szCs w:val="20"/>
                <w:lang w:val="en-US"/>
              </w:rPr>
              <w:t>)</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2 (1)</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5 (10)</w:t>
            </w:r>
          </w:p>
        </w:tc>
        <w:tc>
          <w:tcPr>
            <w:tcW w:w="355"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 (2)</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5 (1)</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5 (1)</w:t>
            </w:r>
          </w:p>
        </w:tc>
        <w:tc>
          <w:tcPr>
            <w:tcW w:w="3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 (0)</w:t>
            </w:r>
          </w:p>
        </w:tc>
        <w:tc>
          <w:tcPr>
            <w:tcW w:w="302"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3 (7)</w:t>
            </w:r>
          </w:p>
        </w:tc>
        <w:tc>
          <w:tcPr>
            <w:tcW w:w="4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 (1)</w:t>
            </w:r>
          </w:p>
        </w:tc>
      </w:tr>
      <w:tr w:rsidR="00CC18AA" w:rsidRPr="005D4453" w:rsidTr="00CC18AA">
        <w:trPr>
          <w:trHeight w:val="300"/>
        </w:trPr>
        <w:tc>
          <w:tcPr>
            <w:tcW w:w="354" w:type="pct"/>
            <w:vMerge/>
            <w:shd w:val="clear" w:color="auto" w:fill="auto"/>
            <w:vAlign w:val="center"/>
            <w:hideMark/>
          </w:tcPr>
          <w:p w:rsidR="00B35ECC" w:rsidRPr="00CC18AA" w:rsidRDefault="00B35ECC" w:rsidP="00CC18AA">
            <w:pPr>
              <w:spacing w:before="60" w:after="60"/>
              <w:jc w:val="center"/>
              <w:rPr>
                <w:rFonts w:cs="Arial"/>
                <w:bCs/>
                <w:color w:val="000000"/>
                <w:szCs w:val="20"/>
                <w:lang w:val="en-US"/>
              </w:rPr>
            </w:pPr>
          </w:p>
        </w:tc>
        <w:tc>
          <w:tcPr>
            <w:tcW w:w="808" w:type="pct"/>
            <w:shd w:val="clear" w:color="auto" w:fill="auto"/>
            <w:noWrap/>
            <w:vAlign w:val="center"/>
            <w:hideMark/>
          </w:tcPr>
          <w:p w:rsidR="00B35ECC" w:rsidRPr="00CC18AA" w:rsidRDefault="006177FD" w:rsidP="00CC18AA">
            <w:pPr>
              <w:spacing w:before="60" w:after="60"/>
              <w:jc w:val="left"/>
              <w:rPr>
                <w:rFonts w:cs="Arial"/>
                <w:color w:val="000000"/>
                <w:szCs w:val="20"/>
                <w:lang w:val="en-US"/>
              </w:rPr>
            </w:pPr>
            <w:r w:rsidRPr="00CC18AA">
              <w:rPr>
                <w:rFonts w:cs="Arial"/>
                <w:color w:val="000000"/>
                <w:szCs w:val="20"/>
                <w:lang w:val="en-US"/>
              </w:rPr>
              <w:t>carbeen grassy woodland</w:t>
            </w:r>
          </w:p>
        </w:tc>
        <w:tc>
          <w:tcPr>
            <w:tcW w:w="35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55"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2"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4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r>
      <w:tr w:rsidR="00CC18AA" w:rsidRPr="005D4453" w:rsidTr="00CC18AA">
        <w:trPr>
          <w:trHeight w:val="245"/>
        </w:trPr>
        <w:tc>
          <w:tcPr>
            <w:tcW w:w="354" w:type="pct"/>
            <w:vMerge/>
            <w:shd w:val="clear" w:color="auto" w:fill="auto"/>
            <w:vAlign w:val="center"/>
            <w:hideMark/>
          </w:tcPr>
          <w:p w:rsidR="00B35ECC" w:rsidRPr="00CC18AA" w:rsidRDefault="00B35ECC" w:rsidP="00CC18AA">
            <w:pPr>
              <w:spacing w:before="60" w:after="60"/>
              <w:jc w:val="center"/>
              <w:rPr>
                <w:rFonts w:cs="Arial"/>
                <w:bCs/>
                <w:color w:val="000000"/>
                <w:szCs w:val="20"/>
                <w:lang w:val="en-US"/>
              </w:rPr>
            </w:pPr>
          </w:p>
        </w:tc>
        <w:tc>
          <w:tcPr>
            <w:tcW w:w="808" w:type="pct"/>
            <w:shd w:val="clear" w:color="auto" w:fill="auto"/>
            <w:noWrap/>
            <w:vAlign w:val="center"/>
            <w:hideMark/>
          </w:tcPr>
          <w:p w:rsidR="00B35ECC" w:rsidRPr="00CC18AA" w:rsidRDefault="006177FD" w:rsidP="00CC18AA">
            <w:pPr>
              <w:spacing w:before="60" w:after="60"/>
              <w:jc w:val="left"/>
              <w:rPr>
                <w:rFonts w:cs="Arial"/>
                <w:color w:val="000000"/>
                <w:szCs w:val="20"/>
                <w:lang w:val="en-US"/>
              </w:rPr>
            </w:pPr>
            <w:r w:rsidRPr="00CC18AA">
              <w:rPr>
                <w:rFonts w:cs="Arial"/>
                <w:color w:val="000000"/>
                <w:szCs w:val="20"/>
                <w:lang w:val="en-US"/>
              </w:rPr>
              <w:t>coolibah - river cooba grassy woodland</w:t>
            </w:r>
          </w:p>
        </w:tc>
        <w:tc>
          <w:tcPr>
            <w:tcW w:w="35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45 (8)</w:t>
            </w:r>
          </w:p>
        </w:tc>
        <w:tc>
          <w:tcPr>
            <w:tcW w:w="3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16 (3)</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 (1)</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13 (7)</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9 (17)</w:t>
            </w:r>
          </w:p>
        </w:tc>
        <w:tc>
          <w:tcPr>
            <w:tcW w:w="355"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6 (11)</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22 (6)</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8 (2)</w:t>
            </w:r>
          </w:p>
        </w:tc>
        <w:tc>
          <w:tcPr>
            <w:tcW w:w="3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 (0</w:t>
            </w:r>
            <w:r w:rsidR="00DC40CE" w:rsidRPr="00CC18AA">
              <w:rPr>
                <w:rFonts w:cs="Arial"/>
                <w:color w:val="000000"/>
                <w:szCs w:val="20"/>
                <w:lang w:val="en-US"/>
              </w:rPr>
              <w:t>.18</w:t>
            </w:r>
            <w:r w:rsidRPr="00CC18AA">
              <w:rPr>
                <w:rFonts w:cs="Arial"/>
                <w:color w:val="000000"/>
                <w:szCs w:val="20"/>
                <w:lang w:val="en-US"/>
              </w:rPr>
              <w:t>)</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7 (3)</w:t>
            </w:r>
          </w:p>
        </w:tc>
        <w:tc>
          <w:tcPr>
            <w:tcW w:w="302"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4 (12)</w:t>
            </w:r>
          </w:p>
        </w:tc>
        <w:tc>
          <w:tcPr>
            <w:tcW w:w="4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3 (3)</w:t>
            </w:r>
          </w:p>
        </w:tc>
      </w:tr>
      <w:tr w:rsidR="00CC18AA" w:rsidRPr="005D4453" w:rsidTr="00CC18AA">
        <w:trPr>
          <w:trHeight w:val="300"/>
        </w:trPr>
        <w:tc>
          <w:tcPr>
            <w:tcW w:w="354" w:type="pct"/>
            <w:vMerge/>
            <w:shd w:val="clear" w:color="auto" w:fill="auto"/>
            <w:vAlign w:val="center"/>
            <w:hideMark/>
          </w:tcPr>
          <w:p w:rsidR="00B35ECC" w:rsidRPr="00CC18AA" w:rsidRDefault="00B35ECC" w:rsidP="00CC18AA">
            <w:pPr>
              <w:spacing w:before="60" w:after="60"/>
              <w:jc w:val="center"/>
              <w:rPr>
                <w:rFonts w:cs="Arial"/>
                <w:bCs/>
                <w:color w:val="000000"/>
                <w:szCs w:val="20"/>
                <w:lang w:val="en-US"/>
              </w:rPr>
            </w:pPr>
          </w:p>
        </w:tc>
        <w:tc>
          <w:tcPr>
            <w:tcW w:w="808" w:type="pct"/>
            <w:shd w:val="clear" w:color="auto" w:fill="auto"/>
            <w:noWrap/>
            <w:vAlign w:val="center"/>
            <w:hideMark/>
          </w:tcPr>
          <w:p w:rsidR="00B35ECC" w:rsidRPr="00CC18AA" w:rsidRDefault="006177FD" w:rsidP="00CC18AA">
            <w:pPr>
              <w:spacing w:before="60" w:after="60"/>
              <w:jc w:val="left"/>
              <w:rPr>
                <w:rFonts w:cs="Arial"/>
                <w:color w:val="000000"/>
                <w:szCs w:val="20"/>
                <w:lang w:val="en-US"/>
              </w:rPr>
            </w:pPr>
            <w:r w:rsidRPr="00CC18AA">
              <w:rPr>
                <w:rFonts w:cs="Arial"/>
                <w:color w:val="000000"/>
                <w:szCs w:val="20"/>
                <w:lang w:val="en-US"/>
              </w:rPr>
              <w:t>cumbungi swamp rushland</w:t>
            </w:r>
          </w:p>
        </w:tc>
        <w:tc>
          <w:tcPr>
            <w:tcW w:w="35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18 (3)</w:t>
            </w:r>
          </w:p>
        </w:tc>
        <w:tc>
          <w:tcPr>
            <w:tcW w:w="3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46 (8)</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119 (48)</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31 (16)</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12 (22)</w:t>
            </w:r>
          </w:p>
        </w:tc>
        <w:tc>
          <w:tcPr>
            <w:tcW w:w="355"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22 (36)</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35 (10)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92 (22)</w:t>
            </w:r>
          </w:p>
        </w:tc>
        <w:tc>
          <w:tcPr>
            <w:tcW w:w="3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238 (69)</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76 (29)</w:t>
            </w:r>
          </w:p>
        </w:tc>
        <w:tc>
          <w:tcPr>
            <w:tcW w:w="302"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6 (15)</w:t>
            </w:r>
          </w:p>
        </w:tc>
        <w:tc>
          <w:tcPr>
            <w:tcW w:w="4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43 (47)</w:t>
            </w:r>
          </w:p>
        </w:tc>
      </w:tr>
      <w:tr w:rsidR="00CC18AA" w:rsidRPr="005D4453" w:rsidTr="00CC18AA">
        <w:trPr>
          <w:trHeight w:val="300"/>
        </w:trPr>
        <w:tc>
          <w:tcPr>
            <w:tcW w:w="354" w:type="pct"/>
            <w:vMerge/>
            <w:shd w:val="clear" w:color="auto" w:fill="auto"/>
            <w:vAlign w:val="center"/>
            <w:hideMark/>
          </w:tcPr>
          <w:p w:rsidR="00B35ECC" w:rsidRPr="00CC18AA" w:rsidRDefault="00B35ECC" w:rsidP="00CC18AA">
            <w:pPr>
              <w:spacing w:before="60" w:after="60"/>
              <w:jc w:val="center"/>
              <w:rPr>
                <w:rFonts w:cs="Arial"/>
                <w:bCs/>
                <w:color w:val="000000"/>
                <w:szCs w:val="20"/>
                <w:lang w:val="en-US"/>
              </w:rPr>
            </w:pPr>
          </w:p>
        </w:tc>
        <w:tc>
          <w:tcPr>
            <w:tcW w:w="808" w:type="pct"/>
            <w:shd w:val="clear" w:color="auto" w:fill="auto"/>
            <w:noWrap/>
            <w:vAlign w:val="center"/>
            <w:hideMark/>
          </w:tcPr>
          <w:p w:rsidR="00B35ECC" w:rsidRPr="00CC18AA" w:rsidRDefault="006177FD" w:rsidP="00CC18AA">
            <w:pPr>
              <w:spacing w:before="60" w:after="60"/>
              <w:jc w:val="left"/>
              <w:rPr>
                <w:rFonts w:cs="Arial"/>
                <w:color w:val="000000"/>
                <w:szCs w:val="20"/>
                <w:lang w:val="en-US"/>
              </w:rPr>
            </w:pPr>
            <w:r w:rsidRPr="00CC18AA">
              <w:rPr>
                <w:rFonts w:cs="Arial"/>
                <w:color w:val="000000"/>
                <w:szCs w:val="20"/>
                <w:lang w:val="en-US"/>
              </w:rPr>
              <w:t>derived grasslands</w:t>
            </w:r>
          </w:p>
        </w:tc>
        <w:tc>
          <w:tcPr>
            <w:tcW w:w="35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 (0</w:t>
            </w:r>
            <w:r w:rsidR="00DC40CE" w:rsidRPr="00CC18AA">
              <w:rPr>
                <w:rFonts w:cs="Arial"/>
                <w:color w:val="000000"/>
                <w:szCs w:val="20"/>
                <w:lang w:val="en-US"/>
              </w:rPr>
              <w:t>.09</w:t>
            </w:r>
            <w:r w:rsidRPr="00CC18AA">
              <w:rPr>
                <w:rFonts w:cs="Arial"/>
                <w:color w:val="000000"/>
                <w:szCs w:val="20"/>
                <w:lang w:val="en-US"/>
              </w:rPr>
              <w:t>)</w:t>
            </w:r>
          </w:p>
        </w:tc>
        <w:tc>
          <w:tcPr>
            <w:tcW w:w="3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55"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2"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4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r>
      <w:tr w:rsidR="00CC18AA" w:rsidRPr="005D4453" w:rsidTr="00CC18AA">
        <w:trPr>
          <w:trHeight w:val="300"/>
        </w:trPr>
        <w:tc>
          <w:tcPr>
            <w:tcW w:w="354" w:type="pct"/>
            <w:vMerge/>
            <w:shd w:val="clear" w:color="auto" w:fill="auto"/>
            <w:vAlign w:val="center"/>
            <w:hideMark/>
          </w:tcPr>
          <w:p w:rsidR="00B35ECC" w:rsidRPr="00CC18AA" w:rsidRDefault="00B35ECC" w:rsidP="00CC18AA">
            <w:pPr>
              <w:spacing w:before="60" w:after="60"/>
              <w:jc w:val="center"/>
              <w:rPr>
                <w:rFonts w:cs="Arial"/>
                <w:bCs/>
                <w:color w:val="000000"/>
                <w:szCs w:val="20"/>
                <w:lang w:val="en-US"/>
              </w:rPr>
            </w:pPr>
          </w:p>
        </w:tc>
        <w:tc>
          <w:tcPr>
            <w:tcW w:w="808" w:type="pct"/>
            <w:shd w:val="clear" w:color="auto" w:fill="auto"/>
            <w:noWrap/>
            <w:vAlign w:val="center"/>
            <w:hideMark/>
          </w:tcPr>
          <w:p w:rsidR="00B35ECC" w:rsidRPr="00CC18AA" w:rsidRDefault="006177FD" w:rsidP="00CC18AA">
            <w:pPr>
              <w:spacing w:before="60" w:after="60"/>
              <w:jc w:val="left"/>
              <w:rPr>
                <w:rFonts w:cs="Arial"/>
                <w:color w:val="000000"/>
                <w:szCs w:val="20"/>
                <w:lang w:val="en-US"/>
              </w:rPr>
            </w:pPr>
            <w:r w:rsidRPr="00CC18AA">
              <w:rPr>
                <w:rFonts w:cs="Arial"/>
                <w:color w:val="000000"/>
                <w:szCs w:val="20"/>
                <w:lang w:val="en-US"/>
              </w:rPr>
              <w:t>dry wetland with rehabilitation potential</w:t>
            </w:r>
          </w:p>
        </w:tc>
        <w:tc>
          <w:tcPr>
            <w:tcW w:w="35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36 (6)</w:t>
            </w:r>
          </w:p>
        </w:tc>
        <w:tc>
          <w:tcPr>
            <w:tcW w:w="3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11 (2)</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55"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18 (5)</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5 (1)</w:t>
            </w:r>
          </w:p>
        </w:tc>
        <w:tc>
          <w:tcPr>
            <w:tcW w:w="3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2"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4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r>
      <w:tr w:rsidR="00CC18AA" w:rsidRPr="005D4453" w:rsidTr="00CC18AA">
        <w:trPr>
          <w:trHeight w:val="300"/>
        </w:trPr>
        <w:tc>
          <w:tcPr>
            <w:tcW w:w="354" w:type="pct"/>
            <w:vMerge/>
            <w:shd w:val="clear" w:color="auto" w:fill="auto"/>
            <w:vAlign w:val="center"/>
            <w:hideMark/>
          </w:tcPr>
          <w:p w:rsidR="00B35ECC" w:rsidRPr="00CC18AA" w:rsidRDefault="00B35ECC" w:rsidP="00CC18AA">
            <w:pPr>
              <w:spacing w:before="60" w:after="60"/>
              <w:jc w:val="center"/>
              <w:rPr>
                <w:rFonts w:cs="Arial"/>
                <w:bCs/>
                <w:color w:val="000000"/>
                <w:szCs w:val="20"/>
                <w:lang w:val="en-US"/>
              </w:rPr>
            </w:pPr>
          </w:p>
        </w:tc>
        <w:tc>
          <w:tcPr>
            <w:tcW w:w="808" w:type="pct"/>
            <w:shd w:val="clear" w:color="auto" w:fill="auto"/>
            <w:noWrap/>
            <w:vAlign w:val="center"/>
            <w:hideMark/>
          </w:tcPr>
          <w:p w:rsidR="00B35ECC" w:rsidRPr="00CC18AA" w:rsidRDefault="006177FD" w:rsidP="00CC18AA">
            <w:pPr>
              <w:spacing w:before="60" w:after="60"/>
              <w:jc w:val="left"/>
              <w:rPr>
                <w:rFonts w:cs="Arial"/>
                <w:color w:val="000000"/>
                <w:szCs w:val="20"/>
                <w:lang w:val="en-US"/>
              </w:rPr>
            </w:pPr>
            <w:r w:rsidRPr="00CC18AA">
              <w:rPr>
                <w:rFonts w:cs="Arial"/>
                <w:color w:val="000000"/>
                <w:szCs w:val="20"/>
                <w:lang w:val="en-US"/>
              </w:rPr>
              <w:t>myall - rosewood shrubby woodland</w:t>
            </w:r>
          </w:p>
        </w:tc>
        <w:tc>
          <w:tcPr>
            <w:tcW w:w="35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55"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2"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4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r>
      <w:tr w:rsidR="00CC18AA" w:rsidRPr="005D4453" w:rsidTr="00CC18AA">
        <w:trPr>
          <w:trHeight w:val="300"/>
        </w:trPr>
        <w:tc>
          <w:tcPr>
            <w:tcW w:w="354" w:type="pct"/>
            <w:vMerge/>
            <w:shd w:val="clear" w:color="auto" w:fill="auto"/>
            <w:vAlign w:val="center"/>
            <w:hideMark/>
          </w:tcPr>
          <w:p w:rsidR="00B35ECC" w:rsidRPr="00CC18AA" w:rsidRDefault="00B35ECC" w:rsidP="00CC18AA">
            <w:pPr>
              <w:spacing w:before="60" w:after="60"/>
              <w:jc w:val="center"/>
              <w:rPr>
                <w:rFonts w:cs="Arial"/>
                <w:bCs/>
                <w:color w:val="000000"/>
                <w:szCs w:val="20"/>
                <w:lang w:val="en-US"/>
              </w:rPr>
            </w:pPr>
          </w:p>
        </w:tc>
        <w:tc>
          <w:tcPr>
            <w:tcW w:w="808" w:type="pct"/>
            <w:shd w:val="clear" w:color="auto" w:fill="auto"/>
            <w:noWrap/>
            <w:vAlign w:val="center"/>
            <w:hideMark/>
          </w:tcPr>
          <w:p w:rsidR="00B35ECC" w:rsidRPr="00CC18AA" w:rsidRDefault="006177FD" w:rsidP="00CC18AA">
            <w:pPr>
              <w:spacing w:before="60" w:after="60"/>
              <w:jc w:val="left"/>
              <w:rPr>
                <w:rFonts w:cs="Arial"/>
                <w:color w:val="000000"/>
                <w:szCs w:val="20"/>
                <w:lang w:val="en-US"/>
              </w:rPr>
            </w:pPr>
            <w:r w:rsidRPr="00CC18AA">
              <w:rPr>
                <w:rFonts w:cs="Arial"/>
                <w:color w:val="000000"/>
                <w:szCs w:val="20"/>
                <w:lang w:val="en-US"/>
              </w:rPr>
              <w:t>poplar box shrubby woodland</w:t>
            </w:r>
          </w:p>
        </w:tc>
        <w:tc>
          <w:tcPr>
            <w:tcW w:w="35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 (1)</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2 (3)</w:t>
            </w:r>
          </w:p>
        </w:tc>
        <w:tc>
          <w:tcPr>
            <w:tcW w:w="355"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 (0</w:t>
            </w:r>
            <w:r w:rsidR="00DC40CE" w:rsidRPr="00CC18AA">
              <w:rPr>
                <w:rFonts w:cs="Arial"/>
                <w:color w:val="000000"/>
                <w:szCs w:val="20"/>
                <w:lang w:val="en-US"/>
              </w:rPr>
              <w:t>.28</w:t>
            </w:r>
            <w:r w:rsidRPr="00CC18AA">
              <w:rPr>
                <w:rFonts w:cs="Arial"/>
                <w:color w:val="000000"/>
                <w:szCs w:val="20"/>
                <w:lang w:val="en-US"/>
              </w:rPr>
              <w:t>)</w:t>
            </w:r>
          </w:p>
        </w:tc>
        <w:tc>
          <w:tcPr>
            <w:tcW w:w="302"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 (2)</w:t>
            </w:r>
          </w:p>
        </w:tc>
        <w:tc>
          <w:tcPr>
            <w:tcW w:w="4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r>
      <w:tr w:rsidR="00CC18AA" w:rsidRPr="005D4453" w:rsidTr="00CC18AA">
        <w:trPr>
          <w:trHeight w:val="300"/>
        </w:trPr>
        <w:tc>
          <w:tcPr>
            <w:tcW w:w="354" w:type="pct"/>
            <w:vMerge/>
            <w:shd w:val="clear" w:color="auto" w:fill="auto"/>
            <w:vAlign w:val="center"/>
            <w:hideMark/>
          </w:tcPr>
          <w:p w:rsidR="00B35ECC" w:rsidRPr="00CC18AA" w:rsidRDefault="00B35ECC" w:rsidP="00CC18AA">
            <w:pPr>
              <w:spacing w:before="60" w:after="60"/>
              <w:jc w:val="center"/>
              <w:rPr>
                <w:rFonts w:cs="Arial"/>
                <w:bCs/>
                <w:color w:val="000000"/>
                <w:szCs w:val="20"/>
                <w:lang w:val="en-US"/>
              </w:rPr>
            </w:pPr>
          </w:p>
        </w:tc>
        <w:tc>
          <w:tcPr>
            <w:tcW w:w="808" w:type="pct"/>
            <w:shd w:val="clear" w:color="auto" w:fill="auto"/>
            <w:noWrap/>
            <w:vAlign w:val="center"/>
            <w:hideMark/>
          </w:tcPr>
          <w:p w:rsidR="00B35ECC" w:rsidRPr="00CC18AA" w:rsidRDefault="006177FD" w:rsidP="00CC18AA">
            <w:pPr>
              <w:spacing w:before="60" w:after="60"/>
              <w:jc w:val="left"/>
              <w:rPr>
                <w:rFonts w:cs="Arial"/>
                <w:color w:val="000000"/>
                <w:szCs w:val="20"/>
                <w:lang w:val="en-US"/>
              </w:rPr>
            </w:pPr>
            <w:r w:rsidRPr="00CC18AA">
              <w:rPr>
                <w:rFonts w:cs="Arial"/>
                <w:color w:val="000000"/>
                <w:szCs w:val="20"/>
                <w:lang w:val="en-US"/>
              </w:rPr>
              <w:t>river cooba - lignum association</w:t>
            </w:r>
          </w:p>
        </w:tc>
        <w:tc>
          <w:tcPr>
            <w:tcW w:w="35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 (0</w:t>
            </w:r>
            <w:r w:rsidR="00DC40CE" w:rsidRPr="00CC18AA">
              <w:rPr>
                <w:rFonts w:cs="Arial"/>
                <w:color w:val="000000"/>
                <w:szCs w:val="20"/>
                <w:lang w:val="en-US"/>
              </w:rPr>
              <w:t>.09</w:t>
            </w:r>
            <w:r w:rsidRPr="00CC18AA">
              <w:rPr>
                <w:rFonts w:cs="Arial"/>
                <w:color w:val="000000"/>
                <w:szCs w:val="20"/>
                <w:lang w:val="en-US"/>
              </w:rPr>
              <w:t>)</w:t>
            </w:r>
          </w:p>
        </w:tc>
        <w:tc>
          <w:tcPr>
            <w:tcW w:w="3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3 (0)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3 (1)</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12 (6)</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55"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 (0</w:t>
            </w:r>
            <w:r w:rsidR="00DC40CE" w:rsidRPr="00CC18AA">
              <w:rPr>
                <w:rFonts w:cs="Arial"/>
                <w:color w:val="000000"/>
                <w:szCs w:val="20"/>
                <w:lang w:val="en-US"/>
              </w:rPr>
              <w:t>.32</w:t>
            </w:r>
            <w:r w:rsidRPr="00CC18AA">
              <w:rPr>
                <w:rFonts w:cs="Arial"/>
                <w:color w:val="000000"/>
                <w:szCs w:val="20"/>
                <w:lang w:val="en-US"/>
              </w:rPr>
              <w:t>)</w:t>
            </w:r>
          </w:p>
        </w:tc>
        <w:tc>
          <w:tcPr>
            <w:tcW w:w="3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 (0</w:t>
            </w:r>
            <w:r w:rsidR="00DC40CE" w:rsidRPr="00CC18AA">
              <w:rPr>
                <w:rFonts w:cs="Arial"/>
                <w:color w:val="000000"/>
                <w:szCs w:val="20"/>
                <w:lang w:val="en-US"/>
              </w:rPr>
              <w:t>.38</w:t>
            </w:r>
            <w:r w:rsidRPr="00CC18AA">
              <w:rPr>
                <w:rFonts w:cs="Arial"/>
                <w:color w:val="000000"/>
                <w:szCs w:val="20"/>
                <w:lang w:val="en-US"/>
              </w:rPr>
              <w:t>)</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12 (5)</w:t>
            </w:r>
          </w:p>
        </w:tc>
        <w:tc>
          <w:tcPr>
            <w:tcW w:w="302"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4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r>
      <w:tr w:rsidR="00CC18AA" w:rsidRPr="005D4453" w:rsidTr="00CC18AA">
        <w:trPr>
          <w:trHeight w:val="300"/>
        </w:trPr>
        <w:tc>
          <w:tcPr>
            <w:tcW w:w="354" w:type="pct"/>
            <w:vMerge/>
            <w:shd w:val="clear" w:color="auto" w:fill="auto"/>
            <w:vAlign w:val="center"/>
            <w:hideMark/>
          </w:tcPr>
          <w:p w:rsidR="00B35ECC" w:rsidRPr="00CC18AA" w:rsidRDefault="00B35ECC" w:rsidP="00CC18AA">
            <w:pPr>
              <w:spacing w:before="60" w:after="60"/>
              <w:jc w:val="center"/>
              <w:rPr>
                <w:rFonts w:cs="Arial"/>
                <w:bCs/>
                <w:color w:val="000000"/>
                <w:szCs w:val="20"/>
                <w:lang w:val="en-US"/>
              </w:rPr>
            </w:pPr>
          </w:p>
        </w:tc>
        <w:tc>
          <w:tcPr>
            <w:tcW w:w="808" w:type="pct"/>
            <w:shd w:val="clear" w:color="auto" w:fill="auto"/>
            <w:noWrap/>
            <w:vAlign w:val="center"/>
            <w:hideMark/>
          </w:tcPr>
          <w:p w:rsidR="00B35ECC" w:rsidRPr="00CC18AA" w:rsidRDefault="006177FD" w:rsidP="00CC18AA">
            <w:pPr>
              <w:spacing w:before="60" w:after="60"/>
              <w:jc w:val="left"/>
              <w:rPr>
                <w:rFonts w:cs="Arial"/>
                <w:color w:val="000000"/>
                <w:szCs w:val="20"/>
                <w:lang w:val="en-US"/>
              </w:rPr>
            </w:pPr>
            <w:r w:rsidRPr="00CC18AA">
              <w:rPr>
                <w:rFonts w:cs="Arial"/>
                <w:color w:val="000000"/>
                <w:szCs w:val="20"/>
                <w:lang w:val="en-US"/>
              </w:rPr>
              <w:t>river cooba - lignum swamp shrubland</w:t>
            </w:r>
          </w:p>
        </w:tc>
        <w:tc>
          <w:tcPr>
            <w:tcW w:w="35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169 (29)</w:t>
            </w:r>
          </w:p>
        </w:tc>
        <w:tc>
          <w:tcPr>
            <w:tcW w:w="3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230 (39)</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7 (3)</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6 (3)</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2 (4)</w:t>
            </w:r>
          </w:p>
        </w:tc>
        <w:tc>
          <w:tcPr>
            <w:tcW w:w="355"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 (2)</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84 (24)</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115 (27)</w:t>
            </w:r>
          </w:p>
        </w:tc>
        <w:tc>
          <w:tcPr>
            <w:tcW w:w="3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4 (1)</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3 (1)</w:t>
            </w:r>
          </w:p>
        </w:tc>
        <w:tc>
          <w:tcPr>
            <w:tcW w:w="302"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 (2)</w:t>
            </w:r>
          </w:p>
        </w:tc>
        <w:tc>
          <w:tcPr>
            <w:tcW w:w="4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w:t>
            </w:r>
            <w:r w:rsidR="00DC40CE" w:rsidRPr="00CC18AA">
              <w:rPr>
                <w:rFonts w:cs="Arial"/>
                <w:color w:val="000000"/>
                <w:szCs w:val="20"/>
                <w:lang w:val="en-US"/>
              </w:rPr>
              <w:t>.5</w:t>
            </w:r>
            <w:r w:rsidRPr="00CC18AA">
              <w:rPr>
                <w:rFonts w:cs="Arial"/>
                <w:color w:val="000000"/>
                <w:szCs w:val="20"/>
                <w:lang w:val="en-US"/>
              </w:rPr>
              <w:t xml:space="preserve"> (1)</w:t>
            </w:r>
          </w:p>
        </w:tc>
      </w:tr>
      <w:tr w:rsidR="00CC18AA" w:rsidRPr="005D4453" w:rsidTr="00CC18AA">
        <w:trPr>
          <w:trHeight w:val="300"/>
        </w:trPr>
        <w:tc>
          <w:tcPr>
            <w:tcW w:w="354" w:type="pct"/>
            <w:vMerge/>
            <w:shd w:val="clear" w:color="auto" w:fill="auto"/>
            <w:vAlign w:val="center"/>
            <w:hideMark/>
          </w:tcPr>
          <w:p w:rsidR="00B35ECC" w:rsidRPr="00CC18AA" w:rsidRDefault="00B35ECC" w:rsidP="00CC18AA">
            <w:pPr>
              <w:spacing w:before="60" w:after="60"/>
              <w:jc w:val="center"/>
              <w:rPr>
                <w:rFonts w:cs="Arial"/>
                <w:bCs/>
                <w:color w:val="000000"/>
                <w:szCs w:val="20"/>
                <w:lang w:val="en-US"/>
              </w:rPr>
            </w:pPr>
          </w:p>
        </w:tc>
        <w:tc>
          <w:tcPr>
            <w:tcW w:w="808" w:type="pct"/>
            <w:shd w:val="clear" w:color="auto" w:fill="auto"/>
            <w:noWrap/>
            <w:vAlign w:val="center"/>
            <w:hideMark/>
          </w:tcPr>
          <w:p w:rsidR="00B35ECC" w:rsidRPr="00CC18AA" w:rsidRDefault="006177FD" w:rsidP="00CC18AA">
            <w:pPr>
              <w:spacing w:before="60" w:after="60"/>
              <w:jc w:val="left"/>
              <w:rPr>
                <w:rFonts w:cs="Arial"/>
                <w:color w:val="000000"/>
                <w:szCs w:val="20"/>
                <w:lang w:val="en-US"/>
              </w:rPr>
            </w:pPr>
            <w:r w:rsidRPr="00CC18AA">
              <w:rPr>
                <w:rFonts w:cs="Arial"/>
                <w:color w:val="000000"/>
                <w:szCs w:val="20"/>
                <w:lang w:val="en-US"/>
              </w:rPr>
              <w:t>river red gum - coolibah open forest</w:t>
            </w:r>
          </w:p>
        </w:tc>
        <w:tc>
          <w:tcPr>
            <w:tcW w:w="35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4 (1)</w:t>
            </w:r>
          </w:p>
        </w:tc>
        <w:tc>
          <w:tcPr>
            <w:tcW w:w="3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8 (1)</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2 (1)</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4 (2)</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4 (8)</w:t>
            </w:r>
          </w:p>
        </w:tc>
        <w:tc>
          <w:tcPr>
            <w:tcW w:w="355"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2 (3)</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2 (1)</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4 (1)</w:t>
            </w:r>
          </w:p>
        </w:tc>
        <w:tc>
          <w:tcPr>
            <w:tcW w:w="3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 (0</w:t>
            </w:r>
            <w:r w:rsidR="00DC40CE" w:rsidRPr="00CC18AA">
              <w:rPr>
                <w:rFonts w:cs="Arial"/>
                <w:color w:val="000000"/>
                <w:szCs w:val="20"/>
                <w:lang w:val="en-US"/>
              </w:rPr>
              <w:t>.27</w:t>
            </w:r>
            <w:r w:rsidRPr="00CC18AA">
              <w:rPr>
                <w:rFonts w:cs="Arial"/>
                <w:color w:val="000000"/>
                <w:szCs w:val="20"/>
                <w:lang w:val="en-US"/>
              </w:rPr>
              <w:t>)</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2 (1)</w:t>
            </w:r>
          </w:p>
        </w:tc>
        <w:tc>
          <w:tcPr>
            <w:tcW w:w="302"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2 (5)</w:t>
            </w:r>
          </w:p>
        </w:tc>
        <w:tc>
          <w:tcPr>
            <w:tcW w:w="4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 (1)</w:t>
            </w:r>
          </w:p>
        </w:tc>
      </w:tr>
      <w:tr w:rsidR="00CC18AA" w:rsidRPr="005D4453" w:rsidTr="00CC18AA">
        <w:trPr>
          <w:trHeight w:val="300"/>
        </w:trPr>
        <w:tc>
          <w:tcPr>
            <w:tcW w:w="354" w:type="pct"/>
            <w:vMerge/>
            <w:shd w:val="clear" w:color="auto" w:fill="auto"/>
            <w:vAlign w:val="center"/>
            <w:hideMark/>
          </w:tcPr>
          <w:p w:rsidR="00B35ECC" w:rsidRPr="00CC18AA" w:rsidRDefault="00B35ECC" w:rsidP="00CC18AA">
            <w:pPr>
              <w:spacing w:before="60" w:after="60"/>
              <w:jc w:val="center"/>
              <w:rPr>
                <w:rFonts w:cs="Arial"/>
                <w:bCs/>
                <w:color w:val="000000"/>
                <w:szCs w:val="20"/>
                <w:lang w:val="en-US"/>
              </w:rPr>
            </w:pPr>
          </w:p>
        </w:tc>
        <w:tc>
          <w:tcPr>
            <w:tcW w:w="808" w:type="pct"/>
            <w:shd w:val="clear" w:color="auto" w:fill="auto"/>
            <w:noWrap/>
            <w:vAlign w:val="center"/>
            <w:hideMark/>
          </w:tcPr>
          <w:p w:rsidR="00B35ECC" w:rsidRPr="00CC18AA" w:rsidRDefault="006177FD" w:rsidP="00CC18AA">
            <w:pPr>
              <w:spacing w:before="60" w:after="60"/>
              <w:jc w:val="left"/>
              <w:rPr>
                <w:rFonts w:cs="Arial"/>
                <w:color w:val="000000"/>
                <w:szCs w:val="20"/>
                <w:lang w:val="en-US"/>
              </w:rPr>
            </w:pPr>
            <w:r w:rsidRPr="00CC18AA">
              <w:rPr>
                <w:rFonts w:cs="Arial"/>
                <w:color w:val="000000"/>
                <w:szCs w:val="20"/>
                <w:lang w:val="en-US"/>
              </w:rPr>
              <w:t>spike-rush - cumbungi swamp sedgeland</w:t>
            </w:r>
          </w:p>
        </w:tc>
        <w:tc>
          <w:tcPr>
            <w:tcW w:w="35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55"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2"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4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r>
      <w:tr w:rsidR="00CC18AA" w:rsidRPr="005D4453" w:rsidTr="00CC18AA">
        <w:trPr>
          <w:trHeight w:val="300"/>
        </w:trPr>
        <w:tc>
          <w:tcPr>
            <w:tcW w:w="354" w:type="pct"/>
            <w:vMerge/>
            <w:shd w:val="clear" w:color="auto" w:fill="auto"/>
            <w:vAlign w:val="center"/>
            <w:hideMark/>
          </w:tcPr>
          <w:p w:rsidR="00B35ECC" w:rsidRPr="00CC18AA" w:rsidRDefault="00B35ECC" w:rsidP="00CC18AA">
            <w:pPr>
              <w:spacing w:before="60" w:after="60"/>
              <w:jc w:val="center"/>
              <w:rPr>
                <w:rFonts w:cs="Arial"/>
                <w:bCs/>
                <w:color w:val="000000"/>
                <w:szCs w:val="20"/>
                <w:lang w:val="en-US"/>
              </w:rPr>
            </w:pPr>
          </w:p>
        </w:tc>
        <w:tc>
          <w:tcPr>
            <w:tcW w:w="808" w:type="pct"/>
            <w:shd w:val="clear" w:color="auto" w:fill="auto"/>
            <w:noWrap/>
            <w:vAlign w:val="center"/>
            <w:hideMark/>
          </w:tcPr>
          <w:p w:rsidR="00B35ECC" w:rsidRPr="00CC18AA" w:rsidRDefault="006177FD" w:rsidP="00CC18AA">
            <w:pPr>
              <w:spacing w:before="60" w:after="60"/>
              <w:jc w:val="left"/>
              <w:rPr>
                <w:rFonts w:cs="Arial"/>
                <w:color w:val="000000"/>
                <w:szCs w:val="20"/>
                <w:lang w:val="en-US"/>
              </w:rPr>
            </w:pPr>
            <w:r w:rsidRPr="00CC18AA">
              <w:rPr>
                <w:rFonts w:cs="Arial"/>
                <w:color w:val="000000"/>
                <w:szCs w:val="20"/>
                <w:lang w:val="en-US"/>
              </w:rPr>
              <w:t>tussock rush swamp rushland</w:t>
            </w:r>
          </w:p>
        </w:tc>
        <w:tc>
          <w:tcPr>
            <w:tcW w:w="35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 (0</w:t>
            </w:r>
            <w:r w:rsidR="00DC40CE" w:rsidRPr="00CC18AA">
              <w:rPr>
                <w:rFonts w:cs="Arial"/>
                <w:color w:val="000000"/>
                <w:szCs w:val="20"/>
                <w:lang w:val="en-US"/>
              </w:rPr>
              <w:t>.1</w:t>
            </w:r>
            <w:r w:rsidRPr="00CC18AA">
              <w:rPr>
                <w:rFonts w:cs="Arial"/>
                <w:color w:val="000000"/>
                <w:szCs w:val="20"/>
                <w:lang w:val="en-US"/>
              </w:rPr>
              <w:t>)</w:t>
            </w:r>
          </w:p>
        </w:tc>
        <w:tc>
          <w:tcPr>
            <w:tcW w:w="3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 (0</w:t>
            </w:r>
            <w:r w:rsidR="00DC40CE" w:rsidRPr="00CC18AA">
              <w:rPr>
                <w:rFonts w:cs="Arial"/>
                <w:color w:val="000000"/>
                <w:szCs w:val="20"/>
                <w:lang w:val="en-US"/>
              </w:rPr>
              <w:t>.15</w:t>
            </w:r>
            <w:r w:rsidRPr="00CC18AA">
              <w:rPr>
                <w:rFonts w:cs="Arial"/>
                <w:color w:val="000000"/>
                <w:szCs w:val="20"/>
                <w:lang w:val="en-US"/>
              </w:rPr>
              <w:t>)</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55"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2"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4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r>
      <w:tr w:rsidR="00CC18AA" w:rsidRPr="005D4453" w:rsidTr="00CC18AA">
        <w:trPr>
          <w:trHeight w:val="300"/>
        </w:trPr>
        <w:tc>
          <w:tcPr>
            <w:tcW w:w="354" w:type="pct"/>
            <w:vMerge/>
            <w:shd w:val="clear" w:color="auto" w:fill="auto"/>
            <w:vAlign w:val="center"/>
            <w:hideMark/>
          </w:tcPr>
          <w:p w:rsidR="00B35ECC" w:rsidRPr="00CC18AA" w:rsidRDefault="00B35ECC" w:rsidP="00CC18AA">
            <w:pPr>
              <w:spacing w:before="60" w:after="60"/>
              <w:jc w:val="center"/>
              <w:rPr>
                <w:rFonts w:cs="Arial"/>
                <w:bCs/>
                <w:color w:val="000000"/>
                <w:szCs w:val="20"/>
                <w:lang w:val="en-US"/>
              </w:rPr>
            </w:pPr>
          </w:p>
        </w:tc>
        <w:tc>
          <w:tcPr>
            <w:tcW w:w="808" w:type="pct"/>
            <w:shd w:val="clear" w:color="auto" w:fill="auto"/>
            <w:noWrap/>
            <w:vAlign w:val="center"/>
            <w:hideMark/>
          </w:tcPr>
          <w:p w:rsidR="00B35ECC" w:rsidRPr="00CC18AA" w:rsidRDefault="006177FD" w:rsidP="00CC18AA">
            <w:pPr>
              <w:spacing w:before="60" w:after="60"/>
              <w:jc w:val="left"/>
              <w:rPr>
                <w:rFonts w:cs="Arial"/>
                <w:color w:val="000000"/>
                <w:szCs w:val="20"/>
                <w:lang w:val="en-US"/>
              </w:rPr>
            </w:pPr>
            <w:r w:rsidRPr="00CC18AA">
              <w:rPr>
                <w:rFonts w:cs="Arial"/>
                <w:color w:val="000000"/>
                <w:szCs w:val="20"/>
                <w:lang w:val="en-US"/>
              </w:rPr>
              <w:t>water couch - spike-rush - tussock rush marsh grassland</w:t>
            </w:r>
          </w:p>
        </w:tc>
        <w:tc>
          <w:tcPr>
            <w:tcW w:w="35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190 (33)</w:t>
            </w:r>
          </w:p>
        </w:tc>
        <w:tc>
          <w:tcPr>
            <w:tcW w:w="3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185 (31)</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98 (40)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100 (53)</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 (1)</w:t>
            </w:r>
          </w:p>
        </w:tc>
        <w:tc>
          <w:tcPr>
            <w:tcW w:w="355"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13 (22)</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95 (27)</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92 (22)</w:t>
            </w:r>
          </w:p>
        </w:tc>
        <w:tc>
          <w:tcPr>
            <w:tcW w:w="3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49 (14)</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100 (39)</w:t>
            </w:r>
          </w:p>
        </w:tc>
        <w:tc>
          <w:tcPr>
            <w:tcW w:w="302"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w:t>
            </w:r>
            <w:r w:rsidR="00DC40CE" w:rsidRPr="00CC18AA">
              <w:rPr>
                <w:rFonts w:cs="Arial"/>
                <w:color w:val="000000"/>
                <w:szCs w:val="20"/>
                <w:lang w:val="en-US"/>
              </w:rPr>
              <w:t>.3</w:t>
            </w:r>
            <w:r w:rsidRPr="00CC18AA">
              <w:rPr>
                <w:rFonts w:cs="Arial"/>
                <w:color w:val="000000"/>
                <w:szCs w:val="20"/>
                <w:lang w:val="en-US"/>
              </w:rPr>
              <w:t xml:space="preserve"> (1)</w:t>
            </w:r>
          </w:p>
        </w:tc>
        <w:tc>
          <w:tcPr>
            <w:tcW w:w="4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7 (7)</w:t>
            </w:r>
          </w:p>
        </w:tc>
      </w:tr>
      <w:tr w:rsidR="00CC18AA" w:rsidRPr="005D4453" w:rsidTr="00CC18AA">
        <w:trPr>
          <w:trHeight w:val="300"/>
        </w:trPr>
        <w:tc>
          <w:tcPr>
            <w:tcW w:w="354" w:type="pct"/>
            <w:vMerge/>
            <w:shd w:val="clear" w:color="auto" w:fill="auto"/>
            <w:vAlign w:val="center"/>
            <w:hideMark/>
          </w:tcPr>
          <w:p w:rsidR="00B35ECC" w:rsidRPr="00CC18AA" w:rsidRDefault="00B35ECC" w:rsidP="00CC18AA">
            <w:pPr>
              <w:spacing w:before="60" w:after="60"/>
              <w:jc w:val="center"/>
              <w:rPr>
                <w:rFonts w:cs="Arial"/>
                <w:bCs/>
                <w:color w:val="000000"/>
                <w:szCs w:val="20"/>
                <w:lang w:val="en-US"/>
              </w:rPr>
            </w:pPr>
          </w:p>
        </w:tc>
        <w:tc>
          <w:tcPr>
            <w:tcW w:w="808" w:type="pct"/>
            <w:shd w:val="clear" w:color="auto" w:fill="auto"/>
            <w:noWrap/>
            <w:vAlign w:val="center"/>
            <w:hideMark/>
          </w:tcPr>
          <w:p w:rsidR="00B35ECC" w:rsidRPr="00CC18AA" w:rsidRDefault="006177FD" w:rsidP="00CC18AA">
            <w:pPr>
              <w:spacing w:before="60" w:after="60"/>
              <w:jc w:val="left"/>
              <w:rPr>
                <w:rFonts w:cs="Arial"/>
                <w:color w:val="000000"/>
                <w:szCs w:val="20"/>
                <w:lang w:val="en-US"/>
              </w:rPr>
            </w:pPr>
            <w:r w:rsidRPr="00CC18AA">
              <w:rPr>
                <w:rFonts w:cs="Arial"/>
                <w:color w:val="000000"/>
                <w:szCs w:val="20"/>
                <w:lang w:val="en-US"/>
              </w:rPr>
              <w:t>natural water body</w:t>
            </w:r>
          </w:p>
        </w:tc>
        <w:tc>
          <w:tcPr>
            <w:tcW w:w="35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12 (2)</w:t>
            </w:r>
          </w:p>
        </w:tc>
        <w:tc>
          <w:tcPr>
            <w:tcW w:w="3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16 (3)</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12 (5)</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13 (7)</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8 (16)</w:t>
            </w:r>
          </w:p>
        </w:tc>
        <w:tc>
          <w:tcPr>
            <w:tcW w:w="355"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9 (14)</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48 (14)</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63 (15)</w:t>
            </w:r>
          </w:p>
        </w:tc>
        <w:tc>
          <w:tcPr>
            <w:tcW w:w="3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49 (14)</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57 (22)</w:t>
            </w:r>
          </w:p>
        </w:tc>
        <w:tc>
          <w:tcPr>
            <w:tcW w:w="302"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17 (44)</w:t>
            </w:r>
          </w:p>
        </w:tc>
        <w:tc>
          <w:tcPr>
            <w:tcW w:w="4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34 (38)</w:t>
            </w:r>
          </w:p>
        </w:tc>
      </w:tr>
      <w:tr w:rsidR="00CC18AA" w:rsidRPr="005D4453" w:rsidTr="00CC18AA">
        <w:trPr>
          <w:trHeight w:val="300"/>
        </w:trPr>
        <w:tc>
          <w:tcPr>
            <w:tcW w:w="354" w:type="pct"/>
            <w:vMerge/>
            <w:shd w:val="clear" w:color="auto" w:fill="auto"/>
            <w:vAlign w:val="center"/>
            <w:hideMark/>
          </w:tcPr>
          <w:p w:rsidR="00B35ECC" w:rsidRPr="00CC18AA" w:rsidRDefault="00B35ECC" w:rsidP="00CC18AA">
            <w:pPr>
              <w:spacing w:before="60" w:after="60"/>
              <w:jc w:val="center"/>
              <w:rPr>
                <w:rFonts w:cs="Arial"/>
                <w:bCs/>
                <w:color w:val="000000"/>
                <w:szCs w:val="20"/>
                <w:lang w:val="en-US"/>
              </w:rPr>
            </w:pPr>
          </w:p>
        </w:tc>
        <w:tc>
          <w:tcPr>
            <w:tcW w:w="808" w:type="pct"/>
            <w:shd w:val="clear" w:color="auto" w:fill="auto"/>
            <w:noWrap/>
            <w:vAlign w:val="center"/>
            <w:hideMark/>
          </w:tcPr>
          <w:p w:rsidR="00B35ECC" w:rsidRPr="00CC18AA" w:rsidRDefault="006177FD" w:rsidP="00CC18AA">
            <w:pPr>
              <w:spacing w:before="60" w:after="60"/>
              <w:jc w:val="left"/>
              <w:rPr>
                <w:rFonts w:cs="Arial"/>
                <w:color w:val="000000"/>
                <w:szCs w:val="20"/>
                <w:lang w:val="en-US"/>
              </w:rPr>
            </w:pPr>
            <w:r w:rsidRPr="00CC18AA">
              <w:rPr>
                <w:rFonts w:cs="Arial"/>
                <w:color w:val="000000"/>
                <w:szCs w:val="20"/>
                <w:lang w:val="en-US"/>
              </w:rPr>
              <w:t>cultivated land</w:t>
            </w:r>
          </w:p>
        </w:tc>
        <w:tc>
          <w:tcPr>
            <w:tcW w:w="35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88 (15)</w:t>
            </w:r>
          </w:p>
        </w:tc>
        <w:tc>
          <w:tcPr>
            <w:tcW w:w="3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63 (11)</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3 (1)</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 (1)</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55"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44 (0)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32 (0)</w:t>
            </w:r>
          </w:p>
        </w:tc>
        <w:tc>
          <w:tcPr>
            <w:tcW w:w="3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 (0</w:t>
            </w:r>
            <w:r w:rsidR="00DC40CE" w:rsidRPr="00CC18AA">
              <w:rPr>
                <w:rFonts w:cs="Arial"/>
                <w:color w:val="000000"/>
                <w:szCs w:val="20"/>
                <w:lang w:val="en-US"/>
              </w:rPr>
              <w:t>.39</w:t>
            </w:r>
            <w:r w:rsidRPr="00CC18AA">
              <w:rPr>
                <w:rFonts w:cs="Arial"/>
                <w:color w:val="000000"/>
                <w:szCs w:val="20"/>
                <w:lang w:val="en-US"/>
              </w:rPr>
              <w:t>)</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2"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4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r>
      <w:tr w:rsidR="00CC18AA" w:rsidRPr="005D4453" w:rsidTr="00CC18AA">
        <w:trPr>
          <w:trHeight w:val="300"/>
        </w:trPr>
        <w:tc>
          <w:tcPr>
            <w:tcW w:w="354" w:type="pct"/>
            <w:vMerge/>
            <w:shd w:val="clear" w:color="auto" w:fill="auto"/>
            <w:vAlign w:val="center"/>
            <w:hideMark/>
          </w:tcPr>
          <w:p w:rsidR="00B35ECC" w:rsidRPr="00CC18AA" w:rsidRDefault="00B35ECC" w:rsidP="00CC18AA">
            <w:pPr>
              <w:spacing w:before="60" w:after="60"/>
              <w:jc w:val="center"/>
              <w:rPr>
                <w:rFonts w:cs="Arial"/>
                <w:bCs/>
                <w:color w:val="000000"/>
                <w:szCs w:val="20"/>
                <w:lang w:val="en-US"/>
              </w:rPr>
            </w:pPr>
          </w:p>
        </w:tc>
        <w:tc>
          <w:tcPr>
            <w:tcW w:w="808" w:type="pct"/>
            <w:shd w:val="clear" w:color="auto" w:fill="auto"/>
            <w:noWrap/>
            <w:vAlign w:val="center"/>
            <w:hideMark/>
          </w:tcPr>
          <w:p w:rsidR="00B35ECC" w:rsidRPr="00CC18AA" w:rsidRDefault="006177FD" w:rsidP="00CC18AA">
            <w:pPr>
              <w:spacing w:before="60" w:after="60"/>
              <w:jc w:val="left"/>
              <w:rPr>
                <w:rFonts w:cs="Arial"/>
                <w:color w:val="000000"/>
                <w:szCs w:val="20"/>
                <w:lang w:val="en-US"/>
              </w:rPr>
            </w:pPr>
            <w:r w:rsidRPr="00CC18AA">
              <w:rPr>
                <w:rFonts w:cs="Arial"/>
                <w:color w:val="000000"/>
                <w:szCs w:val="20"/>
                <w:lang w:val="en-US"/>
              </w:rPr>
              <w:t>farm dam*</w:t>
            </w:r>
          </w:p>
        </w:tc>
        <w:tc>
          <w:tcPr>
            <w:tcW w:w="35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3 (1)</w:t>
            </w:r>
          </w:p>
        </w:tc>
        <w:tc>
          <w:tcPr>
            <w:tcW w:w="3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4 (1)</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2 (1)</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2 (1)</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 (2)</w:t>
            </w:r>
          </w:p>
        </w:tc>
        <w:tc>
          <w:tcPr>
            <w:tcW w:w="355"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 (2)</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3"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302"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404"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r>
      <w:tr w:rsidR="00CC18AA" w:rsidRPr="005D4453" w:rsidTr="00CC18AA">
        <w:trPr>
          <w:trHeight w:val="315"/>
        </w:trPr>
        <w:tc>
          <w:tcPr>
            <w:tcW w:w="354" w:type="pct"/>
            <w:vMerge/>
            <w:shd w:val="clear" w:color="auto" w:fill="auto"/>
            <w:vAlign w:val="center"/>
            <w:hideMark/>
          </w:tcPr>
          <w:p w:rsidR="00B35ECC" w:rsidRPr="00CC18AA" w:rsidRDefault="00B35ECC" w:rsidP="00CC18AA">
            <w:pPr>
              <w:spacing w:before="60" w:after="60"/>
              <w:jc w:val="center"/>
              <w:rPr>
                <w:rFonts w:cs="Arial"/>
                <w:bCs/>
                <w:color w:val="000000"/>
                <w:szCs w:val="20"/>
                <w:lang w:val="en-US"/>
              </w:rPr>
            </w:pPr>
          </w:p>
        </w:tc>
        <w:tc>
          <w:tcPr>
            <w:tcW w:w="808" w:type="pct"/>
            <w:shd w:val="clear" w:color="auto" w:fill="auto"/>
            <w:noWrap/>
            <w:vAlign w:val="center"/>
            <w:hideMark/>
          </w:tcPr>
          <w:p w:rsidR="00B35ECC" w:rsidRPr="00CC18AA" w:rsidRDefault="00B35ECC" w:rsidP="00CC18AA">
            <w:pPr>
              <w:spacing w:before="60" w:after="60"/>
              <w:jc w:val="left"/>
              <w:rPr>
                <w:rFonts w:cs="Arial"/>
                <w:b/>
                <w:bCs/>
                <w:color w:val="000000"/>
                <w:szCs w:val="20"/>
                <w:lang w:val="en-US"/>
              </w:rPr>
            </w:pPr>
            <w:r w:rsidRPr="00CC18AA">
              <w:rPr>
                <w:rFonts w:cs="Arial"/>
                <w:b/>
                <w:bCs/>
                <w:color w:val="000000"/>
                <w:szCs w:val="20"/>
                <w:lang w:val="en-US"/>
              </w:rPr>
              <w:t>Total</w:t>
            </w:r>
          </w:p>
        </w:tc>
        <w:tc>
          <w:tcPr>
            <w:tcW w:w="353" w:type="pct"/>
            <w:shd w:val="clear" w:color="auto" w:fill="auto"/>
            <w:noWrap/>
            <w:vAlign w:val="center"/>
            <w:hideMark/>
          </w:tcPr>
          <w:p w:rsidR="00B35ECC" w:rsidRPr="00CC18AA" w:rsidRDefault="00B35ECC" w:rsidP="00CC18AA">
            <w:pPr>
              <w:spacing w:before="60" w:after="60"/>
              <w:jc w:val="center"/>
              <w:rPr>
                <w:rFonts w:cs="Arial"/>
                <w:b/>
                <w:bCs/>
                <w:color w:val="000000"/>
                <w:szCs w:val="20"/>
                <w:lang w:val="en-US"/>
              </w:rPr>
            </w:pPr>
            <w:r w:rsidRPr="00CC18AA">
              <w:rPr>
                <w:rFonts w:cs="Arial"/>
                <w:b/>
                <w:bCs/>
                <w:color w:val="000000"/>
                <w:szCs w:val="20"/>
                <w:lang w:val="en-US"/>
              </w:rPr>
              <w:t>575</w:t>
            </w:r>
          </w:p>
        </w:tc>
        <w:tc>
          <w:tcPr>
            <w:tcW w:w="304" w:type="pct"/>
            <w:shd w:val="clear" w:color="auto" w:fill="auto"/>
            <w:noWrap/>
            <w:vAlign w:val="center"/>
            <w:hideMark/>
          </w:tcPr>
          <w:p w:rsidR="00B35ECC" w:rsidRPr="00CC18AA" w:rsidRDefault="00B35ECC" w:rsidP="00CC18AA">
            <w:pPr>
              <w:spacing w:before="60" w:after="60"/>
              <w:jc w:val="center"/>
              <w:rPr>
                <w:rFonts w:cs="Arial"/>
                <w:b/>
                <w:bCs/>
                <w:color w:val="000000"/>
                <w:szCs w:val="20"/>
                <w:lang w:val="en-US"/>
              </w:rPr>
            </w:pPr>
            <w:r w:rsidRPr="00CC18AA">
              <w:rPr>
                <w:rFonts w:cs="Arial"/>
                <w:b/>
                <w:bCs/>
                <w:color w:val="000000"/>
                <w:szCs w:val="20"/>
                <w:lang w:val="en-US"/>
              </w:rPr>
              <w:t>592</w:t>
            </w:r>
          </w:p>
        </w:tc>
        <w:tc>
          <w:tcPr>
            <w:tcW w:w="303" w:type="pct"/>
            <w:shd w:val="clear" w:color="auto" w:fill="auto"/>
            <w:noWrap/>
            <w:vAlign w:val="center"/>
            <w:hideMark/>
          </w:tcPr>
          <w:p w:rsidR="00B35ECC" w:rsidRPr="00CC18AA" w:rsidRDefault="00B35ECC" w:rsidP="00CC18AA">
            <w:pPr>
              <w:spacing w:before="60" w:after="60"/>
              <w:jc w:val="center"/>
              <w:rPr>
                <w:rFonts w:cs="Arial"/>
                <w:b/>
                <w:bCs/>
                <w:color w:val="000000"/>
                <w:szCs w:val="20"/>
                <w:lang w:val="en-US"/>
              </w:rPr>
            </w:pPr>
            <w:r w:rsidRPr="00CC18AA">
              <w:rPr>
                <w:rFonts w:cs="Arial"/>
                <w:b/>
                <w:bCs/>
                <w:color w:val="000000"/>
                <w:szCs w:val="20"/>
                <w:lang w:val="en-US"/>
              </w:rPr>
              <w:t>247</w:t>
            </w:r>
          </w:p>
        </w:tc>
        <w:tc>
          <w:tcPr>
            <w:tcW w:w="303" w:type="pct"/>
            <w:shd w:val="clear" w:color="auto" w:fill="auto"/>
            <w:noWrap/>
            <w:vAlign w:val="center"/>
            <w:hideMark/>
          </w:tcPr>
          <w:p w:rsidR="00B35ECC" w:rsidRPr="00CC18AA" w:rsidRDefault="00B35ECC" w:rsidP="00CC18AA">
            <w:pPr>
              <w:spacing w:before="60" w:after="60"/>
              <w:jc w:val="center"/>
              <w:rPr>
                <w:rFonts w:cs="Arial"/>
                <w:b/>
                <w:bCs/>
                <w:color w:val="000000"/>
                <w:szCs w:val="20"/>
                <w:lang w:val="en-US"/>
              </w:rPr>
            </w:pPr>
            <w:r w:rsidRPr="00CC18AA">
              <w:rPr>
                <w:rFonts w:cs="Arial"/>
                <w:b/>
                <w:bCs/>
                <w:color w:val="000000"/>
                <w:szCs w:val="20"/>
                <w:lang w:val="en-US"/>
              </w:rPr>
              <w:t>188</w:t>
            </w:r>
          </w:p>
        </w:tc>
        <w:tc>
          <w:tcPr>
            <w:tcW w:w="303" w:type="pct"/>
            <w:shd w:val="clear" w:color="auto" w:fill="auto"/>
            <w:noWrap/>
            <w:vAlign w:val="center"/>
            <w:hideMark/>
          </w:tcPr>
          <w:p w:rsidR="00B35ECC" w:rsidRPr="00CC18AA" w:rsidRDefault="00B35ECC" w:rsidP="00CC18AA">
            <w:pPr>
              <w:spacing w:before="60" w:after="60"/>
              <w:jc w:val="center"/>
              <w:rPr>
                <w:rFonts w:cs="Arial"/>
                <w:b/>
                <w:bCs/>
                <w:color w:val="000000"/>
                <w:szCs w:val="20"/>
                <w:lang w:val="en-US"/>
              </w:rPr>
            </w:pPr>
            <w:r w:rsidRPr="00CC18AA">
              <w:rPr>
                <w:rFonts w:cs="Arial"/>
                <w:b/>
                <w:bCs/>
                <w:color w:val="000000"/>
                <w:szCs w:val="20"/>
                <w:lang w:val="en-US"/>
              </w:rPr>
              <w:t>52</w:t>
            </w:r>
          </w:p>
        </w:tc>
        <w:tc>
          <w:tcPr>
            <w:tcW w:w="355" w:type="pct"/>
            <w:shd w:val="clear" w:color="auto" w:fill="auto"/>
            <w:noWrap/>
            <w:vAlign w:val="center"/>
            <w:hideMark/>
          </w:tcPr>
          <w:p w:rsidR="00B35ECC" w:rsidRPr="00CC18AA" w:rsidRDefault="00B35ECC" w:rsidP="00CC18AA">
            <w:pPr>
              <w:spacing w:before="60" w:after="60"/>
              <w:jc w:val="center"/>
              <w:rPr>
                <w:rFonts w:cs="Arial"/>
                <w:b/>
                <w:bCs/>
                <w:color w:val="000000"/>
                <w:szCs w:val="20"/>
                <w:lang w:val="en-US"/>
              </w:rPr>
            </w:pPr>
            <w:r w:rsidRPr="00CC18AA">
              <w:rPr>
                <w:rFonts w:cs="Arial"/>
                <w:b/>
                <w:bCs/>
                <w:color w:val="000000"/>
                <w:szCs w:val="20"/>
                <w:lang w:val="en-US"/>
              </w:rPr>
              <w:t>60</w:t>
            </w:r>
          </w:p>
        </w:tc>
        <w:tc>
          <w:tcPr>
            <w:tcW w:w="303" w:type="pct"/>
            <w:shd w:val="clear" w:color="auto" w:fill="auto"/>
            <w:noWrap/>
            <w:vAlign w:val="center"/>
            <w:hideMark/>
          </w:tcPr>
          <w:p w:rsidR="00B35ECC" w:rsidRPr="00CC18AA" w:rsidRDefault="00B35ECC" w:rsidP="00CC18AA">
            <w:pPr>
              <w:spacing w:before="60" w:after="60"/>
              <w:jc w:val="center"/>
              <w:rPr>
                <w:rFonts w:cs="Arial"/>
                <w:b/>
                <w:bCs/>
                <w:color w:val="000000"/>
                <w:szCs w:val="20"/>
                <w:lang w:val="en-US"/>
              </w:rPr>
            </w:pPr>
            <w:r w:rsidRPr="00CC18AA">
              <w:rPr>
                <w:rFonts w:cs="Arial"/>
                <w:b/>
                <w:bCs/>
                <w:color w:val="000000"/>
                <w:szCs w:val="20"/>
                <w:lang w:val="en-US"/>
              </w:rPr>
              <w:t>354</w:t>
            </w:r>
          </w:p>
        </w:tc>
        <w:tc>
          <w:tcPr>
            <w:tcW w:w="303" w:type="pct"/>
            <w:shd w:val="clear" w:color="auto" w:fill="auto"/>
            <w:noWrap/>
            <w:vAlign w:val="center"/>
            <w:hideMark/>
          </w:tcPr>
          <w:p w:rsidR="00B35ECC" w:rsidRPr="00CC18AA" w:rsidRDefault="00B35ECC" w:rsidP="00CC18AA">
            <w:pPr>
              <w:spacing w:before="60" w:after="60"/>
              <w:jc w:val="center"/>
              <w:rPr>
                <w:rFonts w:cs="Arial"/>
                <w:b/>
                <w:bCs/>
                <w:color w:val="000000"/>
                <w:szCs w:val="20"/>
                <w:lang w:val="en-US"/>
              </w:rPr>
            </w:pPr>
            <w:r w:rsidRPr="00CC18AA">
              <w:rPr>
                <w:rFonts w:cs="Arial"/>
                <w:b/>
                <w:bCs/>
                <w:color w:val="000000"/>
                <w:szCs w:val="20"/>
                <w:lang w:val="en-US"/>
              </w:rPr>
              <w:t>418</w:t>
            </w:r>
          </w:p>
        </w:tc>
        <w:tc>
          <w:tcPr>
            <w:tcW w:w="304" w:type="pct"/>
            <w:shd w:val="clear" w:color="auto" w:fill="auto"/>
            <w:noWrap/>
            <w:vAlign w:val="center"/>
            <w:hideMark/>
          </w:tcPr>
          <w:p w:rsidR="00B35ECC" w:rsidRPr="00CC18AA" w:rsidRDefault="00B35ECC" w:rsidP="00CC18AA">
            <w:pPr>
              <w:spacing w:before="60" w:after="60"/>
              <w:jc w:val="center"/>
              <w:rPr>
                <w:rFonts w:cs="Arial"/>
                <w:b/>
                <w:bCs/>
                <w:color w:val="000000"/>
                <w:szCs w:val="20"/>
                <w:lang w:val="en-US"/>
              </w:rPr>
            </w:pPr>
            <w:r w:rsidRPr="00CC18AA">
              <w:rPr>
                <w:rFonts w:cs="Arial"/>
                <w:b/>
                <w:bCs/>
                <w:color w:val="000000"/>
                <w:szCs w:val="20"/>
                <w:lang w:val="en-US"/>
              </w:rPr>
              <w:t>344</w:t>
            </w:r>
          </w:p>
        </w:tc>
        <w:tc>
          <w:tcPr>
            <w:tcW w:w="303" w:type="pct"/>
            <w:shd w:val="clear" w:color="auto" w:fill="auto"/>
            <w:noWrap/>
            <w:vAlign w:val="center"/>
            <w:hideMark/>
          </w:tcPr>
          <w:p w:rsidR="00B35ECC" w:rsidRPr="00CC18AA" w:rsidRDefault="00B35ECC" w:rsidP="00CC18AA">
            <w:pPr>
              <w:spacing w:before="60" w:after="60"/>
              <w:jc w:val="center"/>
              <w:rPr>
                <w:rFonts w:cs="Arial"/>
                <w:b/>
                <w:bCs/>
                <w:color w:val="000000"/>
                <w:szCs w:val="20"/>
                <w:lang w:val="en-US"/>
              </w:rPr>
            </w:pPr>
            <w:r w:rsidRPr="00CC18AA">
              <w:rPr>
                <w:rFonts w:cs="Arial"/>
                <w:b/>
                <w:bCs/>
                <w:color w:val="000000"/>
                <w:szCs w:val="20"/>
                <w:lang w:val="en-US"/>
              </w:rPr>
              <w:t>260</w:t>
            </w:r>
          </w:p>
        </w:tc>
        <w:tc>
          <w:tcPr>
            <w:tcW w:w="302" w:type="pct"/>
            <w:shd w:val="clear" w:color="auto" w:fill="auto"/>
            <w:noWrap/>
            <w:vAlign w:val="center"/>
            <w:hideMark/>
          </w:tcPr>
          <w:p w:rsidR="00B35ECC" w:rsidRPr="00CC18AA" w:rsidRDefault="00B35ECC" w:rsidP="00CC18AA">
            <w:pPr>
              <w:spacing w:before="60" w:after="60"/>
              <w:jc w:val="center"/>
              <w:rPr>
                <w:rFonts w:cs="Arial"/>
                <w:b/>
                <w:bCs/>
                <w:color w:val="000000"/>
                <w:szCs w:val="20"/>
                <w:lang w:val="en-US"/>
              </w:rPr>
            </w:pPr>
            <w:r w:rsidRPr="00CC18AA">
              <w:rPr>
                <w:rFonts w:cs="Arial"/>
                <w:b/>
                <w:bCs/>
                <w:color w:val="000000"/>
                <w:szCs w:val="20"/>
                <w:lang w:val="en-US"/>
              </w:rPr>
              <w:t>38</w:t>
            </w:r>
          </w:p>
        </w:tc>
        <w:tc>
          <w:tcPr>
            <w:tcW w:w="404" w:type="pct"/>
            <w:shd w:val="clear" w:color="auto" w:fill="auto"/>
            <w:noWrap/>
            <w:vAlign w:val="center"/>
            <w:hideMark/>
          </w:tcPr>
          <w:p w:rsidR="00B35ECC" w:rsidRPr="00CC18AA" w:rsidRDefault="00B35ECC" w:rsidP="00CC18AA">
            <w:pPr>
              <w:spacing w:before="60" w:after="60"/>
              <w:jc w:val="center"/>
              <w:rPr>
                <w:rFonts w:cs="Arial"/>
                <w:b/>
                <w:bCs/>
                <w:color w:val="000000"/>
                <w:szCs w:val="20"/>
                <w:lang w:val="en-US"/>
              </w:rPr>
            </w:pPr>
            <w:r w:rsidRPr="00CC18AA">
              <w:rPr>
                <w:rFonts w:cs="Arial"/>
                <w:b/>
                <w:bCs/>
                <w:color w:val="000000"/>
                <w:szCs w:val="20"/>
                <w:lang w:val="en-US"/>
              </w:rPr>
              <w:t>91</w:t>
            </w:r>
          </w:p>
        </w:tc>
      </w:tr>
    </w:tbl>
    <w:p w:rsidR="00B35ECC" w:rsidRDefault="00B35ECC" w:rsidP="00B35ECC"/>
    <w:p w:rsidR="00B35ECC" w:rsidRDefault="00BF2063" w:rsidP="007A0923">
      <w:pPr>
        <w:pStyle w:val="Caption"/>
      </w:pPr>
      <w:r>
        <w:br w:type="page"/>
      </w:r>
      <w:bookmarkStart w:id="26" w:name="_Ref456347407"/>
      <w:r w:rsidR="00B35ECC">
        <w:t xml:space="preserve">Table </w:t>
      </w:r>
      <w:fldSimple w:instr=" STYLEREF 6 \s ">
        <w:r w:rsidR="005D5925">
          <w:rPr>
            <w:noProof/>
          </w:rPr>
          <w:t>B</w:t>
        </w:r>
      </w:fldSimple>
      <w:r w:rsidR="005D4453">
        <w:noBreakHyphen/>
      </w:r>
      <w:fldSimple w:instr=" SEQ Table \* ARABIC \s 6 ">
        <w:r w:rsidR="005D5925">
          <w:rPr>
            <w:noProof/>
          </w:rPr>
          <w:t>6</w:t>
        </w:r>
      </w:fldSimple>
      <w:bookmarkEnd w:id="26"/>
      <w:r w:rsidR="00B35ECC">
        <w:t xml:space="preserve"> </w:t>
      </w:r>
      <w:r w:rsidR="00B35ECC" w:rsidRPr="00E950FF">
        <w:t>Wetland inundation extent</w:t>
      </w:r>
      <w:r w:rsidR="00B35ECC">
        <w:t>,</w:t>
      </w:r>
      <w:r w:rsidR="00B35ECC" w:rsidRPr="00E950FF">
        <w:t xml:space="preserve"> including percentage of total extent</w:t>
      </w:r>
      <w:r w:rsidR="00B35ECC">
        <w:t>,</w:t>
      </w:r>
      <w:r w:rsidR="00B35ECC" w:rsidRPr="00E950FF">
        <w:t xml:space="preserve"> for diff</w:t>
      </w:r>
      <w:r w:rsidR="00B35ECC">
        <w:t>erent vegetation communit</w:t>
      </w:r>
      <w:r w:rsidR="00B35ECC">
        <w:rPr>
          <w:noProof/>
        </w:rPr>
        <w:t>ies in the Mallowa wetlands in 2015-16.</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279"/>
        <w:gridCol w:w="5193"/>
        <w:gridCol w:w="1278"/>
        <w:gridCol w:w="1278"/>
        <w:gridCol w:w="1278"/>
        <w:gridCol w:w="1278"/>
        <w:gridCol w:w="1278"/>
        <w:gridCol w:w="1278"/>
      </w:tblGrid>
      <w:tr w:rsidR="00CC18AA" w:rsidRPr="00BF2063" w:rsidTr="00CC18AA">
        <w:trPr>
          <w:trHeight w:val="240"/>
        </w:trPr>
        <w:tc>
          <w:tcPr>
            <w:tcW w:w="452" w:type="pct"/>
            <w:shd w:val="clear" w:color="auto" w:fill="D9D9D9"/>
            <w:noWrap/>
            <w:vAlign w:val="center"/>
            <w:hideMark/>
          </w:tcPr>
          <w:p w:rsidR="00B35ECC" w:rsidRPr="00CC18AA" w:rsidRDefault="00B35ECC" w:rsidP="00CC18AA">
            <w:pPr>
              <w:spacing w:before="60" w:after="60"/>
              <w:jc w:val="center"/>
              <w:rPr>
                <w:rFonts w:cs="Arial"/>
                <w:bCs/>
                <w:color w:val="000000"/>
                <w:szCs w:val="20"/>
                <w:lang w:val="en-US"/>
              </w:rPr>
            </w:pPr>
            <w:r w:rsidRPr="00CC18AA">
              <w:rPr>
                <w:rFonts w:cs="Arial"/>
                <w:bCs/>
                <w:color w:val="000000"/>
                <w:szCs w:val="20"/>
                <w:lang w:val="en-US"/>
              </w:rPr>
              <w:t>Wetland</w:t>
            </w:r>
          </w:p>
        </w:tc>
        <w:tc>
          <w:tcPr>
            <w:tcW w:w="1836" w:type="pct"/>
            <w:shd w:val="clear" w:color="auto" w:fill="D9D9D9"/>
            <w:noWrap/>
            <w:vAlign w:val="center"/>
            <w:hideMark/>
          </w:tcPr>
          <w:p w:rsidR="00B35ECC" w:rsidRPr="00CC18AA" w:rsidRDefault="00B35ECC" w:rsidP="00CC18AA">
            <w:pPr>
              <w:spacing w:before="60" w:after="60"/>
              <w:jc w:val="center"/>
              <w:rPr>
                <w:rFonts w:cs="Arial"/>
                <w:bCs/>
                <w:color w:val="000000"/>
                <w:szCs w:val="20"/>
                <w:lang w:val="en-US"/>
              </w:rPr>
            </w:pPr>
            <w:r w:rsidRPr="00CC18AA">
              <w:rPr>
                <w:rFonts w:cs="Arial"/>
                <w:bCs/>
                <w:color w:val="000000"/>
                <w:szCs w:val="20"/>
                <w:lang w:val="en-US"/>
              </w:rPr>
              <w:t>Vegetation Community</w:t>
            </w:r>
          </w:p>
        </w:tc>
        <w:tc>
          <w:tcPr>
            <w:tcW w:w="452" w:type="pct"/>
            <w:shd w:val="clear" w:color="auto" w:fill="D9D9D9"/>
            <w:noWrap/>
            <w:vAlign w:val="center"/>
            <w:hideMark/>
          </w:tcPr>
          <w:p w:rsidR="00B35ECC" w:rsidRPr="00CC18AA" w:rsidRDefault="00B35ECC" w:rsidP="00CC18AA">
            <w:pPr>
              <w:spacing w:before="60" w:after="60"/>
              <w:jc w:val="center"/>
              <w:rPr>
                <w:rFonts w:cs="Arial"/>
                <w:bCs/>
                <w:color w:val="000000"/>
                <w:szCs w:val="20"/>
                <w:lang w:val="en-US"/>
              </w:rPr>
            </w:pPr>
            <w:r w:rsidRPr="00CC18AA">
              <w:rPr>
                <w:rFonts w:cs="Arial"/>
                <w:bCs/>
                <w:color w:val="000000"/>
                <w:szCs w:val="20"/>
                <w:lang w:val="en-US"/>
              </w:rPr>
              <w:t>Aug 15</w:t>
            </w:r>
          </w:p>
        </w:tc>
        <w:tc>
          <w:tcPr>
            <w:tcW w:w="452" w:type="pct"/>
            <w:shd w:val="clear" w:color="auto" w:fill="D9D9D9"/>
            <w:noWrap/>
            <w:vAlign w:val="center"/>
            <w:hideMark/>
          </w:tcPr>
          <w:p w:rsidR="00B35ECC" w:rsidRPr="00CC18AA" w:rsidRDefault="00B35ECC" w:rsidP="00CC18AA">
            <w:pPr>
              <w:spacing w:before="60" w:after="60"/>
              <w:jc w:val="center"/>
              <w:rPr>
                <w:rFonts w:cs="Arial"/>
                <w:bCs/>
                <w:color w:val="000000"/>
                <w:szCs w:val="20"/>
                <w:lang w:val="en-US"/>
              </w:rPr>
            </w:pPr>
            <w:r w:rsidRPr="00CC18AA">
              <w:rPr>
                <w:rFonts w:cs="Arial"/>
                <w:bCs/>
                <w:color w:val="000000"/>
                <w:szCs w:val="20"/>
                <w:lang w:val="en-US"/>
              </w:rPr>
              <w:t>Oct 15</w:t>
            </w:r>
          </w:p>
        </w:tc>
        <w:tc>
          <w:tcPr>
            <w:tcW w:w="452" w:type="pct"/>
            <w:shd w:val="clear" w:color="auto" w:fill="D9D9D9"/>
            <w:noWrap/>
            <w:vAlign w:val="center"/>
            <w:hideMark/>
          </w:tcPr>
          <w:p w:rsidR="00B35ECC" w:rsidRPr="00CC18AA" w:rsidRDefault="00B35ECC" w:rsidP="00CC18AA">
            <w:pPr>
              <w:spacing w:before="60" w:after="60"/>
              <w:jc w:val="center"/>
              <w:rPr>
                <w:rFonts w:cs="Arial"/>
                <w:bCs/>
                <w:color w:val="000000"/>
                <w:szCs w:val="20"/>
                <w:lang w:val="en-US"/>
              </w:rPr>
            </w:pPr>
            <w:r w:rsidRPr="00CC18AA">
              <w:rPr>
                <w:rFonts w:cs="Arial"/>
                <w:bCs/>
                <w:color w:val="000000"/>
                <w:szCs w:val="20"/>
                <w:lang w:val="en-US"/>
              </w:rPr>
              <w:t>Nov 15</w:t>
            </w:r>
          </w:p>
        </w:tc>
        <w:tc>
          <w:tcPr>
            <w:tcW w:w="452" w:type="pct"/>
            <w:shd w:val="clear" w:color="auto" w:fill="D9D9D9"/>
            <w:noWrap/>
            <w:vAlign w:val="center"/>
            <w:hideMark/>
          </w:tcPr>
          <w:p w:rsidR="00B35ECC" w:rsidRPr="00CC18AA" w:rsidRDefault="00B35ECC" w:rsidP="00CC18AA">
            <w:pPr>
              <w:spacing w:before="60" w:after="60"/>
              <w:jc w:val="center"/>
              <w:rPr>
                <w:rFonts w:cs="Arial"/>
                <w:bCs/>
                <w:color w:val="000000"/>
                <w:szCs w:val="20"/>
                <w:lang w:val="en-US"/>
              </w:rPr>
            </w:pPr>
            <w:r w:rsidRPr="00CC18AA">
              <w:rPr>
                <w:rFonts w:cs="Arial"/>
                <w:bCs/>
                <w:color w:val="000000"/>
                <w:szCs w:val="20"/>
                <w:lang w:val="en-US"/>
              </w:rPr>
              <w:t>Feb 16</w:t>
            </w:r>
          </w:p>
        </w:tc>
        <w:tc>
          <w:tcPr>
            <w:tcW w:w="452" w:type="pct"/>
            <w:shd w:val="clear" w:color="auto" w:fill="D9D9D9"/>
            <w:noWrap/>
            <w:vAlign w:val="center"/>
            <w:hideMark/>
          </w:tcPr>
          <w:p w:rsidR="00B35ECC" w:rsidRPr="00CC18AA" w:rsidRDefault="00B35ECC" w:rsidP="00CC18AA">
            <w:pPr>
              <w:spacing w:before="60" w:after="60"/>
              <w:jc w:val="center"/>
              <w:rPr>
                <w:rFonts w:cs="Arial"/>
                <w:bCs/>
                <w:color w:val="000000"/>
                <w:szCs w:val="20"/>
                <w:lang w:val="en-US"/>
              </w:rPr>
            </w:pPr>
            <w:r w:rsidRPr="00CC18AA">
              <w:rPr>
                <w:rFonts w:cs="Arial"/>
                <w:bCs/>
                <w:color w:val="000000"/>
                <w:szCs w:val="20"/>
                <w:lang w:val="en-US"/>
              </w:rPr>
              <w:t>Apr 16</w:t>
            </w:r>
          </w:p>
        </w:tc>
        <w:tc>
          <w:tcPr>
            <w:tcW w:w="452" w:type="pct"/>
            <w:shd w:val="clear" w:color="auto" w:fill="D9D9D9"/>
            <w:noWrap/>
            <w:vAlign w:val="center"/>
            <w:hideMark/>
          </w:tcPr>
          <w:p w:rsidR="00B35ECC" w:rsidRPr="00CC18AA" w:rsidRDefault="00B35ECC" w:rsidP="00CC18AA">
            <w:pPr>
              <w:spacing w:before="60" w:after="60"/>
              <w:jc w:val="center"/>
              <w:rPr>
                <w:rFonts w:cs="Arial"/>
                <w:bCs/>
                <w:color w:val="000000"/>
                <w:szCs w:val="20"/>
                <w:lang w:val="en-US"/>
              </w:rPr>
            </w:pPr>
            <w:r w:rsidRPr="00CC18AA">
              <w:rPr>
                <w:rFonts w:cs="Arial"/>
                <w:bCs/>
                <w:color w:val="000000"/>
                <w:szCs w:val="20"/>
                <w:lang w:val="en-US"/>
              </w:rPr>
              <w:t>May 16</w:t>
            </w:r>
          </w:p>
        </w:tc>
      </w:tr>
      <w:tr w:rsidR="00CC18AA" w:rsidRPr="00BF2063" w:rsidTr="00CC18AA">
        <w:trPr>
          <w:trHeight w:val="240"/>
        </w:trPr>
        <w:tc>
          <w:tcPr>
            <w:tcW w:w="452" w:type="pct"/>
            <w:vMerge w:val="restart"/>
            <w:shd w:val="clear" w:color="auto" w:fill="auto"/>
            <w:noWrap/>
            <w:vAlign w:val="center"/>
            <w:hideMark/>
          </w:tcPr>
          <w:p w:rsidR="00B35ECC" w:rsidRPr="00CC18AA" w:rsidRDefault="00B35ECC" w:rsidP="00CC18AA">
            <w:pPr>
              <w:spacing w:before="60" w:after="60"/>
              <w:jc w:val="center"/>
              <w:rPr>
                <w:rFonts w:cs="Arial"/>
                <w:bCs/>
                <w:color w:val="000000"/>
                <w:szCs w:val="20"/>
                <w:lang w:val="en-US"/>
              </w:rPr>
            </w:pPr>
            <w:r w:rsidRPr="00CC18AA">
              <w:rPr>
                <w:rFonts w:cs="Arial"/>
                <w:bCs/>
                <w:color w:val="000000"/>
                <w:szCs w:val="20"/>
                <w:lang w:val="en-US"/>
              </w:rPr>
              <w:t>Mallowa</w:t>
            </w:r>
          </w:p>
        </w:tc>
        <w:tc>
          <w:tcPr>
            <w:tcW w:w="1836" w:type="pct"/>
            <w:shd w:val="clear" w:color="auto" w:fill="auto"/>
            <w:noWrap/>
            <w:vAlign w:val="center"/>
            <w:hideMark/>
          </w:tcPr>
          <w:p w:rsidR="00B35ECC" w:rsidRPr="00CC18AA" w:rsidRDefault="006177FD" w:rsidP="00CC18AA">
            <w:pPr>
              <w:spacing w:before="60" w:after="60"/>
              <w:jc w:val="left"/>
              <w:rPr>
                <w:rFonts w:cs="Arial"/>
                <w:color w:val="000000"/>
                <w:szCs w:val="20"/>
                <w:lang w:val="en-US"/>
              </w:rPr>
            </w:pPr>
            <w:r w:rsidRPr="00CC18AA">
              <w:rPr>
                <w:rFonts w:cs="Arial"/>
                <w:color w:val="000000"/>
                <w:szCs w:val="20"/>
                <w:lang w:val="en-US"/>
              </w:rPr>
              <w:t>coolibah - cultivated</w:t>
            </w:r>
          </w:p>
        </w:tc>
        <w:tc>
          <w:tcPr>
            <w:tcW w:w="452"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0.1 (1)</w:t>
            </w:r>
          </w:p>
        </w:tc>
        <w:tc>
          <w:tcPr>
            <w:tcW w:w="452"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452"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0.6 (3)</w:t>
            </w:r>
          </w:p>
        </w:tc>
        <w:tc>
          <w:tcPr>
            <w:tcW w:w="452"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5.8 (3)</w:t>
            </w:r>
          </w:p>
        </w:tc>
        <w:tc>
          <w:tcPr>
            <w:tcW w:w="452"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0.8 (0)</w:t>
            </w:r>
          </w:p>
        </w:tc>
        <w:tc>
          <w:tcPr>
            <w:tcW w:w="452"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0.6 (3)</w:t>
            </w:r>
          </w:p>
        </w:tc>
      </w:tr>
      <w:tr w:rsidR="00CC18AA" w:rsidRPr="00BF2063" w:rsidTr="00CC18AA">
        <w:trPr>
          <w:trHeight w:val="240"/>
        </w:trPr>
        <w:tc>
          <w:tcPr>
            <w:tcW w:w="452" w:type="pct"/>
            <w:vMerge/>
            <w:shd w:val="clear" w:color="auto" w:fill="auto"/>
            <w:vAlign w:val="center"/>
            <w:hideMark/>
          </w:tcPr>
          <w:p w:rsidR="00B35ECC" w:rsidRPr="00CC18AA" w:rsidRDefault="00B35ECC" w:rsidP="00CC18AA">
            <w:pPr>
              <w:spacing w:before="60" w:after="60"/>
              <w:jc w:val="center"/>
              <w:rPr>
                <w:rFonts w:cs="Arial"/>
                <w:bCs/>
                <w:color w:val="000000"/>
                <w:szCs w:val="20"/>
                <w:lang w:val="en-US"/>
              </w:rPr>
            </w:pPr>
          </w:p>
        </w:tc>
        <w:tc>
          <w:tcPr>
            <w:tcW w:w="1836" w:type="pct"/>
            <w:shd w:val="clear" w:color="auto" w:fill="auto"/>
            <w:noWrap/>
            <w:vAlign w:val="center"/>
            <w:hideMark/>
          </w:tcPr>
          <w:p w:rsidR="00B35ECC" w:rsidRPr="00CC18AA" w:rsidRDefault="006177FD" w:rsidP="00CC18AA">
            <w:pPr>
              <w:spacing w:before="60" w:after="60"/>
              <w:jc w:val="left"/>
              <w:rPr>
                <w:rFonts w:cs="Arial"/>
                <w:color w:val="000000"/>
                <w:szCs w:val="20"/>
                <w:lang w:val="en-US"/>
              </w:rPr>
            </w:pPr>
            <w:r w:rsidRPr="00CC18AA">
              <w:rPr>
                <w:rFonts w:cs="Arial"/>
                <w:color w:val="000000"/>
                <w:szCs w:val="20"/>
                <w:lang w:val="en-US"/>
              </w:rPr>
              <w:t>coolibah - river cooba - lignum association</w:t>
            </w:r>
          </w:p>
        </w:tc>
        <w:tc>
          <w:tcPr>
            <w:tcW w:w="452"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10.7 (99)</w:t>
            </w:r>
          </w:p>
        </w:tc>
        <w:tc>
          <w:tcPr>
            <w:tcW w:w="452"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13.1 (100)</w:t>
            </w:r>
          </w:p>
        </w:tc>
        <w:tc>
          <w:tcPr>
            <w:tcW w:w="452"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24.0 (96)</w:t>
            </w:r>
          </w:p>
        </w:tc>
        <w:tc>
          <w:tcPr>
            <w:tcW w:w="452"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201.6 (96)</w:t>
            </w:r>
          </w:p>
        </w:tc>
        <w:tc>
          <w:tcPr>
            <w:tcW w:w="452"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64.1 (98)</w:t>
            </w:r>
          </w:p>
        </w:tc>
        <w:tc>
          <w:tcPr>
            <w:tcW w:w="452"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17 (93)</w:t>
            </w:r>
          </w:p>
        </w:tc>
      </w:tr>
      <w:tr w:rsidR="00CC18AA" w:rsidRPr="00BF2063" w:rsidTr="00CC18AA">
        <w:trPr>
          <w:trHeight w:val="240"/>
        </w:trPr>
        <w:tc>
          <w:tcPr>
            <w:tcW w:w="452" w:type="pct"/>
            <w:vMerge/>
            <w:shd w:val="clear" w:color="auto" w:fill="auto"/>
            <w:vAlign w:val="center"/>
            <w:hideMark/>
          </w:tcPr>
          <w:p w:rsidR="00B35ECC" w:rsidRPr="00CC18AA" w:rsidRDefault="00B35ECC" w:rsidP="00CC18AA">
            <w:pPr>
              <w:spacing w:before="60" w:after="60"/>
              <w:jc w:val="center"/>
              <w:rPr>
                <w:rFonts w:cs="Arial"/>
                <w:bCs/>
                <w:color w:val="000000"/>
                <w:szCs w:val="20"/>
                <w:lang w:val="en-US"/>
              </w:rPr>
            </w:pPr>
          </w:p>
        </w:tc>
        <w:tc>
          <w:tcPr>
            <w:tcW w:w="1836" w:type="pct"/>
            <w:shd w:val="clear" w:color="auto" w:fill="auto"/>
            <w:noWrap/>
            <w:vAlign w:val="center"/>
            <w:hideMark/>
          </w:tcPr>
          <w:p w:rsidR="00B35ECC" w:rsidRPr="00CC18AA" w:rsidRDefault="006177FD" w:rsidP="00CC18AA">
            <w:pPr>
              <w:spacing w:before="60" w:after="60"/>
              <w:jc w:val="left"/>
              <w:rPr>
                <w:rFonts w:cs="Arial"/>
                <w:color w:val="000000"/>
                <w:szCs w:val="20"/>
                <w:lang w:val="en-US"/>
              </w:rPr>
            </w:pPr>
            <w:r w:rsidRPr="00CC18AA">
              <w:rPr>
                <w:rFonts w:cs="Arial"/>
                <w:color w:val="000000"/>
                <w:szCs w:val="20"/>
                <w:lang w:val="en-US"/>
              </w:rPr>
              <w:t>coolibah woodlands</w:t>
            </w:r>
          </w:p>
        </w:tc>
        <w:tc>
          <w:tcPr>
            <w:tcW w:w="452"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452"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452"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0.1 (0)</w:t>
            </w:r>
          </w:p>
        </w:tc>
        <w:tc>
          <w:tcPr>
            <w:tcW w:w="452"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2.8 (1)</w:t>
            </w:r>
          </w:p>
        </w:tc>
        <w:tc>
          <w:tcPr>
            <w:tcW w:w="452"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0.3 (0)</w:t>
            </w:r>
          </w:p>
        </w:tc>
        <w:tc>
          <w:tcPr>
            <w:tcW w:w="452"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0.6 (3)</w:t>
            </w:r>
          </w:p>
        </w:tc>
      </w:tr>
      <w:tr w:rsidR="00CC18AA" w:rsidRPr="00BF2063" w:rsidTr="00CC18AA">
        <w:trPr>
          <w:trHeight w:val="240"/>
        </w:trPr>
        <w:tc>
          <w:tcPr>
            <w:tcW w:w="452" w:type="pct"/>
            <w:vMerge/>
            <w:shd w:val="clear" w:color="auto" w:fill="auto"/>
            <w:vAlign w:val="center"/>
            <w:hideMark/>
          </w:tcPr>
          <w:p w:rsidR="00B35ECC" w:rsidRPr="00CC18AA" w:rsidRDefault="00B35ECC" w:rsidP="00CC18AA">
            <w:pPr>
              <w:spacing w:before="60" w:after="60"/>
              <w:jc w:val="center"/>
              <w:rPr>
                <w:rFonts w:cs="Arial"/>
                <w:bCs/>
                <w:color w:val="000000"/>
                <w:szCs w:val="20"/>
                <w:lang w:val="en-US"/>
              </w:rPr>
            </w:pPr>
          </w:p>
        </w:tc>
        <w:tc>
          <w:tcPr>
            <w:tcW w:w="1836" w:type="pct"/>
            <w:shd w:val="clear" w:color="auto" w:fill="auto"/>
            <w:noWrap/>
            <w:vAlign w:val="center"/>
            <w:hideMark/>
          </w:tcPr>
          <w:p w:rsidR="00B35ECC" w:rsidRPr="00CC18AA" w:rsidRDefault="006177FD" w:rsidP="00CC18AA">
            <w:pPr>
              <w:spacing w:before="60" w:after="60"/>
              <w:jc w:val="left"/>
              <w:rPr>
                <w:rFonts w:cs="Arial"/>
                <w:color w:val="000000"/>
                <w:szCs w:val="20"/>
                <w:lang w:val="en-US"/>
              </w:rPr>
            </w:pPr>
            <w:r w:rsidRPr="00CC18AA">
              <w:rPr>
                <w:rFonts w:cs="Arial"/>
                <w:color w:val="000000"/>
                <w:szCs w:val="20"/>
                <w:lang w:val="en-US"/>
              </w:rPr>
              <w:t>river cooba - lignum association</w:t>
            </w:r>
          </w:p>
        </w:tc>
        <w:tc>
          <w:tcPr>
            <w:tcW w:w="452"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1 (0)</w:t>
            </w:r>
          </w:p>
        </w:tc>
        <w:tc>
          <w:tcPr>
            <w:tcW w:w="452"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452"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0.2 (1)</w:t>
            </w:r>
          </w:p>
        </w:tc>
        <w:tc>
          <w:tcPr>
            <w:tcW w:w="452"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0.4 (0)</w:t>
            </w:r>
          </w:p>
        </w:tc>
        <w:tc>
          <w:tcPr>
            <w:tcW w:w="452"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 (0)</w:t>
            </w:r>
          </w:p>
        </w:tc>
        <w:tc>
          <w:tcPr>
            <w:tcW w:w="452" w:type="pct"/>
            <w:shd w:val="clear" w:color="auto" w:fill="auto"/>
            <w:noWrap/>
            <w:vAlign w:val="center"/>
            <w:hideMark/>
          </w:tcPr>
          <w:p w:rsidR="00B35ECC" w:rsidRPr="00CC18AA" w:rsidRDefault="00B35ECC" w:rsidP="00CC18AA">
            <w:pPr>
              <w:spacing w:before="60" w:after="60"/>
              <w:jc w:val="center"/>
              <w:rPr>
                <w:rFonts w:cs="Arial"/>
                <w:color w:val="000000"/>
                <w:szCs w:val="20"/>
                <w:lang w:val="en-US"/>
              </w:rPr>
            </w:pPr>
            <w:r w:rsidRPr="00CC18AA">
              <w:rPr>
                <w:rFonts w:cs="Arial"/>
                <w:color w:val="000000"/>
                <w:szCs w:val="20"/>
                <w:lang w:val="en-US"/>
              </w:rPr>
              <w:t>0.1 (3)</w:t>
            </w:r>
          </w:p>
        </w:tc>
      </w:tr>
      <w:tr w:rsidR="00CC18AA" w:rsidRPr="00BF2063" w:rsidTr="00CC18AA">
        <w:trPr>
          <w:trHeight w:val="240"/>
        </w:trPr>
        <w:tc>
          <w:tcPr>
            <w:tcW w:w="452" w:type="pct"/>
            <w:vMerge/>
            <w:shd w:val="clear" w:color="auto" w:fill="auto"/>
            <w:vAlign w:val="center"/>
            <w:hideMark/>
          </w:tcPr>
          <w:p w:rsidR="00B35ECC" w:rsidRPr="00CC18AA" w:rsidRDefault="00B35ECC" w:rsidP="00CC18AA">
            <w:pPr>
              <w:spacing w:before="60" w:after="60"/>
              <w:jc w:val="center"/>
              <w:rPr>
                <w:rFonts w:cs="Arial"/>
                <w:bCs/>
                <w:color w:val="000000"/>
                <w:szCs w:val="20"/>
                <w:lang w:val="en-US"/>
              </w:rPr>
            </w:pPr>
          </w:p>
        </w:tc>
        <w:tc>
          <w:tcPr>
            <w:tcW w:w="1836" w:type="pct"/>
            <w:shd w:val="clear" w:color="auto" w:fill="auto"/>
            <w:noWrap/>
            <w:vAlign w:val="center"/>
            <w:hideMark/>
          </w:tcPr>
          <w:p w:rsidR="00B35ECC" w:rsidRPr="00CC18AA" w:rsidRDefault="00B35ECC" w:rsidP="00CC18AA">
            <w:pPr>
              <w:spacing w:before="60" w:after="60"/>
              <w:jc w:val="left"/>
              <w:rPr>
                <w:rFonts w:cs="Arial"/>
                <w:b/>
                <w:color w:val="000000"/>
                <w:szCs w:val="20"/>
                <w:lang w:val="en-US"/>
              </w:rPr>
            </w:pPr>
            <w:r w:rsidRPr="00CC18AA">
              <w:rPr>
                <w:rFonts w:cs="Arial"/>
                <w:b/>
                <w:color w:val="000000"/>
                <w:szCs w:val="20"/>
                <w:lang w:val="en-US"/>
              </w:rPr>
              <w:t>Total</w:t>
            </w:r>
          </w:p>
        </w:tc>
        <w:tc>
          <w:tcPr>
            <w:tcW w:w="452" w:type="pct"/>
            <w:shd w:val="clear" w:color="auto" w:fill="auto"/>
            <w:noWrap/>
            <w:vAlign w:val="center"/>
            <w:hideMark/>
          </w:tcPr>
          <w:p w:rsidR="00B35ECC" w:rsidRPr="00CC18AA" w:rsidRDefault="00B35ECC" w:rsidP="00CC18AA">
            <w:pPr>
              <w:spacing w:before="60" w:after="60"/>
              <w:jc w:val="center"/>
              <w:rPr>
                <w:rFonts w:cs="Arial"/>
                <w:b/>
                <w:color w:val="000000"/>
                <w:szCs w:val="20"/>
                <w:lang w:val="en-US"/>
              </w:rPr>
            </w:pPr>
            <w:r w:rsidRPr="00CC18AA">
              <w:rPr>
                <w:rFonts w:cs="Arial"/>
                <w:b/>
                <w:color w:val="000000"/>
                <w:szCs w:val="20"/>
                <w:lang w:val="en-US"/>
              </w:rPr>
              <w:t>10.8</w:t>
            </w:r>
          </w:p>
        </w:tc>
        <w:tc>
          <w:tcPr>
            <w:tcW w:w="452" w:type="pct"/>
            <w:shd w:val="clear" w:color="auto" w:fill="auto"/>
            <w:noWrap/>
            <w:vAlign w:val="center"/>
            <w:hideMark/>
          </w:tcPr>
          <w:p w:rsidR="00B35ECC" w:rsidRPr="00CC18AA" w:rsidRDefault="00B35ECC" w:rsidP="00CC18AA">
            <w:pPr>
              <w:spacing w:before="60" w:after="60"/>
              <w:jc w:val="center"/>
              <w:rPr>
                <w:rFonts w:cs="Arial"/>
                <w:b/>
                <w:color w:val="000000"/>
                <w:szCs w:val="20"/>
                <w:lang w:val="en-US"/>
              </w:rPr>
            </w:pPr>
            <w:r w:rsidRPr="00CC18AA">
              <w:rPr>
                <w:rFonts w:cs="Arial"/>
                <w:b/>
                <w:color w:val="000000"/>
                <w:szCs w:val="20"/>
                <w:lang w:val="en-US"/>
              </w:rPr>
              <w:t>13.1</w:t>
            </w:r>
          </w:p>
        </w:tc>
        <w:tc>
          <w:tcPr>
            <w:tcW w:w="452" w:type="pct"/>
            <w:shd w:val="clear" w:color="auto" w:fill="auto"/>
            <w:noWrap/>
            <w:vAlign w:val="center"/>
            <w:hideMark/>
          </w:tcPr>
          <w:p w:rsidR="00B35ECC" w:rsidRPr="00CC18AA" w:rsidRDefault="00B35ECC" w:rsidP="00CC18AA">
            <w:pPr>
              <w:spacing w:before="60" w:after="60"/>
              <w:jc w:val="center"/>
              <w:rPr>
                <w:rFonts w:cs="Arial"/>
                <w:b/>
                <w:color w:val="000000"/>
                <w:szCs w:val="20"/>
                <w:lang w:val="en-US"/>
              </w:rPr>
            </w:pPr>
            <w:r w:rsidRPr="00CC18AA">
              <w:rPr>
                <w:rFonts w:cs="Arial"/>
                <w:b/>
                <w:color w:val="000000"/>
                <w:szCs w:val="20"/>
                <w:lang w:val="en-US"/>
              </w:rPr>
              <w:t>24.9</w:t>
            </w:r>
          </w:p>
        </w:tc>
        <w:tc>
          <w:tcPr>
            <w:tcW w:w="452" w:type="pct"/>
            <w:shd w:val="clear" w:color="auto" w:fill="auto"/>
            <w:noWrap/>
            <w:vAlign w:val="center"/>
            <w:hideMark/>
          </w:tcPr>
          <w:p w:rsidR="00B35ECC" w:rsidRPr="00CC18AA" w:rsidRDefault="00B35ECC" w:rsidP="00CC18AA">
            <w:pPr>
              <w:spacing w:before="60" w:after="60"/>
              <w:jc w:val="center"/>
              <w:rPr>
                <w:rFonts w:cs="Arial"/>
                <w:b/>
                <w:color w:val="000000"/>
                <w:szCs w:val="20"/>
                <w:lang w:val="en-US"/>
              </w:rPr>
            </w:pPr>
            <w:r w:rsidRPr="00CC18AA">
              <w:rPr>
                <w:rFonts w:cs="Arial"/>
                <w:b/>
                <w:color w:val="000000"/>
                <w:szCs w:val="20"/>
                <w:lang w:val="en-US"/>
              </w:rPr>
              <w:t>210.7</w:t>
            </w:r>
          </w:p>
        </w:tc>
        <w:tc>
          <w:tcPr>
            <w:tcW w:w="452" w:type="pct"/>
            <w:shd w:val="clear" w:color="auto" w:fill="auto"/>
            <w:noWrap/>
            <w:vAlign w:val="center"/>
            <w:hideMark/>
          </w:tcPr>
          <w:p w:rsidR="00B35ECC" w:rsidRPr="00CC18AA" w:rsidRDefault="00B35ECC" w:rsidP="00CC18AA">
            <w:pPr>
              <w:spacing w:before="60" w:after="60"/>
              <w:jc w:val="center"/>
              <w:rPr>
                <w:rFonts w:cs="Arial"/>
                <w:b/>
                <w:color w:val="000000"/>
                <w:szCs w:val="20"/>
                <w:lang w:val="en-US"/>
              </w:rPr>
            </w:pPr>
            <w:r w:rsidRPr="00CC18AA">
              <w:rPr>
                <w:rFonts w:cs="Arial"/>
                <w:b/>
                <w:color w:val="000000"/>
                <w:szCs w:val="20"/>
                <w:lang w:val="en-US"/>
              </w:rPr>
              <w:t>65.3</w:t>
            </w:r>
          </w:p>
        </w:tc>
        <w:tc>
          <w:tcPr>
            <w:tcW w:w="452" w:type="pct"/>
            <w:shd w:val="clear" w:color="auto" w:fill="auto"/>
            <w:noWrap/>
            <w:vAlign w:val="center"/>
            <w:hideMark/>
          </w:tcPr>
          <w:p w:rsidR="00B35ECC" w:rsidRPr="00CC18AA" w:rsidRDefault="00B35ECC" w:rsidP="00CC18AA">
            <w:pPr>
              <w:spacing w:before="60" w:after="60"/>
              <w:jc w:val="center"/>
              <w:rPr>
                <w:rFonts w:cs="Arial"/>
                <w:b/>
                <w:color w:val="000000"/>
                <w:szCs w:val="20"/>
                <w:lang w:val="en-US"/>
              </w:rPr>
            </w:pPr>
            <w:r w:rsidRPr="00CC18AA">
              <w:rPr>
                <w:rFonts w:cs="Arial"/>
                <w:b/>
                <w:color w:val="000000"/>
                <w:szCs w:val="20"/>
                <w:lang w:val="en-US"/>
              </w:rPr>
              <w:t>18.4</w:t>
            </w:r>
          </w:p>
        </w:tc>
      </w:tr>
    </w:tbl>
    <w:p w:rsidR="00B35ECC" w:rsidRDefault="00B35ECC" w:rsidP="00B35ECC"/>
    <w:p w:rsidR="00B35ECC" w:rsidRDefault="00B35ECC" w:rsidP="00B35ECC">
      <w:pPr>
        <w:sectPr w:rsidR="00B35ECC" w:rsidSect="004F411E">
          <w:headerReference w:type="default" r:id="rId37"/>
          <w:footerReference w:type="default" r:id="rId38"/>
          <w:type w:val="nextColumn"/>
          <w:pgSz w:w="16839" w:h="11907" w:orient="landscape" w:code="9"/>
          <w:pgMar w:top="1508" w:right="1219" w:bottom="1457" w:left="1480" w:header="709" w:footer="140" w:gutter="0"/>
          <w:pgNumType w:chapStyle="6"/>
          <w:cols w:space="708"/>
          <w:docGrid w:linePitch="360"/>
        </w:sectPr>
      </w:pPr>
    </w:p>
    <w:p w:rsidR="00B35ECC" w:rsidRDefault="00B35ECC" w:rsidP="009C1DAC">
      <w:pPr>
        <w:pStyle w:val="Heading7"/>
      </w:pPr>
      <w:r>
        <w:t>Discussion</w:t>
      </w:r>
    </w:p>
    <w:p w:rsidR="00B35ECC" w:rsidRDefault="00B35ECC" w:rsidP="00B35ECC">
      <w:r>
        <w:t xml:space="preserve">Environmental water deliveries produced significant inundation in the </w:t>
      </w:r>
      <w:r w:rsidR="001C3C04">
        <w:t>lower</w:t>
      </w:r>
      <w:r>
        <w:t xml:space="preserve"> Gwydir and Gingham wetlands in the 2014-15 water year and inundation estimates show that much of this water persisted through to the early parts of </w:t>
      </w:r>
      <w:r w:rsidR="00F02C78">
        <w:t>2015-16</w:t>
      </w:r>
      <w:r>
        <w:t>.  The watering strategy for the Gwydir river system Selected Area employs a multi-year wetting and drying cycle</w:t>
      </w:r>
      <w:r w:rsidR="00F02C78">
        <w:t>, with</w:t>
      </w:r>
      <w:r>
        <w:t xml:space="preserve"> 2015-16 a planned dry year for the </w:t>
      </w:r>
      <w:r w:rsidR="001C3C04">
        <w:t>lower</w:t>
      </w:r>
      <w:r>
        <w:t xml:space="preserve"> Gwydir River, Gingham </w:t>
      </w:r>
      <w:r w:rsidR="001C3C04">
        <w:t>watercourse</w:t>
      </w:r>
      <w:r>
        <w:t xml:space="preserve"> and associated wetlands. </w:t>
      </w:r>
      <w:r w:rsidR="00D81812">
        <w:t xml:space="preserve"> </w:t>
      </w:r>
      <w:r>
        <w:t xml:space="preserve">As a result, inundation extents in 2015-16 were reduced from those observed in the previous season and </w:t>
      </w:r>
      <w:r w:rsidR="00F02C78">
        <w:t>are</w:t>
      </w:r>
      <w:r>
        <w:t xml:space="preserve"> largely attributable to retained flood water and localised rainfall events.  </w:t>
      </w:r>
    </w:p>
    <w:p w:rsidR="00B35ECC" w:rsidRDefault="00B35ECC" w:rsidP="00B35ECC">
      <w:r>
        <w:t>The watering strategy focus</w:t>
      </w:r>
      <w:r w:rsidR="00F02C78">
        <w:t>ed</w:t>
      </w:r>
      <w:r>
        <w:t xml:space="preserve"> on environmental water deliveries to the Mallowa Creek wetlands as part of a c</w:t>
      </w:r>
      <w:r w:rsidR="00F02C78">
        <w:t>ommitment to support long-</w:t>
      </w:r>
      <w:r>
        <w:t xml:space="preserve">term rehabilitation in that system.  The findings of this work suggests that environmental water </w:t>
      </w:r>
      <w:r w:rsidR="00F02C78">
        <w:t>contributed to relatively small-</w:t>
      </w:r>
      <w:r>
        <w:t>scale, but important inundation of several wetlands throughout the Mallowa system during the 2015-16 water year.</w:t>
      </w:r>
    </w:p>
    <w:p w:rsidR="00B35ECC" w:rsidRPr="00B87653" w:rsidRDefault="00B35ECC" w:rsidP="00B35ECC">
      <w:r>
        <w:t xml:space="preserve">The number and type of vegetation communities inundated in 2015-16 was very similar to the 2014-15 water year in the </w:t>
      </w:r>
      <w:r w:rsidR="001C3C04">
        <w:t>lower</w:t>
      </w:r>
      <w:r>
        <w:t xml:space="preserve"> Gwydir and Gingham wetlands.  Key semi-permanent wetland species such as water couch, spike-rush, tussock rush, lignum and river cooba were all well represented in the communities inundated.  Floodplain species such as cool</w:t>
      </w:r>
      <w:r w:rsidR="00833B2A">
        <w:t>i</w:t>
      </w:r>
      <w:r>
        <w:t>bah and river red gum were also reasonably well represented in inundated communities.  The limited diversity of vegetation inundated in the Mallowa wetlands is likely a function of the physical template of that system, where inundation is more confined to fringing wetlands along the creek channel.</w:t>
      </w:r>
    </w:p>
    <w:p w:rsidR="00B35ECC" w:rsidRDefault="00B35ECC" w:rsidP="009C1DAC">
      <w:pPr>
        <w:pStyle w:val="Heading7"/>
      </w:pPr>
      <w:r>
        <w:t>Conclusion</w:t>
      </w:r>
      <w:r w:rsidRPr="00CD2E2F">
        <w:t xml:space="preserve"> </w:t>
      </w:r>
    </w:p>
    <w:p w:rsidR="00B35ECC" w:rsidRPr="00F87776" w:rsidRDefault="00B35ECC" w:rsidP="00B35ECC">
      <w:r>
        <w:t>Environmental water played a key role in inundating the Mallowa wetlands in 2015-16 which resulted in the inundation of important semi-permanent wetland and floodplain species such as cool</w:t>
      </w:r>
      <w:r w:rsidR="00833B2A">
        <w:t>i</w:t>
      </w:r>
      <w:r>
        <w:t xml:space="preserve">bah and river cooba.  Inundation extent and volume in the </w:t>
      </w:r>
      <w:r w:rsidR="001C3C04">
        <w:t>lower</w:t>
      </w:r>
      <w:r>
        <w:t xml:space="preserve"> Gwydir and Gingham wetlands was much lower than in the 2014-15 water year, but retained water from flooding driven by environmental flows in the previous year, plus localised rainfall events maintained some level of inundation throughout the 2015-16 water year.</w:t>
      </w:r>
    </w:p>
    <w:p w:rsidR="00B35ECC" w:rsidRDefault="00B35ECC" w:rsidP="009C1DAC">
      <w:pPr>
        <w:pStyle w:val="Heading7"/>
      </w:pPr>
      <w:r>
        <w:t>References</w:t>
      </w:r>
    </w:p>
    <w:p w:rsidR="00B35ECC" w:rsidRDefault="00B35ECC" w:rsidP="00B35ECC">
      <w:pPr>
        <w:rPr>
          <w:rStyle w:val="Hyperlink"/>
          <w:rFonts w:cs="Arial"/>
          <w:szCs w:val="20"/>
        </w:rPr>
      </w:pPr>
      <w:r>
        <w:rPr>
          <w:rFonts w:cs="Arial"/>
          <w:szCs w:val="20"/>
        </w:rPr>
        <w:t>Bureau of Meteorology (BoM)</w:t>
      </w:r>
      <w:r w:rsidR="003B535A">
        <w:rPr>
          <w:rFonts w:cs="Arial"/>
          <w:szCs w:val="20"/>
        </w:rPr>
        <w:t>.</w:t>
      </w:r>
      <w:r>
        <w:rPr>
          <w:rFonts w:cs="Arial"/>
          <w:szCs w:val="20"/>
        </w:rPr>
        <w:t xml:space="preserve"> 2016. </w:t>
      </w:r>
      <w:r w:rsidRPr="003B535A">
        <w:rPr>
          <w:rFonts w:cs="Arial"/>
          <w:i/>
          <w:szCs w:val="20"/>
        </w:rPr>
        <w:t>New South Wales Weather Observation Stations</w:t>
      </w:r>
      <w:r>
        <w:rPr>
          <w:rFonts w:cs="Arial"/>
          <w:szCs w:val="20"/>
        </w:rPr>
        <w:t>. [</w:t>
      </w:r>
      <w:proofErr w:type="gramStart"/>
      <w:r>
        <w:rPr>
          <w:rFonts w:cs="Arial"/>
          <w:szCs w:val="20"/>
        </w:rPr>
        <w:t>online</w:t>
      </w:r>
      <w:proofErr w:type="gramEnd"/>
      <w:r>
        <w:rPr>
          <w:rFonts w:cs="Arial"/>
          <w:szCs w:val="20"/>
        </w:rPr>
        <w:t xml:space="preserve">].  Available at: </w:t>
      </w:r>
      <w:hyperlink r:id="rId39" w:history="1">
        <w:r w:rsidRPr="0045190E">
          <w:rPr>
            <w:rStyle w:val="Hyperlink"/>
            <w:rFonts w:cs="Arial"/>
            <w:szCs w:val="20"/>
          </w:rPr>
          <w:t>http://www.bom.gov.au/nsw/observations/map.shtml</w:t>
        </w:r>
      </w:hyperlink>
      <w:r>
        <w:rPr>
          <w:rFonts w:cs="Arial"/>
          <w:szCs w:val="20"/>
        </w:rPr>
        <w:t xml:space="preserve"> </w:t>
      </w:r>
      <w:r w:rsidRPr="005A6DAD">
        <w:rPr>
          <w:rFonts w:cs="Arial"/>
          <w:szCs w:val="20"/>
        </w:rPr>
        <w:t>(</w:t>
      </w:r>
      <w:r>
        <w:rPr>
          <w:rStyle w:val="Hyperlink"/>
          <w:rFonts w:cs="Arial"/>
          <w:szCs w:val="20"/>
        </w:rPr>
        <w:t>July 7, 2016).</w:t>
      </w:r>
    </w:p>
    <w:p w:rsidR="003B535A" w:rsidRPr="00FD4C55" w:rsidRDefault="003B535A" w:rsidP="00B35ECC">
      <w:r>
        <w:t xml:space="preserve">Commonwealth of Australia. 2015. </w:t>
      </w:r>
      <w:r w:rsidRPr="008A7199">
        <w:rPr>
          <w:i/>
        </w:rPr>
        <w:t>Commonwealth Environmental Water Office Long Term intervention Monitoring Project Gwydir River System Selected Area – 2014-15 Evaluation Report</w:t>
      </w:r>
      <w:r>
        <w:t>. Commonwealth of Australia.</w:t>
      </w:r>
    </w:p>
    <w:p w:rsidR="00B35ECC" w:rsidRDefault="00B35ECC" w:rsidP="00B35ECC">
      <w:pPr>
        <w:rPr>
          <w:szCs w:val="20"/>
        </w:rPr>
      </w:pPr>
      <w:r w:rsidRPr="00571228">
        <w:rPr>
          <w:szCs w:val="20"/>
        </w:rPr>
        <w:t>Department of Environment, Cl</w:t>
      </w:r>
      <w:r>
        <w:rPr>
          <w:szCs w:val="20"/>
        </w:rPr>
        <w:t>imate Change and Water (DECCW)</w:t>
      </w:r>
      <w:r w:rsidR="003B535A">
        <w:rPr>
          <w:szCs w:val="20"/>
        </w:rPr>
        <w:t>. 2011.</w:t>
      </w:r>
      <w:r w:rsidRPr="00571228">
        <w:rPr>
          <w:szCs w:val="20"/>
        </w:rPr>
        <w:t xml:space="preserve"> </w:t>
      </w:r>
      <w:r w:rsidRPr="00571228">
        <w:rPr>
          <w:i/>
          <w:szCs w:val="20"/>
        </w:rPr>
        <w:t>Gwydir Wetlands Adaptive Environmental Management Plan: Synthesis of information projects and actions</w:t>
      </w:r>
      <w:r w:rsidRPr="00571228">
        <w:rPr>
          <w:szCs w:val="20"/>
        </w:rPr>
        <w:t xml:space="preserve">.  </w:t>
      </w:r>
    </w:p>
    <w:p w:rsidR="00B35ECC" w:rsidRDefault="00B35ECC" w:rsidP="00B35ECC">
      <w:pPr>
        <w:rPr>
          <w:szCs w:val="20"/>
        </w:rPr>
      </w:pPr>
      <w:r w:rsidRPr="00721697">
        <w:rPr>
          <w:szCs w:val="20"/>
        </w:rPr>
        <w:t xml:space="preserve">Frazier, PS, Page KJ. 2000. Water body detection and delineation with Landsat TM data. </w:t>
      </w:r>
      <w:r w:rsidRPr="00721697">
        <w:rPr>
          <w:i/>
          <w:iCs/>
          <w:szCs w:val="20"/>
        </w:rPr>
        <w:t>Photogrammetric Engineering and Remote Sensing</w:t>
      </w:r>
      <w:r w:rsidRPr="00721697">
        <w:rPr>
          <w:szCs w:val="20"/>
        </w:rPr>
        <w:t xml:space="preserve">, </w:t>
      </w:r>
      <w:r w:rsidRPr="003B535A">
        <w:rPr>
          <w:bCs/>
          <w:i/>
          <w:szCs w:val="20"/>
        </w:rPr>
        <w:t>66</w:t>
      </w:r>
      <w:r w:rsidRPr="00721697">
        <w:rPr>
          <w:szCs w:val="20"/>
        </w:rPr>
        <w:t>, 1461-1468</w:t>
      </w:r>
      <w:r>
        <w:rPr>
          <w:szCs w:val="20"/>
        </w:rPr>
        <w:t>.</w:t>
      </w:r>
    </w:p>
    <w:p w:rsidR="005F23F1" w:rsidRDefault="005F23F1" w:rsidP="00B35ECC">
      <w:pPr>
        <w:rPr>
          <w:szCs w:val="20"/>
        </w:rPr>
        <w:sectPr w:rsidR="005F23F1" w:rsidSect="00DE3DD8">
          <w:headerReference w:type="default" r:id="rId40"/>
          <w:footerReference w:type="default" r:id="rId41"/>
          <w:type w:val="nextColumn"/>
          <w:pgSz w:w="11899" w:h="16838"/>
          <w:pgMar w:top="1508" w:right="1219" w:bottom="1276" w:left="1480" w:header="811" w:footer="305" w:gutter="0"/>
          <w:pgNumType w:chapStyle="6"/>
          <w:cols w:space="708"/>
          <w:docGrid w:linePitch="360"/>
        </w:sectPr>
      </w:pPr>
    </w:p>
    <w:p w:rsidR="00B35ECC" w:rsidRPr="008C671F" w:rsidRDefault="00B35ECC" w:rsidP="009C1DAC">
      <w:pPr>
        <w:pStyle w:val="Heading6"/>
      </w:pPr>
      <w:bookmarkStart w:id="27" w:name="_Toc426839299"/>
      <w:r w:rsidRPr="008C671F">
        <w:t xml:space="preserve">Water Quality </w:t>
      </w:r>
    </w:p>
    <w:p w:rsidR="00B35ECC" w:rsidRPr="004335CD" w:rsidRDefault="00B35ECC" w:rsidP="009C1DAC">
      <w:pPr>
        <w:pStyle w:val="Heading7"/>
      </w:pPr>
      <w:r w:rsidRPr="004335CD">
        <w:t>Introduction</w:t>
      </w:r>
      <w:bookmarkEnd w:id="27"/>
    </w:p>
    <w:p w:rsidR="00B35ECC" w:rsidRPr="004335CD" w:rsidRDefault="00B35ECC" w:rsidP="0050355C">
      <w:r>
        <w:t>The category II</w:t>
      </w:r>
      <w:r w:rsidRPr="004335CD">
        <w:t xml:space="preserve"> Water Quality indicator </w:t>
      </w:r>
      <w:r>
        <w:t xml:space="preserve">aims </w:t>
      </w:r>
      <w:r w:rsidRPr="004335CD">
        <w:t xml:space="preserve">to assess the contribution of Commonwealth environmental water to the quality of water entering lower Gwydir ecological assets. </w:t>
      </w:r>
      <w:r w:rsidR="00D81812">
        <w:t xml:space="preserve"> </w:t>
      </w:r>
      <w:r w:rsidRPr="004335CD">
        <w:t xml:space="preserve">As such this indicator is linked to the </w:t>
      </w:r>
      <w:r w:rsidR="00C0500E">
        <w:t>Vegetation</w:t>
      </w:r>
      <w:r w:rsidRPr="004335CD">
        <w:t xml:space="preserve">, </w:t>
      </w:r>
      <w:r w:rsidR="00C0500E">
        <w:t>Waterbird</w:t>
      </w:r>
      <w:r w:rsidRPr="004335CD">
        <w:t xml:space="preserve">, </w:t>
      </w:r>
      <w:r w:rsidR="00C0500E">
        <w:t>Fish (River) and Hydrology River and W</w:t>
      </w:r>
      <w:r w:rsidRPr="004335CD">
        <w:t>atercourse) indicators</w:t>
      </w:r>
      <w:r w:rsidRPr="00B504DF">
        <w:t xml:space="preserve">. </w:t>
      </w:r>
      <w:r w:rsidR="00D81812">
        <w:t xml:space="preserve"> </w:t>
      </w:r>
      <w:r w:rsidRPr="00B504DF">
        <w:t xml:space="preserve">Several specific questions </w:t>
      </w:r>
      <w:r>
        <w:t xml:space="preserve">were addressed through this indicator </w:t>
      </w:r>
      <w:r w:rsidR="00523439">
        <w:t>within the Gwydir River zone of Selected Area</w:t>
      </w:r>
      <w:r>
        <w:t xml:space="preserve"> </w:t>
      </w:r>
      <w:r w:rsidRPr="00B504DF">
        <w:t>during the 2015-16 water year:</w:t>
      </w:r>
    </w:p>
    <w:p w:rsidR="00B35ECC" w:rsidRPr="00176148" w:rsidRDefault="00B35ECC" w:rsidP="005E1E2E">
      <w:pPr>
        <w:pStyle w:val="Bullets1"/>
        <w:numPr>
          <w:ilvl w:val="0"/>
          <w:numId w:val="10"/>
        </w:numPr>
        <w:ind w:left="1134" w:hanging="567"/>
      </w:pPr>
      <w:r w:rsidRPr="00176148">
        <w:t>What did Commonwealth environmental water contribute to temperature regimes?</w:t>
      </w:r>
    </w:p>
    <w:p w:rsidR="00B35ECC" w:rsidRPr="00176148" w:rsidRDefault="00B35ECC" w:rsidP="005E1E2E">
      <w:pPr>
        <w:pStyle w:val="Bullets1"/>
        <w:numPr>
          <w:ilvl w:val="0"/>
          <w:numId w:val="10"/>
        </w:numPr>
        <w:ind w:left="1134" w:hanging="567"/>
      </w:pPr>
      <w:r w:rsidRPr="00176148">
        <w:t>What did Commonwealth environmental water contribute to pH levels?</w:t>
      </w:r>
    </w:p>
    <w:p w:rsidR="00B35ECC" w:rsidRPr="00176148" w:rsidRDefault="00B35ECC" w:rsidP="005E1E2E">
      <w:pPr>
        <w:pStyle w:val="Bullets1"/>
        <w:numPr>
          <w:ilvl w:val="0"/>
          <w:numId w:val="10"/>
        </w:numPr>
        <w:ind w:left="1134" w:hanging="567"/>
      </w:pPr>
      <w:r w:rsidRPr="00176148">
        <w:t>What did Commonwealth environmental water contribute to turbidity regimes?</w:t>
      </w:r>
    </w:p>
    <w:p w:rsidR="00B35ECC" w:rsidRPr="00176148" w:rsidRDefault="00B35ECC" w:rsidP="005E1E2E">
      <w:pPr>
        <w:pStyle w:val="Bullets1"/>
        <w:numPr>
          <w:ilvl w:val="0"/>
          <w:numId w:val="10"/>
        </w:numPr>
        <w:ind w:left="1134" w:hanging="567"/>
      </w:pPr>
      <w:r w:rsidRPr="00176148">
        <w:t>What did Commonwealth environmental water contribute to salinity regimes?</w:t>
      </w:r>
    </w:p>
    <w:p w:rsidR="00B35ECC" w:rsidRPr="004335CD" w:rsidRDefault="00B35ECC" w:rsidP="005E1E2E">
      <w:pPr>
        <w:pStyle w:val="Bullets1"/>
        <w:numPr>
          <w:ilvl w:val="0"/>
          <w:numId w:val="10"/>
        </w:numPr>
        <w:spacing w:after="240"/>
        <w:ind w:left="1134" w:hanging="567"/>
      </w:pPr>
      <w:r w:rsidRPr="00176148">
        <w:t>What did Commonwealth environmental water contribute to dissolved oxygen levels</w:t>
      </w:r>
      <w:r w:rsidRPr="004335CD">
        <w:t>?</w:t>
      </w:r>
    </w:p>
    <w:p w:rsidR="00B35ECC" w:rsidRDefault="00B35ECC" w:rsidP="009C1DAC">
      <w:pPr>
        <w:pStyle w:val="Heading8"/>
      </w:pPr>
      <w:r w:rsidRPr="004335CD">
        <w:t>Environmental watering in 201</w:t>
      </w:r>
      <w:r>
        <w:t>5-16</w:t>
      </w:r>
    </w:p>
    <w:p w:rsidR="000A32AE" w:rsidRDefault="00B35ECC" w:rsidP="00B35ECC">
      <w:r>
        <w:t xml:space="preserve">During 2015-16 environmental water was delivered to </w:t>
      </w:r>
      <w:r w:rsidR="00C77F44">
        <w:t>l</w:t>
      </w:r>
      <w:r>
        <w:t xml:space="preserve">ower Gwydir River </w:t>
      </w:r>
      <w:r w:rsidR="00875190">
        <w:t>system</w:t>
      </w:r>
      <w:r>
        <w:t xml:space="preserve"> (</w:t>
      </w:r>
      <w:r w:rsidR="009273DA">
        <w:fldChar w:fldCharType="begin"/>
      </w:r>
      <w:r w:rsidR="009273DA">
        <w:instrText xml:space="preserve"> REF _Ref457987841 \r \h </w:instrText>
      </w:r>
      <w:r w:rsidR="009273DA">
        <w:fldChar w:fldCharType="separate"/>
      </w:r>
      <w:r w:rsidR="005D5925">
        <w:t>Appendix A</w:t>
      </w:r>
      <w:r w:rsidR="009273DA">
        <w:fldChar w:fldCharType="end"/>
      </w:r>
      <w:r>
        <w:t>).</w:t>
      </w:r>
      <w:r w:rsidR="00D81812">
        <w:t xml:space="preserve"> </w:t>
      </w:r>
      <w:r>
        <w:t xml:space="preserve"> In November 2015, a flow event occurred down the Mehi River and supplementary water licences owned by the CEWO were triggered. </w:t>
      </w:r>
      <w:r w:rsidR="00D81812">
        <w:t xml:space="preserve"> </w:t>
      </w:r>
      <w:r>
        <w:t>A total of 1300 ML were accounted for with 964 ML of this water flowing down the Mehi River, and 336 ML directed down Mallowa Creek.</w:t>
      </w:r>
      <w:r w:rsidR="00D81812">
        <w:t xml:space="preserve"> </w:t>
      </w:r>
      <w:r>
        <w:t xml:space="preserve"> Through January 2016, flows were delivered into the Mallowa Creek system to inundate fringing wetlands. </w:t>
      </w:r>
      <w:r w:rsidR="00D81812">
        <w:t xml:space="preserve"> </w:t>
      </w:r>
      <w:r>
        <w:t>Flow</w:t>
      </w:r>
      <w:r w:rsidR="00C77F44">
        <w:t>s were also delivered into the l</w:t>
      </w:r>
      <w:r>
        <w:t xml:space="preserve">ower Gwydir River and Gingham watercourse in February 2016, to replace flows that were abstracted in a supplementary flow event. </w:t>
      </w:r>
      <w:r w:rsidR="00D81812">
        <w:t xml:space="preserve"> </w:t>
      </w:r>
      <w:r>
        <w:t xml:space="preserve">While not large in volume, these flows </w:t>
      </w:r>
      <w:r w:rsidR="00875190">
        <w:t>made it</w:t>
      </w:r>
      <w:r>
        <w:t xml:space="preserve"> into the wetlands</w:t>
      </w:r>
      <w:r w:rsidR="007A0923">
        <w:t xml:space="preserve"> </w:t>
      </w:r>
      <w:r>
        <w:t>(</w:t>
      </w:r>
      <w:r w:rsidR="009273DA">
        <w:fldChar w:fldCharType="begin"/>
      </w:r>
      <w:r w:rsidR="009273DA">
        <w:instrText xml:space="preserve"> REF _Ref457987879 \r \h </w:instrText>
      </w:r>
      <w:r w:rsidR="009273DA">
        <w:fldChar w:fldCharType="separate"/>
      </w:r>
      <w:r w:rsidR="005D5925">
        <w:t>Appendix B</w:t>
      </w:r>
      <w:r w:rsidR="009273DA">
        <w:fldChar w:fldCharType="end"/>
      </w:r>
      <w:r>
        <w:t>).</w:t>
      </w:r>
      <w:r w:rsidR="000A32AE">
        <w:t xml:space="preserve"> </w:t>
      </w:r>
    </w:p>
    <w:p w:rsidR="00B35ECC" w:rsidRDefault="000A32AE" w:rsidP="00B35ECC">
      <w:pPr>
        <w:rPr>
          <w:highlight w:val="yellow"/>
        </w:rPr>
      </w:pPr>
      <w:r>
        <w:t xml:space="preserve">Due to critically low flows experienced in the lower Gwydir system in March and April 2016, water was delivered down the lower Gwydir, Gingham, Mehi and Carole channels as part of a dry river flow action in early April. </w:t>
      </w:r>
      <w:r w:rsidR="00D81812">
        <w:t xml:space="preserve"> </w:t>
      </w:r>
      <w:r>
        <w:t xml:space="preserve">This followed a period of 30-40 days of nil flows conditions across the catchment.  </w:t>
      </w:r>
      <w:r w:rsidR="00B35ECC">
        <w:t>The Gwydir River zone experienced environmental water delivery at various occasions from January to June 2016 as it is the main conduit for environmental delivery to downstream zones (</w:t>
      </w:r>
      <w:r w:rsidR="009273DA">
        <w:fldChar w:fldCharType="begin"/>
      </w:r>
      <w:r w:rsidR="009273DA">
        <w:instrText xml:space="preserve"> REF _Ref457987841 \r \h </w:instrText>
      </w:r>
      <w:r w:rsidR="009273DA">
        <w:fldChar w:fldCharType="separate"/>
      </w:r>
      <w:r w:rsidR="005D5925">
        <w:t>Appendix A</w:t>
      </w:r>
      <w:r w:rsidR="009273DA">
        <w:fldChar w:fldCharType="end"/>
      </w:r>
      <w:r w:rsidR="00B35ECC">
        <w:t>).</w:t>
      </w:r>
    </w:p>
    <w:p w:rsidR="00B35ECC" w:rsidRDefault="00B35ECC" w:rsidP="009C1DAC">
      <w:pPr>
        <w:pStyle w:val="Heading8"/>
      </w:pPr>
      <w:r w:rsidRPr="004335CD">
        <w:t>Previous monitoring</w:t>
      </w:r>
    </w:p>
    <w:p w:rsidR="00EE4C75" w:rsidRDefault="00B35ECC" w:rsidP="0050355C">
      <w:pPr>
        <w:rPr>
          <w:lang w:eastAsia="en-AU"/>
        </w:rPr>
      </w:pPr>
      <w:r w:rsidRPr="00B86DD7">
        <w:rPr>
          <w:lang w:eastAsia="en-AU"/>
        </w:rPr>
        <w:t xml:space="preserve">In the 2014-15 water year, the delivery of </w:t>
      </w:r>
      <w:r>
        <w:rPr>
          <w:lang w:eastAsia="en-AU"/>
        </w:rPr>
        <w:t>environmental water</w:t>
      </w:r>
      <w:r w:rsidRPr="00B86DD7">
        <w:rPr>
          <w:lang w:eastAsia="en-AU"/>
        </w:rPr>
        <w:t xml:space="preserve"> significantly reduced mean daily pH, conductivity and </w:t>
      </w:r>
      <w:r>
        <w:rPr>
          <w:lang w:eastAsia="en-AU"/>
        </w:rPr>
        <w:t xml:space="preserve">dissolved oxygen </w:t>
      </w:r>
      <w:r w:rsidRPr="00B86DD7">
        <w:rPr>
          <w:lang w:eastAsia="en-AU"/>
        </w:rPr>
        <w:t>concentrations when compared to non-</w:t>
      </w:r>
      <w:r>
        <w:rPr>
          <w:lang w:eastAsia="en-AU"/>
        </w:rPr>
        <w:t>environmental water</w:t>
      </w:r>
      <w:r w:rsidRPr="00B86DD7">
        <w:rPr>
          <w:lang w:eastAsia="en-AU"/>
        </w:rPr>
        <w:t xml:space="preserve"> periods </w:t>
      </w:r>
      <w:r>
        <w:rPr>
          <w:lang w:eastAsia="en-AU"/>
        </w:rPr>
        <w:t xml:space="preserve">of similar discharge </w:t>
      </w:r>
      <w:r w:rsidRPr="00B86DD7">
        <w:rPr>
          <w:lang w:eastAsia="en-AU"/>
        </w:rPr>
        <w:t xml:space="preserve">(Commonwealth of Australia, 2015). </w:t>
      </w:r>
      <w:r w:rsidR="00D81812">
        <w:rPr>
          <w:lang w:eastAsia="en-AU"/>
        </w:rPr>
        <w:t xml:space="preserve"> </w:t>
      </w:r>
      <w:r w:rsidRPr="00B86DD7">
        <w:rPr>
          <w:lang w:eastAsia="en-AU"/>
        </w:rPr>
        <w:t xml:space="preserve">These chemical processes reflect the dilution effects provided by </w:t>
      </w:r>
      <w:r>
        <w:rPr>
          <w:lang w:eastAsia="en-AU"/>
        </w:rPr>
        <w:t>environmental water</w:t>
      </w:r>
      <w:r w:rsidRPr="00B86DD7">
        <w:rPr>
          <w:lang w:eastAsia="en-AU"/>
        </w:rPr>
        <w:t xml:space="preserve"> and changes in water chemistry associated with the increased wetted area of channels with higher volumes delivered as </w:t>
      </w:r>
      <w:r>
        <w:rPr>
          <w:lang w:eastAsia="en-AU"/>
        </w:rPr>
        <w:t>environmental water</w:t>
      </w:r>
      <w:r w:rsidRPr="00B86DD7">
        <w:rPr>
          <w:lang w:eastAsia="en-AU"/>
        </w:rPr>
        <w:t>.</w:t>
      </w:r>
    </w:p>
    <w:p w:rsidR="00B35ECC" w:rsidRPr="004335CD" w:rsidRDefault="00B35ECC" w:rsidP="009C1DAC">
      <w:pPr>
        <w:pStyle w:val="Heading7"/>
      </w:pPr>
      <w:bookmarkStart w:id="28" w:name="_Toc426839300"/>
      <w:r w:rsidRPr="004335CD">
        <w:t>Methods</w:t>
      </w:r>
      <w:bookmarkEnd w:id="28"/>
    </w:p>
    <w:p w:rsidR="00B35ECC" w:rsidRDefault="00B35ECC" w:rsidP="0050355C">
      <w:r>
        <w:t xml:space="preserve">Water quality parameters were monitored at a </w:t>
      </w:r>
      <w:r w:rsidRPr="004335CD">
        <w:t xml:space="preserve">single </w:t>
      </w:r>
      <w:r>
        <w:t xml:space="preserve">station at Pallamallawa near the DPI Water telemetered gauge </w:t>
      </w:r>
      <w:r w:rsidRPr="004335CD">
        <w:t xml:space="preserve">(NSW418001) </w:t>
      </w:r>
      <w:r>
        <w:t xml:space="preserve">in the Gwydir River between </w:t>
      </w:r>
      <w:r w:rsidRPr="004335CD">
        <w:t>Copeton Dam to Tareelaroi Weir</w:t>
      </w:r>
      <w:r>
        <w:t xml:space="preserve"> (</w:t>
      </w:r>
      <w:r w:rsidRPr="00B86DD7">
        <w:rPr>
          <w:lang w:eastAsia="en-AU"/>
        </w:rPr>
        <w:t>Commonwealth of Australia, 2015)</w:t>
      </w:r>
      <w:r>
        <w:t xml:space="preserve">. </w:t>
      </w:r>
      <w:r w:rsidR="00D81812">
        <w:t xml:space="preserve"> </w:t>
      </w:r>
      <w:r>
        <w:t xml:space="preserve">This single station </w:t>
      </w:r>
      <w:r w:rsidRPr="004335CD">
        <w:t>has permanent surface water connectivity in a defined channel and all environmental water delivered to the lower Gwydir</w:t>
      </w:r>
      <w:r>
        <w:t xml:space="preserve"> must pass through this reach.</w:t>
      </w:r>
    </w:p>
    <w:p w:rsidR="00B35ECC" w:rsidRPr="004335CD" w:rsidRDefault="00B35ECC" w:rsidP="0050355C">
      <w:r w:rsidRPr="004335CD">
        <w:t xml:space="preserve">Continuous monitoring of </w:t>
      </w:r>
      <w:r w:rsidR="00523439">
        <w:t>dependant variables temperature (°C), pH, conductivity (mS/cm), t</w:t>
      </w:r>
      <w:r w:rsidRPr="00694595">
        <w:t xml:space="preserve">urbidity (NTU), </w:t>
      </w:r>
      <w:r w:rsidR="00523439">
        <w:t>d</w:t>
      </w:r>
      <w:r w:rsidRPr="00694595">
        <w:t xml:space="preserve">issolved oxygen (mg/L) and </w:t>
      </w:r>
      <w:r w:rsidR="00523439">
        <w:t>c</w:t>
      </w:r>
      <w:r w:rsidRPr="00694595">
        <w:t>hlorophyll-a (µg/L) occurs at this location using</w:t>
      </w:r>
      <w:r w:rsidRPr="004335CD">
        <w:t xml:space="preserve"> a Hydrolab DS5-X logger. </w:t>
      </w:r>
      <w:r w:rsidR="00D81812">
        <w:t xml:space="preserve"> </w:t>
      </w:r>
      <w:r w:rsidRPr="004335CD">
        <w:t xml:space="preserve">The probe was </w:t>
      </w:r>
      <w:r>
        <w:t xml:space="preserve">permanently </w:t>
      </w:r>
      <w:r w:rsidRPr="004335CD">
        <w:t>mounted</w:t>
      </w:r>
      <w:r>
        <w:t xml:space="preserve"> in mid water below the low flow water height at the Pallamallawa Gauge i</w:t>
      </w:r>
      <w:r w:rsidRPr="004335CD">
        <w:t>n the Gwydir River</w:t>
      </w:r>
      <w:r>
        <w:t xml:space="preserve">. </w:t>
      </w:r>
      <w:r w:rsidR="00D81812">
        <w:t xml:space="preserve"> </w:t>
      </w:r>
      <w:r>
        <w:t>The probe was then</w:t>
      </w:r>
      <w:r w:rsidRPr="004335CD">
        <w:t xml:space="preserve"> connected via a 3-G telemetered system in the hydrometric station to an RMTek website for data monitoring and download. </w:t>
      </w:r>
      <w:r w:rsidR="00D81812">
        <w:t xml:space="preserve"> </w:t>
      </w:r>
      <w:r w:rsidRPr="004335CD">
        <w:t xml:space="preserve">Each water quality variable is </w:t>
      </w:r>
      <w:r>
        <w:t>logged at a 10 minute interval.</w:t>
      </w:r>
    </w:p>
    <w:p w:rsidR="00B35ECC" w:rsidRDefault="00B35ECC" w:rsidP="0050355C">
      <w:r>
        <w:rPr>
          <w:lang w:eastAsia="en-AU"/>
        </w:rPr>
        <w:t xml:space="preserve">Three non-environmental water periods, immediately before or after environmental water delivery, were used to </w:t>
      </w:r>
      <w:r>
        <w:t>examine differences in water quality parameters between periods of environmental water delivery and non-environmental water periods (</w:t>
      </w:r>
      <w:r w:rsidR="00EF7808">
        <w:fldChar w:fldCharType="begin"/>
      </w:r>
      <w:r w:rsidR="00EF7808">
        <w:instrText xml:space="preserve"> REF _Ref457992758 \h </w:instrText>
      </w:r>
      <w:r w:rsidR="00EF7808">
        <w:fldChar w:fldCharType="separate"/>
      </w:r>
      <w:r w:rsidR="005D5925">
        <w:t xml:space="preserve">Table </w:t>
      </w:r>
      <w:r w:rsidR="005D5925">
        <w:rPr>
          <w:noProof/>
        </w:rPr>
        <w:t>C</w:t>
      </w:r>
      <w:r w:rsidR="005D5925">
        <w:noBreakHyphen/>
      </w:r>
      <w:r w:rsidR="005D5925">
        <w:rPr>
          <w:noProof/>
        </w:rPr>
        <w:t>1</w:t>
      </w:r>
      <w:r w:rsidR="00EF7808">
        <w:fldChar w:fldCharType="end"/>
      </w:r>
      <w:r w:rsidR="00EF7808">
        <w:t>;</w:t>
      </w:r>
      <w:r w:rsidR="00875190">
        <w:t xml:space="preserve"> </w:t>
      </w:r>
      <w:r w:rsidR="00ED3EC9">
        <w:fldChar w:fldCharType="begin"/>
      </w:r>
      <w:r w:rsidR="00ED3EC9">
        <w:instrText xml:space="preserve"> REF _Ref459819902 \h </w:instrText>
      </w:r>
      <w:r w:rsidR="00ED3EC9">
        <w:fldChar w:fldCharType="separate"/>
      </w:r>
      <w:r w:rsidR="005D5925">
        <w:t xml:space="preserve">Figure </w:t>
      </w:r>
      <w:r w:rsidR="005D5925">
        <w:rPr>
          <w:noProof/>
        </w:rPr>
        <w:t>C</w:t>
      </w:r>
      <w:r w:rsidR="005D5925">
        <w:noBreakHyphen/>
      </w:r>
      <w:r w:rsidR="005D5925">
        <w:rPr>
          <w:noProof/>
        </w:rPr>
        <w:t>1</w:t>
      </w:r>
      <w:r w:rsidR="00ED3EC9">
        <w:fldChar w:fldCharType="end"/>
      </w:r>
      <w:r>
        <w:t>).</w:t>
      </w:r>
      <w:r w:rsidRPr="00DD161E">
        <w:t xml:space="preserve"> </w:t>
      </w:r>
      <w:r w:rsidR="00D81812">
        <w:t xml:space="preserve"> </w:t>
      </w:r>
      <w:r w:rsidRPr="004335CD">
        <w:t xml:space="preserve">Daily means (midnight to midnight) </w:t>
      </w:r>
      <w:r>
        <w:t xml:space="preserve">of each water quality parameter </w:t>
      </w:r>
      <w:r w:rsidRPr="004335CD">
        <w:t>were calculated from 10 minute interval data, with analyses based on the assumption that daily means were temporally independent.</w:t>
      </w:r>
      <w:r>
        <w:t xml:space="preserve"> </w:t>
      </w:r>
      <w:r w:rsidR="00D81812">
        <w:t xml:space="preserve"> </w:t>
      </w:r>
      <w:r>
        <w:t xml:space="preserve">Daily means of water quality parameters were analysed using non-parametric Mann-Whitney U test to examine the differences between environmental water periods and non-environmental water periods where the significance level was set at 0.05. </w:t>
      </w:r>
      <w:r w:rsidR="00D81812">
        <w:t xml:space="preserve"> </w:t>
      </w:r>
      <w:r w:rsidRPr="004335CD">
        <w:t>Regression analyses were used to explore relationships between discharge</w:t>
      </w:r>
      <w:r w:rsidR="00EF7808">
        <w:t xml:space="preserve"> (ML/d</w:t>
      </w:r>
      <w:r>
        <w:t>)</w:t>
      </w:r>
      <w:r w:rsidRPr="004335CD">
        <w:t xml:space="preserve"> and each </w:t>
      </w:r>
      <w:r>
        <w:t xml:space="preserve">water quality parameter </w:t>
      </w:r>
      <w:r w:rsidRPr="004335CD">
        <w:t>in an attempt to separate the time/season of deli</w:t>
      </w:r>
      <w:r>
        <w:t>very from the discharge volume.</w:t>
      </w:r>
    </w:p>
    <w:p w:rsidR="00EF7808" w:rsidRDefault="00EF7808" w:rsidP="00EF7808">
      <w:pPr>
        <w:pStyle w:val="Caption"/>
        <w:keepNext/>
      </w:pPr>
      <w:bookmarkStart w:id="29" w:name="_Ref457992758"/>
      <w:bookmarkStart w:id="30" w:name="_Ref457992509"/>
      <w:r>
        <w:t xml:space="preserve">Table </w:t>
      </w:r>
      <w:fldSimple w:instr=" STYLEREF 6 \s ">
        <w:r w:rsidR="005D5925">
          <w:rPr>
            <w:noProof/>
          </w:rPr>
          <w:t>C</w:t>
        </w:r>
      </w:fldSimple>
      <w:r w:rsidR="005D4453">
        <w:noBreakHyphen/>
      </w:r>
      <w:fldSimple w:instr=" SEQ Table \* ARABIC \s 6 ">
        <w:r w:rsidR="005D5925">
          <w:rPr>
            <w:noProof/>
          </w:rPr>
          <w:t>1</w:t>
        </w:r>
      </w:fldSimple>
      <w:bookmarkEnd w:id="29"/>
      <w:r>
        <w:t xml:space="preserve"> </w:t>
      </w:r>
      <w:r w:rsidRPr="009A10E8">
        <w:t>Environmental water flow events and non-environmental water flow periods used in the analysis of water quality parameters in 2015-16 water year.</w:t>
      </w:r>
      <w:bookmarkEnd w:id="30"/>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36"/>
        <w:gridCol w:w="2594"/>
        <w:gridCol w:w="2730"/>
        <w:gridCol w:w="2940"/>
      </w:tblGrid>
      <w:tr w:rsidR="00CC18AA" w:rsidRPr="00BF2063" w:rsidTr="00CC18AA">
        <w:trPr>
          <w:trHeight w:val="300"/>
          <w:jc w:val="center"/>
        </w:trPr>
        <w:tc>
          <w:tcPr>
            <w:tcW w:w="669" w:type="pct"/>
            <w:shd w:val="clear" w:color="auto" w:fill="D9D9D9"/>
          </w:tcPr>
          <w:p w:rsidR="00B35ECC" w:rsidRPr="00CC18AA" w:rsidRDefault="00B35ECC" w:rsidP="00CC18AA">
            <w:pPr>
              <w:spacing w:before="60" w:after="60"/>
              <w:jc w:val="left"/>
              <w:rPr>
                <w:rFonts w:cs="Arial"/>
                <w:bCs/>
                <w:color w:val="000000"/>
                <w:szCs w:val="20"/>
                <w:lang w:val="en-US" w:eastAsia="en-AU"/>
              </w:rPr>
            </w:pPr>
          </w:p>
        </w:tc>
        <w:tc>
          <w:tcPr>
            <w:tcW w:w="1570" w:type="pct"/>
            <w:shd w:val="clear" w:color="auto" w:fill="D9D9D9"/>
            <w:noWrap/>
            <w:hideMark/>
          </w:tcPr>
          <w:p w:rsidR="00B35ECC" w:rsidRPr="00CC18AA" w:rsidRDefault="00B35ECC" w:rsidP="00CC18AA">
            <w:pPr>
              <w:spacing w:before="60" w:after="60"/>
              <w:jc w:val="center"/>
              <w:rPr>
                <w:rFonts w:cs="Arial"/>
                <w:bCs/>
                <w:color w:val="000000"/>
                <w:szCs w:val="20"/>
                <w:lang w:val="en-US" w:eastAsia="en-AU"/>
              </w:rPr>
            </w:pPr>
            <w:r w:rsidRPr="00CC18AA">
              <w:rPr>
                <w:rFonts w:cs="Arial"/>
                <w:bCs/>
                <w:color w:val="000000"/>
                <w:szCs w:val="20"/>
                <w:lang w:val="en-US" w:eastAsia="en-AU"/>
              </w:rPr>
              <w:t>CEW period</w:t>
            </w:r>
          </w:p>
        </w:tc>
        <w:tc>
          <w:tcPr>
            <w:tcW w:w="1644" w:type="pct"/>
            <w:shd w:val="clear" w:color="auto" w:fill="D9D9D9"/>
            <w:noWrap/>
            <w:hideMark/>
          </w:tcPr>
          <w:p w:rsidR="00B35ECC" w:rsidRPr="00CC18AA" w:rsidRDefault="00B35ECC" w:rsidP="00CC18AA">
            <w:pPr>
              <w:spacing w:before="60" w:after="60"/>
              <w:jc w:val="center"/>
              <w:rPr>
                <w:rFonts w:cs="Arial"/>
                <w:bCs/>
                <w:color w:val="000000"/>
                <w:szCs w:val="20"/>
                <w:lang w:val="en-US" w:eastAsia="en-AU"/>
              </w:rPr>
            </w:pPr>
            <w:r w:rsidRPr="00CC18AA">
              <w:rPr>
                <w:rFonts w:cs="Arial"/>
                <w:bCs/>
                <w:color w:val="000000"/>
                <w:szCs w:val="20"/>
                <w:lang w:val="en-US" w:eastAsia="en-AU"/>
              </w:rPr>
              <w:t>non-CEW period</w:t>
            </w:r>
          </w:p>
        </w:tc>
        <w:tc>
          <w:tcPr>
            <w:tcW w:w="1117" w:type="pct"/>
            <w:shd w:val="clear" w:color="auto" w:fill="D9D9D9"/>
            <w:noWrap/>
            <w:hideMark/>
          </w:tcPr>
          <w:p w:rsidR="00B35ECC" w:rsidRPr="00CC18AA" w:rsidRDefault="00875190" w:rsidP="00CC18AA">
            <w:pPr>
              <w:spacing w:before="60" w:after="60"/>
              <w:jc w:val="center"/>
              <w:rPr>
                <w:rFonts w:cs="Arial"/>
                <w:bCs/>
                <w:color w:val="000000"/>
                <w:szCs w:val="20"/>
                <w:lang w:val="en-US" w:eastAsia="en-AU"/>
              </w:rPr>
            </w:pPr>
            <w:r w:rsidRPr="00CC18AA">
              <w:rPr>
                <w:rFonts w:cs="Arial"/>
                <w:bCs/>
                <w:color w:val="000000"/>
                <w:szCs w:val="20"/>
                <w:lang w:val="en-US" w:eastAsia="en-AU"/>
              </w:rPr>
              <w:t>Number of d</w:t>
            </w:r>
            <w:r w:rsidR="0050355C" w:rsidRPr="00CC18AA">
              <w:rPr>
                <w:rFonts w:cs="Arial"/>
                <w:bCs/>
                <w:color w:val="000000"/>
                <w:szCs w:val="20"/>
                <w:lang w:val="en-US" w:eastAsia="en-AU"/>
              </w:rPr>
              <w:t>ays in each period</w:t>
            </w:r>
          </w:p>
        </w:tc>
      </w:tr>
      <w:tr w:rsidR="00CC18AA" w:rsidRPr="00BF2063" w:rsidTr="00CC18AA">
        <w:trPr>
          <w:trHeight w:val="300"/>
          <w:jc w:val="center"/>
        </w:trPr>
        <w:tc>
          <w:tcPr>
            <w:tcW w:w="669" w:type="pct"/>
            <w:shd w:val="clear" w:color="auto" w:fill="auto"/>
          </w:tcPr>
          <w:p w:rsidR="00B35ECC" w:rsidRPr="00CC18AA" w:rsidRDefault="00B35ECC" w:rsidP="00CC18AA">
            <w:pPr>
              <w:spacing w:before="60" w:after="60"/>
              <w:jc w:val="center"/>
              <w:rPr>
                <w:rFonts w:cs="Arial"/>
                <w:bCs/>
                <w:color w:val="000000"/>
                <w:szCs w:val="20"/>
                <w:lang w:val="en-US" w:eastAsia="en-AU"/>
              </w:rPr>
            </w:pPr>
            <w:r w:rsidRPr="00CC18AA">
              <w:rPr>
                <w:rFonts w:cs="Arial"/>
                <w:bCs/>
                <w:color w:val="000000"/>
                <w:szCs w:val="20"/>
                <w:lang w:val="en-US" w:eastAsia="en-AU"/>
              </w:rPr>
              <w:t>Event 1</w:t>
            </w:r>
          </w:p>
        </w:tc>
        <w:tc>
          <w:tcPr>
            <w:tcW w:w="1570" w:type="pct"/>
            <w:shd w:val="clear" w:color="auto" w:fill="auto"/>
            <w:noWrap/>
            <w:hideMark/>
          </w:tcPr>
          <w:p w:rsidR="00B35ECC" w:rsidRPr="00CC18AA" w:rsidRDefault="00B35ECC" w:rsidP="00CC18AA">
            <w:pPr>
              <w:spacing w:before="60" w:after="60"/>
              <w:jc w:val="center"/>
              <w:rPr>
                <w:rFonts w:cs="Arial"/>
                <w:color w:val="000000"/>
                <w:szCs w:val="20"/>
                <w:lang w:val="en-US" w:eastAsia="en-AU"/>
              </w:rPr>
            </w:pPr>
            <w:r w:rsidRPr="00CC18AA">
              <w:rPr>
                <w:rFonts w:cs="Arial"/>
                <w:color w:val="000000"/>
                <w:szCs w:val="20"/>
                <w:lang w:val="en-US" w:eastAsia="en-AU"/>
              </w:rPr>
              <w:t>24 Dec 15 to 10 Jan 16</w:t>
            </w:r>
          </w:p>
        </w:tc>
        <w:tc>
          <w:tcPr>
            <w:tcW w:w="1644" w:type="pct"/>
            <w:shd w:val="clear" w:color="auto" w:fill="auto"/>
            <w:noWrap/>
            <w:hideMark/>
          </w:tcPr>
          <w:p w:rsidR="00B35ECC" w:rsidRPr="00CC18AA" w:rsidRDefault="00B35ECC" w:rsidP="00CC18AA">
            <w:pPr>
              <w:spacing w:before="60" w:after="60"/>
              <w:jc w:val="center"/>
              <w:rPr>
                <w:rFonts w:cs="Arial"/>
                <w:color w:val="000000"/>
                <w:szCs w:val="20"/>
                <w:lang w:val="en-US" w:eastAsia="en-AU"/>
              </w:rPr>
            </w:pPr>
            <w:r w:rsidRPr="00CC18AA">
              <w:rPr>
                <w:rFonts w:cs="Arial"/>
                <w:color w:val="000000"/>
                <w:szCs w:val="20"/>
                <w:lang w:val="en-US" w:eastAsia="en-AU"/>
              </w:rPr>
              <w:t>6 Dec 15 to 23 Dec 15</w:t>
            </w:r>
          </w:p>
        </w:tc>
        <w:tc>
          <w:tcPr>
            <w:tcW w:w="1117" w:type="pct"/>
            <w:shd w:val="clear" w:color="auto" w:fill="auto"/>
            <w:noWrap/>
            <w:hideMark/>
          </w:tcPr>
          <w:p w:rsidR="00B35ECC" w:rsidRPr="00CC18AA" w:rsidRDefault="00B35ECC" w:rsidP="00CC18AA">
            <w:pPr>
              <w:spacing w:before="60" w:after="60"/>
              <w:jc w:val="center"/>
              <w:rPr>
                <w:rFonts w:cs="Arial"/>
                <w:color w:val="000000"/>
                <w:szCs w:val="20"/>
                <w:lang w:val="en-US" w:eastAsia="en-AU"/>
              </w:rPr>
            </w:pPr>
            <w:r w:rsidRPr="00CC18AA">
              <w:rPr>
                <w:rFonts w:cs="Arial"/>
                <w:color w:val="000000"/>
                <w:szCs w:val="20"/>
                <w:lang w:val="en-US" w:eastAsia="en-AU"/>
              </w:rPr>
              <w:t>18,18</w:t>
            </w:r>
          </w:p>
        </w:tc>
      </w:tr>
      <w:tr w:rsidR="00CC18AA" w:rsidRPr="00BF2063" w:rsidTr="00CC18AA">
        <w:trPr>
          <w:trHeight w:val="300"/>
          <w:jc w:val="center"/>
        </w:trPr>
        <w:tc>
          <w:tcPr>
            <w:tcW w:w="669" w:type="pct"/>
            <w:shd w:val="clear" w:color="auto" w:fill="auto"/>
          </w:tcPr>
          <w:p w:rsidR="00B35ECC" w:rsidRPr="00CC18AA" w:rsidRDefault="00B35ECC" w:rsidP="00CC18AA">
            <w:pPr>
              <w:spacing w:before="60" w:after="60"/>
              <w:jc w:val="center"/>
              <w:rPr>
                <w:rFonts w:cs="Arial"/>
                <w:bCs/>
                <w:color w:val="000000"/>
                <w:szCs w:val="20"/>
                <w:lang w:val="en-US" w:eastAsia="en-AU"/>
              </w:rPr>
            </w:pPr>
            <w:r w:rsidRPr="00CC18AA">
              <w:rPr>
                <w:rFonts w:cs="Arial"/>
                <w:bCs/>
                <w:color w:val="000000"/>
                <w:szCs w:val="20"/>
                <w:lang w:val="en-US" w:eastAsia="en-AU"/>
              </w:rPr>
              <w:t>Event 2</w:t>
            </w:r>
          </w:p>
        </w:tc>
        <w:tc>
          <w:tcPr>
            <w:tcW w:w="1570" w:type="pct"/>
            <w:shd w:val="clear" w:color="auto" w:fill="auto"/>
            <w:noWrap/>
            <w:hideMark/>
          </w:tcPr>
          <w:p w:rsidR="00B35ECC" w:rsidRPr="00CC18AA" w:rsidRDefault="00B35ECC" w:rsidP="00CC18AA">
            <w:pPr>
              <w:spacing w:before="60" w:after="60"/>
              <w:jc w:val="center"/>
              <w:rPr>
                <w:rFonts w:cs="Arial"/>
                <w:color w:val="000000"/>
                <w:szCs w:val="20"/>
                <w:lang w:val="en-US" w:eastAsia="en-AU"/>
              </w:rPr>
            </w:pPr>
            <w:r w:rsidRPr="00CC18AA">
              <w:rPr>
                <w:rFonts w:cs="Arial"/>
                <w:color w:val="000000"/>
                <w:szCs w:val="20"/>
                <w:lang w:val="en-US" w:eastAsia="en-AU"/>
              </w:rPr>
              <w:t>19 Jan 16 to 5 Feb 16</w:t>
            </w:r>
          </w:p>
        </w:tc>
        <w:tc>
          <w:tcPr>
            <w:tcW w:w="1644" w:type="pct"/>
            <w:shd w:val="clear" w:color="auto" w:fill="auto"/>
            <w:noWrap/>
            <w:hideMark/>
          </w:tcPr>
          <w:p w:rsidR="00B35ECC" w:rsidRPr="00CC18AA" w:rsidRDefault="00B35ECC" w:rsidP="00CC18AA">
            <w:pPr>
              <w:spacing w:before="60" w:after="60"/>
              <w:jc w:val="center"/>
              <w:rPr>
                <w:rFonts w:cs="Arial"/>
                <w:color w:val="000000"/>
                <w:szCs w:val="20"/>
                <w:lang w:val="en-US" w:eastAsia="en-AU"/>
              </w:rPr>
            </w:pPr>
            <w:r w:rsidRPr="00CC18AA">
              <w:rPr>
                <w:rFonts w:cs="Arial"/>
                <w:color w:val="000000"/>
                <w:szCs w:val="20"/>
                <w:lang w:val="en-US" w:eastAsia="en-AU"/>
              </w:rPr>
              <w:t>8 Feb 16 to 23 Feb 16</w:t>
            </w:r>
          </w:p>
        </w:tc>
        <w:tc>
          <w:tcPr>
            <w:tcW w:w="1117" w:type="pct"/>
            <w:shd w:val="clear" w:color="auto" w:fill="auto"/>
            <w:noWrap/>
            <w:hideMark/>
          </w:tcPr>
          <w:p w:rsidR="00B35ECC" w:rsidRPr="00CC18AA" w:rsidRDefault="00B35ECC" w:rsidP="00CC18AA">
            <w:pPr>
              <w:spacing w:before="60" w:after="60"/>
              <w:jc w:val="center"/>
              <w:rPr>
                <w:rFonts w:cs="Arial"/>
                <w:color w:val="000000"/>
                <w:szCs w:val="20"/>
                <w:lang w:val="en-US" w:eastAsia="en-AU"/>
              </w:rPr>
            </w:pPr>
            <w:r w:rsidRPr="00CC18AA">
              <w:rPr>
                <w:rFonts w:cs="Arial"/>
                <w:color w:val="000000"/>
                <w:szCs w:val="20"/>
                <w:lang w:val="en-US" w:eastAsia="en-AU"/>
              </w:rPr>
              <w:t>16,16</w:t>
            </w:r>
          </w:p>
        </w:tc>
      </w:tr>
      <w:tr w:rsidR="00CC18AA" w:rsidRPr="00BF2063" w:rsidTr="00CC18AA">
        <w:trPr>
          <w:trHeight w:val="300"/>
          <w:jc w:val="center"/>
        </w:trPr>
        <w:tc>
          <w:tcPr>
            <w:tcW w:w="669" w:type="pct"/>
            <w:shd w:val="clear" w:color="auto" w:fill="auto"/>
          </w:tcPr>
          <w:p w:rsidR="00B35ECC" w:rsidRPr="00CC18AA" w:rsidRDefault="00B35ECC" w:rsidP="00CC18AA">
            <w:pPr>
              <w:spacing w:before="60" w:after="60"/>
              <w:jc w:val="center"/>
              <w:rPr>
                <w:rFonts w:cs="Arial"/>
                <w:bCs/>
                <w:color w:val="000000"/>
                <w:szCs w:val="20"/>
                <w:lang w:val="en-US" w:eastAsia="en-AU"/>
              </w:rPr>
            </w:pPr>
            <w:r w:rsidRPr="00CC18AA">
              <w:rPr>
                <w:rFonts w:cs="Arial"/>
                <w:bCs/>
                <w:color w:val="000000"/>
                <w:szCs w:val="20"/>
                <w:lang w:val="en-US" w:eastAsia="en-AU"/>
              </w:rPr>
              <w:t>Event 3</w:t>
            </w:r>
          </w:p>
        </w:tc>
        <w:tc>
          <w:tcPr>
            <w:tcW w:w="1570" w:type="pct"/>
            <w:shd w:val="clear" w:color="auto" w:fill="auto"/>
            <w:noWrap/>
            <w:hideMark/>
          </w:tcPr>
          <w:p w:rsidR="00B35ECC" w:rsidRPr="00CC18AA" w:rsidRDefault="00B35ECC" w:rsidP="00CC18AA">
            <w:pPr>
              <w:spacing w:before="60" w:after="60"/>
              <w:jc w:val="center"/>
              <w:rPr>
                <w:rFonts w:cs="Arial"/>
                <w:color w:val="000000"/>
                <w:szCs w:val="20"/>
                <w:lang w:val="en-US" w:eastAsia="en-AU"/>
              </w:rPr>
            </w:pPr>
            <w:r w:rsidRPr="00CC18AA">
              <w:rPr>
                <w:rFonts w:cs="Arial"/>
                <w:color w:val="000000"/>
                <w:szCs w:val="20"/>
                <w:lang w:val="en-US" w:eastAsia="en-AU"/>
              </w:rPr>
              <w:t>13 Apr 16 to 18 May 16</w:t>
            </w:r>
          </w:p>
        </w:tc>
        <w:tc>
          <w:tcPr>
            <w:tcW w:w="1644" w:type="pct"/>
            <w:shd w:val="clear" w:color="auto" w:fill="auto"/>
            <w:noWrap/>
            <w:hideMark/>
          </w:tcPr>
          <w:p w:rsidR="00B35ECC" w:rsidRPr="00CC18AA" w:rsidRDefault="00B35ECC" w:rsidP="00CC18AA">
            <w:pPr>
              <w:spacing w:before="60" w:after="60"/>
              <w:jc w:val="center"/>
              <w:rPr>
                <w:rFonts w:cs="Arial"/>
                <w:color w:val="000000"/>
                <w:szCs w:val="20"/>
                <w:lang w:val="en-US" w:eastAsia="en-AU"/>
              </w:rPr>
            </w:pPr>
            <w:r w:rsidRPr="00CC18AA">
              <w:rPr>
                <w:rFonts w:cs="Arial"/>
                <w:color w:val="000000"/>
                <w:szCs w:val="20"/>
                <w:lang w:val="en-US" w:eastAsia="en-AU"/>
              </w:rPr>
              <w:t>10 Mar to 12 Apr 16</w:t>
            </w:r>
          </w:p>
        </w:tc>
        <w:tc>
          <w:tcPr>
            <w:tcW w:w="1117" w:type="pct"/>
            <w:shd w:val="clear" w:color="auto" w:fill="auto"/>
            <w:noWrap/>
            <w:hideMark/>
          </w:tcPr>
          <w:p w:rsidR="00B35ECC" w:rsidRPr="00CC18AA" w:rsidRDefault="00B35ECC" w:rsidP="00CC18AA">
            <w:pPr>
              <w:spacing w:before="60" w:after="60"/>
              <w:jc w:val="center"/>
              <w:rPr>
                <w:rFonts w:cs="Arial"/>
                <w:color w:val="000000"/>
                <w:szCs w:val="20"/>
                <w:lang w:val="en-US" w:eastAsia="en-AU"/>
              </w:rPr>
            </w:pPr>
            <w:r w:rsidRPr="00CC18AA">
              <w:rPr>
                <w:rFonts w:cs="Arial"/>
                <w:color w:val="000000"/>
                <w:szCs w:val="20"/>
                <w:lang w:val="en-US" w:eastAsia="en-AU"/>
              </w:rPr>
              <w:t>34,34</w:t>
            </w:r>
          </w:p>
        </w:tc>
      </w:tr>
    </w:tbl>
    <w:p w:rsidR="00D81812" w:rsidRDefault="00D81812" w:rsidP="00D81812">
      <w:bookmarkStart w:id="31" w:name="_Toc426839301"/>
    </w:p>
    <w:p w:rsidR="00D81812" w:rsidRPr="00D81812" w:rsidRDefault="00B35ECC" w:rsidP="00D81812">
      <w:pPr>
        <w:pStyle w:val="Heading7"/>
      </w:pPr>
      <w:r w:rsidRPr="004335CD">
        <w:t>Results and discussion</w:t>
      </w:r>
      <w:bookmarkEnd w:id="31"/>
    </w:p>
    <w:p w:rsidR="00B35ECC" w:rsidRDefault="00B35ECC" w:rsidP="0050355C">
      <w:pPr>
        <w:rPr>
          <w:lang w:eastAsia="en-AU"/>
        </w:rPr>
      </w:pPr>
      <w:r>
        <w:rPr>
          <w:lang w:eastAsia="en-AU"/>
        </w:rPr>
        <w:t xml:space="preserve">The delivery of environmental water </w:t>
      </w:r>
      <w:r w:rsidR="00875190">
        <w:rPr>
          <w:lang w:eastAsia="en-AU"/>
        </w:rPr>
        <w:t>led to</w:t>
      </w:r>
      <w:r>
        <w:rPr>
          <w:lang w:eastAsia="en-AU"/>
        </w:rPr>
        <w:t xml:space="preserve"> an increase in </w:t>
      </w:r>
      <w:r w:rsidR="00875190">
        <w:rPr>
          <w:lang w:eastAsia="en-AU"/>
        </w:rPr>
        <w:t xml:space="preserve">the </w:t>
      </w:r>
      <w:r>
        <w:rPr>
          <w:lang w:eastAsia="en-AU"/>
        </w:rPr>
        <w:t xml:space="preserve">magnitude and variability </w:t>
      </w:r>
      <w:r w:rsidR="00875190">
        <w:rPr>
          <w:lang w:eastAsia="en-AU"/>
        </w:rPr>
        <w:t>of</w:t>
      </w:r>
      <w:r>
        <w:rPr>
          <w:lang w:eastAsia="en-AU"/>
        </w:rPr>
        <w:t xml:space="preserve"> </w:t>
      </w:r>
      <w:r w:rsidR="00875190">
        <w:rPr>
          <w:lang w:eastAsia="en-AU"/>
        </w:rPr>
        <w:t>flow within</w:t>
      </w:r>
      <w:r>
        <w:rPr>
          <w:lang w:eastAsia="en-AU"/>
        </w:rPr>
        <w:t xml:space="preserve"> all events (</w:t>
      </w:r>
      <w:r w:rsidR="00176148">
        <w:rPr>
          <w:lang w:eastAsia="en-AU"/>
        </w:rPr>
        <w:fldChar w:fldCharType="begin"/>
      </w:r>
      <w:r w:rsidR="00176148">
        <w:rPr>
          <w:lang w:eastAsia="en-AU"/>
        </w:rPr>
        <w:instrText xml:space="preserve"> REF _Ref459819902 \h </w:instrText>
      </w:r>
      <w:r w:rsidR="00176148">
        <w:rPr>
          <w:lang w:eastAsia="en-AU"/>
        </w:rPr>
      </w:r>
      <w:r w:rsidR="00176148">
        <w:rPr>
          <w:lang w:eastAsia="en-AU"/>
        </w:rPr>
        <w:fldChar w:fldCharType="separate"/>
      </w:r>
      <w:r w:rsidR="005D5925">
        <w:t xml:space="preserve">Figure </w:t>
      </w:r>
      <w:r w:rsidR="005D5925">
        <w:rPr>
          <w:noProof/>
        </w:rPr>
        <w:t>C</w:t>
      </w:r>
      <w:r w:rsidR="005D5925">
        <w:noBreakHyphen/>
      </w:r>
      <w:r w:rsidR="005D5925">
        <w:rPr>
          <w:noProof/>
        </w:rPr>
        <w:t>1</w:t>
      </w:r>
      <w:r w:rsidR="00176148">
        <w:rPr>
          <w:lang w:eastAsia="en-AU"/>
        </w:rPr>
        <w:fldChar w:fldCharType="end"/>
      </w:r>
      <w:r>
        <w:rPr>
          <w:lang w:eastAsia="en-AU"/>
        </w:rPr>
        <w:t>).</w:t>
      </w:r>
      <w:r w:rsidR="00D81812">
        <w:rPr>
          <w:lang w:eastAsia="en-AU"/>
        </w:rPr>
        <w:t xml:space="preserve"> </w:t>
      </w:r>
      <w:r>
        <w:rPr>
          <w:lang w:eastAsia="en-AU"/>
        </w:rPr>
        <w:t xml:space="preserve"> However, the magnitude of discharge varied between the three environmental water events presumably due to seasonal variability in natural flow conditions prior to the release of environmental water. </w:t>
      </w:r>
    </w:p>
    <w:p w:rsidR="00B35ECC" w:rsidRDefault="00B35ECC" w:rsidP="0050355C">
      <w:pPr>
        <w:rPr>
          <w:rFonts w:cs="Arial"/>
          <w:szCs w:val="20"/>
        </w:rPr>
      </w:pPr>
      <w:r>
        <w:t xml:space="preserve">Most mean daily water quality parameters were significantly different between environmental water and non-environmental water periods. </w:t>
      </w:r>
      <w:r w:rsidR="00D81812">
        <w:t xml:space="preserve"> </w:t>
      </w:r>
      <w:r w:rsidRPr="00B22065">
        <w:rPr>
          <w:rFonts w:cs="Arial"/>
          <w:szCs w:val="20"/>
        </w:rPr>
        <w:t>Mean daily temperature was significantly lower</w:t>
      </w:r>
      <w:r>
        <w:rPr>
          <w:rFonts w:cs="Arial"/>
          <w:szCs w:val="20"/>
        </w:rPr>
        <w:t xml:space="preserve"> in environmental water periods</w:t>
      </w:r>
      <w:r w:rsidRPr="00B22065">
        <w:rPr>
          <w:rFonts w:cs="Arial"/>
          <w:szCs w:val="20"/>
        </w:rPr>
        <w:t xml:space="preserve"> (</w:t>
      </w:r>
      <w:r w:rsidRPr="00B22065">
        <w:rPr>
          <w:rFonts w:cs="Arial"/>
          <w:i/>
          <w:szCs w:val="20"/>
        </w:rPr>
        <w:t>p</w:t>
      </w:r>
      <w:r w:rsidRPr="00B22065">
        <w:rPr>
          <w:rFonts w:cs="Arial"/>
          <w:szCs w:val="20"/>
        </w:rPr>
        <w:t xml:space="preserve"> &lt; 0.005,</w:t>
      </w:r>
      <w:r w:rsidR="00EF7808">
        <w:rPr>
          <w:rFonts w:cs="Arial"/>
          <w:szCs w:val="20"/>
        </w:rPr>
        <w:t xml:space="preserve"> </w:t>
      </w:r>
      <w:r w:rsidR="00EF7808">
        <w:rPr>
          <w:rFonts w:cs="Arial"/>
          <w:szCs w:val="20"/>
        </w:rPr>
        <w:fldChar w:fldCharType="begin"/>
      </w:r>
      <w:r w:rsidR="00EF7808">
        <w:rPr>
          <w:rFonts w:cs="Arial"/>
          <w:szCs w:val="20"/>
        </w:rPr>
        <w:instrText xml:space="preserve"> REF _Ref457993224 \h </w:instrText>
      </w:r>
      <w:r w:rsidR="00EF7808">
        <w:rPr>
          <w:rFonts w:cs="Arial"/>
          <w:szCs w:val="20"/>
        </w:rPr>
      </w:r>
      <w:r w:rsidR="00EF7808">
        <w:rPr>
          <w:rFonts w:cs="Arial"/>
          <w:szCs w:val="20"/>
        </w:rPr>
        <w:fldChar w:fldCharType="separate"/>
      </w:r>
      <w:r w:rsidR="005D5925">
        <w:t xml:space="preserve">Table </w:t>
      </w:r>
      <w:r w:rsidR="005D5925">
        <w:rPr>
          <w:noProof/>
        </w:rPr>
        <w:t>C</w:t>
      </w:r>
      <w:r w:rsidR="005D5925">
        <w:noBreakHyphen/>
      </w:r>
      <w:r w:rsidR="005D5925">
        <w:rPr>
          <w:noProof/>
        </w:rPr>
        <w:t>2</w:t>
      </w:r>
      <w:r w:rsidR="00EF7808">
        <w:rPr>
          <w:rFonts w:cs="Arial"/>
          <w:szCs w:val="20"/>
        </w:rPr>
        <w:fldChar w:fldCharType="end"/>
      </w:r>
      <w:r w:rsidRPr="00B22065">
        <w:rPr>
          <w:rFonts w:cs="Arial"/>
          <w:szCs w:val="20"/>
        </w:rPr>
        <w:t>)</w:t>
      </w:r>
      <w:r w:rsidR="00676889">
        <w:rPr>
          <w:rFonts w:cs="Arial"/>
          <w:szCs w:val="20"/>
        </w:rPr>
        <w:t xml:space="preserve"> despite periods of environmental water occurring in the same season and month as non-environmental water, </w:t>
      </w:r>
      <w:r w:rsidR="00875190">
        <w:rPr>
          <w:rFonts w:cs="Arial"/>
          <w:szCs w:val="20"/>
        </w:rPr>
        <w:t>indicating</w:t>
      </w:r>
      <w:r w:rsidR="00676889">
        <w:rPr>
          <w:rFonts w:cs="Arial"/>
          <w:szCs w:val="20"/>
        </w:rPr>
        <w:t xml:space="preserve"> that environmental water has a direct effect on water temperature at Pallamallawa</w:t>
      </w:r>
      <w:r>
        <w:rPr>
          <w:rFonts w:cs="Arial"/>
          <w:szCs w:val="20"/>
        </w:rPr>
        <w:t>.</w:t>
      </w:r>
      <w:r w:rsidRPr="00B22065">
        <w:rPr>
          <w:rFonts w:cs="Arial"/>
          <w:szCs w:val="20"/>
        </w:rPr>
        <w:t xml:space="preserve"> </w:t>
      </w:r>
      <w:r w:rsidR="00D81812">
        <w:rPr>
          <w:rFonts w:cs="Arial"/>
          <w:szCs w:val="20"/>
        </w:rPr>
        <w:t xml:space="preserve"> </w:t>
      </w:r>
      <w:r w:rsidR="00875190">
        <w:rPr>
          <w:rFonts w:cs="Arial"/>
          <w:szCs w:val="20"/>
        </w:rPr>
        <w:t>However,</w:t>
      </w:r>
      <w:r w:rsidR="00676889">
        <w:rPr>
          <w:rFonts w:cs="Arial"/>
          <w:szCs w:val="20"/>
        </w:rPr>
        <w:t xml:space="preserve"> t</w:t>
      </w:r>
      <w:r>
        <w:rPr>
          <w:rFonts w:cs="Arial"/>
          <w:szCs w:val="20"/>
        </w:rPr>
        <w:t>emperature had a poor predictive relationship with discharge (</w:t>
      </w:r>
      <w:r w:rsidR="003956BA">
        <w:rPr>
          <w:rFonts w:cs="Arial"/>
          <w:szCs w:val="20"/>
        </w:rPr>
        <w:fldChar w:fldCharType="begin"/>
      </w:r>
      <w:r w:rsidR="003956BA">
        <w:rPr>
          <w:rFonts w:cs="Arial"/>
          <w:szCs w:val="20"/>
        </w:rPr>
        <w:instrText xml:space="preserve"> REF _Ref459892265 \h </w:instrText>
      </w:r>
      <w:r w:rsidR="003956BA">
        <w:rPr>
          <w:rFonts w:cs="Arial"/>
          <w:szCs w:val="20"/>
        </w:rPr>
      </w:r>
      <w:r w:rsidR="003956BA">
        <w:rPr>
          <w:rFonts w:cs="Arial"/>
          <w:szCs w:val="20"/>
        </w:rPr>
        <w:fldChar w:fldCharType="separate"/>
      </w:r>
      <w:r w:rsidR="005D5925">
        <w:t xml:space="preserve">Figure </w:t>
      </w:r>
      <w:r w:rsidR="005D5925">
        <w:rPr>
          <w:noProof/>
        </w:rPr>
        <w:t>C</w:t>
      </w:r>
      <w:r w:rsidR="005D5925">
        <w:noBreakHyphen/>
      </w:r>
      <w:r w:rsidR="005D5925">
        <w:rPr>
          <w:noProof/>
        </w:rPr>
        <w:t>3</w:t>
      </w:r>
      <w:r w:rsidR="003956BA">
        <w:rPr>
          <w:rFonts w:cs="Arial"/>
          <w:szCs w:val="20"/>
        </w:rPr>
        <w:fldChar w:fldCharType="end"/>
      </w:r>
      <w:r w:rsidR="00875190">
        <w:rPr>
          <w:rFonts w:cs="Arial"/>
          <w:szCs w:val="20"/>
        </w:rPr>
        <w:t>a</w:t>
      </w:r>
      <w:r>
        <w:rPr>
          <w:rFonts w:cs="Arial"/>
          <w:szCs w:val="20"/>
        </w:rPr>
        <w:t xml:space="preserve">), </w:t>
      </w:r>
      <w:r w:rsidR="00676889">
        <w:rPr>
          <w:rFonts w:cs="Arial"/>
          <w:szCs w:val="20"/>
        </w:rPr>
        <w:t>suggesting both water source and discharge volume influence water temperature</w:t>
      </w:r>
      <w:r>
        <w:t>.</w:t>
      </w:r>
    </w:p>
    <w:p w:rsidR="004A25A2" w:rsidRDefault="00B35ECC" w:rsidP="0050355C">
      <w:r w:rsidRPr="00B22065">
        <w:t xml:space="preserve">Mean daily pH </w:t>
      </w:r>
      <w:r>
        <w:t xml:space="preserve">values </w:t>
      </w:r>
      <w:r w:rsidRPr="00B22065">
        <w:t>were consistently alkaline, rang</w:t>
      </w:r>
      <w:r>
        <w:t>ing</w:t>
      </w:r>
      <w:r w:rsidRPr="00B22065">
        <w:t xml:space="preserve"> from 7.56 to 8.5</w:t>
      </w:r>
      <w:r w:rsidR="00CC3707">
        <w:t>5, with no significant difference</w:t>
      </w:r>
      <w:r w:rsidRPr="00B22065">
        <w:t xml:space="preserve"> between environmental water delivery periods and non-environmental water delivery periods</w:t>
      </w:r>
      <w:r>
        <w:t xml:space="preserve"> (</w:t>
      </w:r>
      <w:r w:rsidR="00EF7808">
        <w:fldChar w:fldCharType="begin"/>
      </w:r>
      <w:r w:rsidR="00EF7808">
        <w:instrText xml:space="preserve"> REF _Ref457993224 \h </w:instrText>
      </w:r>
      <w:r w:rsidR="00EF7808">
        <w:fldChar w:fldCharType="separate"/>
      </w:r>
      <w:r w:rsidR="005D5925">
        <w:t xml:space="preserve">Table </w:t>
      </w:r>
      <w:r w:rsidR="005D5925">
        <w:rPr>
          <w:noProof/>
        </w:rPr>
        <w:t>C</w:t>
      </w:r>
      <w:r w:rsidR="005D5925">
        <w:noBreakHyphen/>
      </w:r>
      <w:r w:rsidR="005D5925">
        <w:rPr>
          <w:noProof/>
        </w:rPr>
        <w:t>2</w:t>
      </w:r>
      <w:r w:rsidR="00EF7808">
        <w:fldChar w:fldCharType="end"/>
      </w:r>
      <w:r>
        <w:t>)</w:t>
      </w:r>
      <w:r w:rsidRPr="00B22065">
        <w:t xml:space="preserve">. </w:t>
      </w:r>
      <w:r w:rsidR="00D81812">
        <w:t xml:space="preserve"> </w:t>
      </w:r>
      <w:r w:rsidRPr="00B22065">
        <w:t xml:space="preserve">Mean daily pH during the first </w:t>
      </w:r>
      <w:r>
        <w:t>environmental water</w:t>
      </w:r>
      <w:r w:rsidRPr="00B22065">
        <w:t xml:space="preserve"> and non-</w:t>
      </w:r>
      <w:r>
        <w:t>environmental water</w:t>
      </w:r>
      <w:r w:rsidRPr="00B22065">
        <w:t xml:space="preserve"> periods were above the ANZECC guideline trigger value (pH between 6.5 and 8</w:t>
      </w:r>
      <w:r>
        <w:t xml:space="preserve">, </w:t>
      </w:r>
      <w:r w:rsidR="0007404C">
        <w:fldChar w:fldCharType="begin"/>
      </w:r>
      <w:r w:rsidR="0007404C">
        <w:instrText xml:space="preserve"> REF _Ref459820995 \h </w:instrText>
      </w:r>
      <w:r w:rsidR="0007404C">
        <w:fldChar w:fldCharType="separate"/>
      </w:r>
      <w:r w:rsidR="005D5925">
        <w:t xml:space="preserve">Figure </w:t>
      </w:r>
      <w:r w:rsidR="005D5925">
        <w:rPr>
          <w:noProof/>
        </w:rPr>
        <w:t>C</w:t>
      </w:r>
      <w:r w:rsidR="005D5925">
        <w:noBreakHyphen/>
      </w:r>
      <w:r w:rsidR="005D5925">
        <w:rPr>
          <w:noProof/>
        </w:rPr>
        <w:t>2</w:t>
      </w:r>
      <w:r w:rsidR="0007404C">
        <w:fldChar w:fldCharType="end"/>
      </w:r>
      <w:r w:rsidR="0007404C">
        <w:t>a</w:t>
      </w:r>
      <w:r w:rsidRPr="00B22065">
        <w:t>).</w:t>
      </w:r>
      <w:r w:rsidR="00D81812">
        <w:t xml:space="preserve"> </w:t>
      </w:r>
      <w:r w:rsidRPr="00B22065">
        <w:t xml:space="preserve"> </w:t>
      </w:r>
      <w:r w:rsidR="00C77F44">
        <w:t>R</w:t>
      </w:r>
      <w:r>
        <w:t>egression</w:t>
      </w:r>
      <w:r w:rsidR="00C77F44">
        <w:t xml:space="preserve"> analys</w:t>
      </w:r>
      <w:r w:rsidR="00875190">
        <w:t>e</w:t>
      </w:r>
      <w:r w:rsidR="00C77F44">
        <w:t>s</w:t>
      </w:r>
      <w:r>
        <w:t xml:space="preserve"> showed that increases in discharge can increase pH, particularly during periods when environmental water is being delivered (</w:t>
      </w:r>
      <w:r w:rsidR="003956BA">
        <w:fldChar w:fldCharType="begin"/>
      </w:r>
      <w:r w:rsidR="003956BA">
        <w:instrText xml:space="preserve"> REF _Ref459892265 \h </w:instrText>
      </w:r>
      <w:r w:rsidR="003956BA">
        <w:fldChar w:fldCharType="separate"/>
      </w:r>
      <w:r w:rsidR="005D5925">
        <w:t xml:space="preserve">Figure </w:t>
      </w:r>
      <w:r w:rsidR="005D5925">
        <w:rPr>
          <w:noProof/>
        </w:rPr>
        <w:t>C</w:t>
      </w:r>
      <w:r w:rsidR="005D5925">
        <w:noBreakHyphen/>
      </w:r>
      <w:r w:rsidR="005D5925">
        <w:rPr>
          <w:noProof/>
        </w:rPr>
        <w:t>3</w:t>
      </w:r>
      <w:r w:rsidR="003956BA">
        <w:fldChar w:fldCharType="end"/>
      </w:r>
      <w:r w:rsidR="00EF7808">
        <w:t>b</w:t>
      </w:r>
      <w:r>
        <w:t>).</w:t>
      </w:r>
    </w:p>
    <w:p w:rsidR="00176148" w:rsidRDefault="004176FF" w:rsidP="00176148">
      <w:pPr>
        <w:keepNext/>
        <w:spacing w:line="240" w:lineRule="auto"/>
      </w:pPr>
      <w:r w:rsidRPr="008F5E11">
        <w:rPr>
          <w:noProof/>
          <w:lang w:eastAsia="en-AU"/>
        </w:rPr>
        <w:drawing>
          <wp:inline distT="0" distB="0" distL="0" distR="0">
            <wp:extent cx="5772150" cy="3457575"/>
            <wp:effectExtent l="0" t="0" r="0" b="9525"/>
            <wp:docPr id="15" name="Chart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1"/>
                    <pic:cNvPicPr>
                      <a:picLocks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5772150" cy="3457575"/>
                    </a:xfrm>
                    <a:prstGeom prst="rect">
                      <a:avLst/>
                    </a:prstGeom>
                    <a:noFill/>
                    <a:ln>
                      <a:noFill/>
                    </a:ln>
                  </pic:spPr>
                </pic:pic>
              </a:graphicData>
            </a:graphic>
          </wp:inline>
        </w:drawing>
      </w:r>
    </w:p>
    <w:p w:rsidR="00176148" w:rsidRDefault="00176148" w:rsidP="00176148">
      <w:pPr>
        <w:pStyle w:val="Caption"/>
      </w:pPr>
      <w:bookmarkStart w:id="32" w:name="_Ref459819902"/>
      <w:r>
        <w:t xml:space="preserve">Figure </w:t>
      </w:r>
      <w:fldSimple w:instr=" STYLEREF 6 \s ">
        <w:r w:rsidR="00673DAF">
          <w:rPr>
            <w:noProof/>
          </w:rPr>
          <w:t>C</w:t>
        </w:r>
      </w:fldSimple>
      <w:r w:rsidR="00673DAF">
        <w:noBreakHyphen/>
      </w:r>
      <w:fldSimple w:instr=" SEQ Figure \* ARABIC \s 6 ">
        <w:r w:rsidR="00673DAF">
          <w:rPr>
            <w:noProof/>
          </w:rPr>
          <w:t>1</w:t>
        </w:r>
      </w:fldSimple>
      <w:bookmarkEnd w:id="32"/>
      <w:r>
        <w:t xml:space="preserve"> </w:t>
      </w:r>
      <w:r w:rsidRPr="00967FC2">
        <w:t>Mean daily discharge of three Environmental Water and non- Environmental Water periods at Gwydir Pallamallawa gauging station (NSW418001). Red indicates Environmental Water delivery periods. Blue indicates non- Environmental Water delivery periods.</w:t>
      </w:r>
    </w:p>
    <w:p w:rsidR="00D81812" w:rsidRPr="00D81812" w:rsidRDefault="00D81812" w:rsidP="00D81812"/>
    <w:p w:rsidR="00CC3707" w:rsidRDefault="00CC3707" w:rsidP="00176148">
      <w:pPr>
        <w:rPr>
          <w:rFonts w:cs="Arial"/>
          <w:szCs w:val="20"/>
        </w:rPr>
      </w:pPr>
      <w:r w:rsidRPr="00873203">
        <w:t xml:space="preserve">During </w:t>
      </w:r>
      <w:r>
        <w:t>environmental water</w:t>
      </w:r>
      <w:r w:rsidRPr="00873203">
        <w:t xml:space="preserve"> delivery periods, mean daily </w:t>
      </w:r>
      <w:r>
        <w:t xml:space="preserve">turbidity and </w:t>
      </w:r>
      <w:r w:rsidRPr="00873203">
        <w:t xml:space="preserve">conductivity </w:t>
      </w:r>
      <w:r>
        <w:t>w</w:t>
      </w:r>
      <w:r w:rsidRPr="00873203">
        <w:t>ere significant</w:t>
      </w:r>
      <w:r w:rsidR="00523439">
        <w:t>ly</w:t>
      </w:r>
      <w:r w:rsidRPr="00873203">
        <w:t xml:space="preserve"> lower, highlighting the </w:t>
      </w:r>
      <w:r>
        <w:t xml:space="preserve">differences with catchment runoff events and potential </w:t>
      </w:r>
      <w:r w:rsidRPr="00873203">
        <w:t xml:space="preserve">dilution effects provided by environmental water to the lower Gwydir catchment. </w:t>
      </w:r>
      <w:r w:rsidR="00D81812">
        <w:t xml:space="preserve"> </w:t>
      </w:r>
      <w:r w:rsidR="00B35ECC" w:rsidRPr="00B22065">
        <w:rPr>
          <w:rFonts w:cs="Arial"/>
          <w:szCs w:val="20"/>
        </w:rPr>
        <w:t>Mean daily turbidity, ranged from 2.14 to 81.26 NTU, and w</w:t>
      </w:r>
      <w:r w:rsidR="00523439">
        <w:rPr>
          <w:rFonts w:cs="Arial"/>
          <w:szCs w:val="20"/>
        </w:rPr>
        <w:t>as</w:t>
      </w:r>
      <w:r w:rsidR="00B35ECC" w:rsidRPr="00B22065">
        <w:rPr>
          <w:rFonts w:cs="Arial"/>
          <w:szCs w:val="20"/>
        </w:rPr>
        <w:t xml:space="preserve"> significantly lower (</w:t>
      </w:r>
      <w:r w:rsidR="00B35ECC" w:rsidRPr="00B22065">
        <w:rPr>
          <w:rFonts w:cs="Arial"/>
          <w:i/>
          <w:szCs w:val="20"/>
        </w:rPr>
        <w:t>p</w:t>
      </w:r>
      <w:r w:rsidR="00B35ECC" w:rsidRPr="00B22065">
        <w:rPr>
          <w:rFonts w:cs="Arial"/>
          <w:szCs w:val="20"/>
        </w:rPr>
        <w:t xml:space="preserve"> &lt; 0.005, </w:t>
      </w:r>
      <w:r w:rsidR="001D69BA">
        <w:rPr>
          <w:rFonts w:cs="Arial"/>
          <w:szCs w:val="20"/>
        </w:rPr>
        <w:fldChar w:fldCharType="begin"/>
      </w:r>
      <w:r w:rsidR="001D69BA">
        <w:rPr>
          <w:rFonts w:cs="Arial"/>
          <w:szCs w:val="20"/>
        </w:rPr>
        <w:instrText xml:space="preserve"> REF _Ref457993224 \h </w:instrText>
      </w:r>
      <w:r w:rsidR="00176148">
        <w:rPr>
          <w:rFonts w:cs="Arial"/>
          <w:szCs w:val="20"/>
        </w:rPr>
        <w:instrText xml:space="preserve"> \* MERGEFORMAT </w:instrText>
      </w:r>
      <w:r w:rsidR="001D69BA">
        <w:rPr>
          <w:rFonts w:cs="Arial"/>
          <w:szCs w:val="20"/>
        </w:rPr>
      </w:r>
      <w:r w:rsidR="001D69BA">
        <w:rPr>
          <w:rFonts w:cs="Arial"/>
          <w:szCs w:val="20"/>
        </w:rPr>
        <w:fldChar w:fldCharType="separate"/>
      </w:r>
      <w:r w:rsidR="005D5925">
        <w:t xml:space="preserve">Table </w:t>
      </w:r>
      <w:r w:rsidR="005D5925">
        <w:rPr>
          <w:noProof/>
        </w:rPr>
        <w:t>C</w:t>
      </w:r>
      <w:r w:rsidR="005D5925">
        <w:rPr>
          <w:noProof/>
        </w:rPr>
        <w:noBreakHyphen/>
        <w:t>2</w:t>
      </w:r>
      <w:r w:rsidR="001D69BA">
        <w:rPr>
          <w:rFonts w:cs="Arial"/>
          <w:szCs w:val="20"/>
        </w:rPr>
        <w:fldChar w:fldCharType="end"/>
      </w:r>
      <w:r w:rsidR="001D69BA">
        <w:rPr>
          <w:rFonts w:cs="Arial"/>
          <w:szCs w:val="20"/>
        </w:rPr>
        <w:t xml:space="preserve">; </w:t>
      </w:r>
      <w:r w:rsidR="00ED3EC9">
        <w:rPr>
          <w:rFonts w:cs="Arial"/>
          <w:szCs w:val="20"/>
        </w:rPr>
        <w:fldChar w:fldCharType="begin"/>
      </w:r>
      <w:r w:rsidR="00ED3EC9">
        <w:rPr>
          <w:rFonts w:cs="Arial"/>
          <w:szCs w:val="20"/>
        </w:rPr>
        <w:instrText xml:space="preserve"> REF _Ref459820995 \h </w:instrText>
      </w:r>
      <w:r w:rsidR="00ED3EC9">
        <w:rPr>
          <w:rFonts w:cs="Arial"/>
          <w:szCs w:val="20"/>
        </w:rPr>
      </w:r>
      <w:r w:rsidR="00ED3EC9">
        <w:rPr>
          <w:rFonts w:cs="Arial"/>
          <w:szCs w:val="20"/>
        </w:rPr>
        <w:fldChar w:fldCharType="separate"/>
      </w:r>
      <w:r w:rsidR="005D5925">
        <w:t xml:space="preserve">Figure </w:t>
      </w:r>
      <w:r w:rsidR="005D5925">
        <w:rPr>
          <w:noProof/>
        </w:rPr>
        <w:t>C</w:t>
      </w:r>
      <w:r w:rsidR="005D5925">
        <w:noBreakHyphen/>
      </w:r>
      <w:r w:rsidR="005D5925">
        <w:rPr>
          <w:noProof/>
        </w:rPr>
        <w:t>2</w:t>
      </w:r>
      <w:r w:rsidR="00ED3EC9">
        <w:rPr>
          <w:rFonts w:cs="Arial"/>
          <w:szCs w:val="20"/>
        </w:rPr>
        <w:fldChar w:fldCharType="end"/>
      </w:r>
      <w:r w:rsidR="001D69BA">
        <w:rPr>
          <w:rFonts w:cs="Arial"/>
          <w:szCs w:val="20"/>
        </w:rPr>
        <w:t>b</w:t>
      </w:r>
      <w:r w:rsidR="00B35ECC" w:rsidRPr="00B22065">
        <w:rPr>
          <w:rFonts w:cs="Arial"/>
          <w:szCs w:val="20"/>
        </w:rPr>
        <w:t>) in the environmental water delivery periods.</w:t>
      </w:r>
      <w:r w:rsidR="00D81812">
        <w:rPr>
          <w:rFonts w:cs="Arial"/>
          <w:szCs w:val="20"/>
        </w:rPr>
        <w:t xml:space="preserve"> </w:t>
      </w:r>
      <w:r w:rsidR="00B35ECC">
        <w:rPr>
          <w:rFonts w:cs="Arial"/>
          <w:szCs w:val="20"/>
        </w:rPr>
        <w:t xml:space="preserve"> </w:t>
      </w:r>
      <w:r>
        <w:rPr>
          <w:rFonts w:cs="Arial"/>
          <w:szCs w:val="20"/>
        </w:rPr>
        <w:t>The highest turbidity recorded of 81 NTU was during the non-environmental water period in event 3, which was well above the ANZECC water quality guideline (6-50</w:t>
      </w:r>
      <w:r w:rsidR="00C77F44">
        <w:rPr>
          <w:rFonts w:cs="Arial"/>
          <w:szCs w:val="20"/>
        </w:rPr>
        <w:t xml:space="preserve"> </w:t>
      </w:r>
      <w:r>
        <w:rPr>
          <w:rFonts w:cs="Arial"/>
          <w:szCs w:val="20"/>
        </w:rPr>
        <w:t>NTU).</w:t>
      </w:r>
      <w:r w:rsidR="00D81812">
        <w:rPr>
          <w:rFonts w:cs="Arial"/>
          <w:szCs w:val="20"/>
        </w:rPr>
        <w:t xml:space="preserve"> </w:t>
      </w:r>
      <w:r>
        <w:rPr>
          <w:rFonts w:cs="Arial"/>
          <w:szCs w:val="20"/>
        </w:rPr>
        <w:t xml:space="preserve">There was no strong relationship between turbidity and discharge, </w:t>
      </w:r>
      <w:r w:rsidR="00C77F44">
        <w:rPr>
          <w:rFonts w:cs="Arial"/>
          <w:szCs w:val="20"/>
        </w:rPr>
        <w:t>likely</w:t>
      </w:r>
      <w:r>
        <w:rPr>
          <w:rFonts w:cs="Arial"/>
          <w:szCs w:val="20"/>
        </w:rPr>
        <w:t xml:space="preserve"> </w:t>
      </w:r>
      <w:r w:rsidR="00C77F44">
        <w:rPr>
          <w:rFonts w:cs="Arial"/>
          <w:szCs w:val="20"/>
        </w:rPr>
        <w:t>a result of the</w:t>
      </w:r>
      <w:r>
        <w:rPr>
          <w:rFonts w:cs="Arial"/>
          <w:szCs w:val="20"/>
        </w:rPr>
        <w:t xml:space="preserve"> delivery of relatively </w:t>
      </w:r>
      <w:r w:rsidR="00875190">
        <w:rPr>
          <w:rFonts w:cs="Arial"/>
          <w:szCs w:val="20"/>
        </w:rPr>
        <w:t>non-turbid</w:t>
      </w:r>
      <w:r>
        <w:rPr>
          <w:rFonts w:cs="Arial"/>
          <w:szCs w:val="20"/>
        </w:rPr>
        <w:t xml:space="preserve"> environmental water from Copeton Dam rather than the volume of water regulating the turbidity response</w:t>
      </w:r>
      <w:r w:rsidR="00B35ECC">
        <w:rPr>
          <w:rFonts w:cs="Arial"/>
          <w:szCs w:val="20"/>
        </w:rPr>
        <w:t xml:space="preserve"> (</w:t>
      </w:r>
      <w:r w:rsidR="00ED3EC9">
        <w:rPr>
          <w:rFonts w:cs="Arial"/>
          <w:szCs w:val="20"/>
        </w:rPr>
        <w:fldChar w:fldCharType="begin"/>
      </w:r>
      <w:r w:rsidR="00ED3EC9">
        <w:rPr>
          <w:rFonts w:cs="Arial"/>
          <w:szCs w:val="20"/>
        </w:rPr>
        <w:instrText xml:space="preserve"> REF _Ref459892265 \h </w:instrText>
      </w:r>
      <w:r w:rsidR="00ED3EC9">
        <w:rPr>
          <w:rFonts w:cs="Arial"/>
          <w:szCs w:val="20"/>
        </w:rPr>
      </w:r>
      <w:r w:rsidR="00ED3EC9">
        <w:rPr>
          <w:rFonts w:cs="Arial"/>
          <w:szCs w:val="20"/>
        </w:rPr>
        <w:fldChar w:fldCharType="separate"/>
      </w:r>
      <w:r w:rsidR="005D5925">
        <w:t xml:space="preserve">Figure </w:t>
      </w:r>
      <w:r w:rsidR="005D5925">
        <w:rPr>
          <w:noProof/>
        </w:rPr>
        <w:t>C</w:t>
      </w:r>
      <w:r w:rsidR="005D5925">
        <w:noBreakHyphen/>
      </w:r>
      <w:r w:rsidR="005D5925">
        <w:rPr>
          <w:noProof/>
        </w:rPr>
        <w:t>3</w:t>
      </w:r>
      <w:r w:rsidR="00ED3EC9">
        <w:rPr>
          <w:rFonts w:cs="Arial"/>
          <w:szCs w:val="20"/>
        </w:rPr>
        <w:fldChar w:fldCharType="end"/>
      </w:r>
      <w:r w:rsidR="00B35ECC">
        <w:rPr>
          <w:rFonts w:cs="Arial"/>
          <w:szCs w:val="20"/>
        </w:rPr>
        <w:t xml:space="preserve">). </w:t>
      </w:r>
    </w:p>
    <w:p w:rsidR="00B35ECC" w:rsidRPr="00EE4C75" w:rsidRDefault="00B35ECC" w:rsidP="0050355C">
      <w:pPr>
        <w:rPr>
          <w:lang w:eastAsia="en-AU"/>
        </w:rPr>
      </w:pPr>
      <w:r w:rsidRPr="00B22065">
        <w:t>Mean daily conductivity ranged from 0.2 to 0.77 mS/cm</w:t>
      </w:r>
      <w:r>
        <w:t xml:space="preserve"> and was</w:t>
      </w:r>
      <w:r w:rsidRPr="00B22065">
        <w:t xml:space="preserve"> within the A</w:t>
      </w:r>
      <w:r w:rsidR="00523439">
        <w:t>NZECC guideline trigger value (c</w:t>
      </w:r>
      <w:r w:rsidRPr="00B22065">
        <w:t>onductivity between 0.125 and 2.2 mS/cm)</w:t>
      </w:r>
      <w:r>
        <w:t xml:space="preserve">. </w:t>
      </w:r>
      <w:r w:rsidR="00D81812">
        <w:t xml:space="preserve"> </w:t>
      </w:r>
      <w:r>
        <w:t xml:space="preserve">Mean daily conductivity was also </w:t>
      </w:r>
      <w:r w:rsidRPr="00B22065">
        <w:t>significantly lower (</w:t>
      </w:r>
      <w:r w:rsidRPr="00B22065">
        <w:rPr>
          <w:i/>
        </w:rPr>
        <w:t>p</w:t>
      </w:r>
      <w:r w:rsidRPr="00B22065">
        <w:t xml:space="preserve"> &lt; 0.005,</w:t>
      </w:r>
      <w:r w:rsidR="001D69BA">
        <w:t xml:space="preserve"> </w:t>
      </w:r>
      <w:r w:rsidR="001D69BA">
        <w:fldChar w:fldCharType="begin"/>
      </w:r>
      <w:r w:rsidR="001D69BA">
        <w:instrText xml:space="preserve"> REF _Ref457993224 \h </w:instrText>
      </w:r>
      <w:r w:rsidR="001D69BA">
        <w:fldChar w:fldCharType="separate"/>
      </w:r>
      <w:r w:rsidR="005D5925">
        <w:t xml:space="preserve">Table </w:t>
      </w:r>
      <w:r w:rsidR="005D5925">
        <w:rPr>
          <w:noProof/>
        </w:rPr>
        <w:t>C</w:t>
      </w:r>
      <w:r w:rsidR="005D5925">
        <w:noBreakHyphen/>
      </w:r>
      <w:r w:rsidR="005D5925">
        <w:rPr>
          <w:noProof/>
        </w:rPr>
        <w:t>2</w:t>
      </w:r>
      <w:r w:rsidR="001D69BA">
        <w:fldChar w:fldCharType="end"/>
      </w:r>
      <w:r w:rsidR="001D69BA">
        <w:t xml:space="preserve">; </w:t>
      </w:r>
      <w:r w:rsidR="00ED3EC9">
        <w:fldChar w:fldCharType="begin"/>
      </w:r>
      <w:r w:rsidR="00ED3EC9">
        <w:instrText xml:space="preserve"> REF _Ref459820995 \h </w:instrText>
      </w:r>
      <w:r w:rsidR="00ED3EC9">
        <w:fldChar w:fldCharType="separate"/>
      </w:r>
      <w:r w:rsidR="005D5925">
        <w:t xml:space="preserve">Figure </w:t>
      </w:r>
      <w:r w:rsidR="005D5925">
        <w:rPr>
          <w:noProof/>
        </w:rPr>
        <w:t>C</w:t>
      </w:r>
      <w:r w:rsidR="005D5925">
        <w:noBreakHyphen/>
      </w:r>
      <w:r w:rsidR="005D5925">
        <w:rPr>
          <w:noProof/>
        </w:rPr>
        <w:t>2</w:t>
      </w:r>
      <w:r w:rsidR="00ED3EC9">
        <w:fldChar w:fldCharType="end"/>
      </w:r>
      <w:r w:rsidR="001D69BA">
        <w:t>c</w:t>
      </w:r>
      <w:r w:rsidRPr="00B22065">
        <w:t>) in the environmental water delivery periods.</w:t>
      </w:r>
      <w:r w:rsidRPr="008C31F2">
        <w:t xml:space="preserve"> </w:t>
      </w:r>
      <w:r w:rsidR="00D81812">
        <w:t xml:space="preserve"> </w:t>
      </w:r>
      <w:r>
        <w:t>The regression showed that increase in discharge can contribute to decrease in conductivity irrespective of the water source (</w:t>
      </w:r>
      <w:r w:rsidR="00ED3EC9">
        <w:fldChar w:fldCharType="begin"/>
      </w:r>
      <w:r w:rsidR="00ED3EC9">
        <w:instrText xml:space="preserve"> REF _Ref459892265 \h </w:instrText>
      </w:r>
      <w:r w:rsidR="00ED3EC9">
        <w:fldChar w:fldCharType="separate"/>
      </w:r>
      <w:r w:rsidR="005D5925">
        <w:t xml:space="preserve">Figure </w:t>
      </w:r>
      <w:r w:rsidR="005D5925">
        <w:rPr>
          <w:noProof/>
        </w:rPr>
        <w:t>C</w:t>
      </w:r>
      <w:r w:rsidR="005D5925">
        <w:noBreakHyphen/>
      </w:r>
      <w:r w:rsidR="005D5925">
        <w:rPr>
          <w:noProof/>
        </w:rPr>
        <w:t>3</w:t>
      </w:r>
      <w:r w:rsidR="00ED3EC9">
        <w:fldChar w:fldCharType="end"/>
      </w:r>
      <w:r w:rsidR="001D69BA">
        <w:t>d</w:t>
      </w:r>
      <w:r>
        <w:t>).</w:t>
      </w:r>
    </w:p>
    <w:p w:rsidR="005F23F1" w:rsidRDefault="00B35ECC" w:rsidP="0050355C">
      <w:r w:rsidRPr="00B22065">
        <w:t>Mean daily dissolved oxygen concentration was significantly higher (</w:t>
      </w:r>
      <w:r w:rsidRPr="00B22065">
        <w:rPr>
          <w:i/>
        </w:rPr>
        <w:t>p</w:t>
      </w:r>
      <w:r w:rsidRPr="00B22065">
        <w:t xml:space="preserve"> &lt; 0.005, </w:t>
      </w:r>
      <w:r w:rsidR="001D69BA">
        <w:fldChar w:fldCharType="begin"/>
      </w:r>
      <w:r w:rsidR="001D69BA">
        <w:instrText xml:space="preserve"> REF _Ref457993224 \h </w:instrText>
      </w:r>
      <w:r w:rsidR="001D69BA">
        <w:fldChar w:fldCharType="separate"/>
      </w:r>
      <w:r w:rsidR="005D5925">
        <w:t xml:space="preserve">Table </w:t>
      </w:r>
      <w:r w:rsidR="005D5925">
        <w:rPr>
          <w:noProof/>
        </w:rPr>
        <w:t>C</w:t>
      </w:r>
      <w:r w:rsidR="005D5925">
        <w:noBreakHyphen/>
      </w:r>
      <w:r w:rsidR="005D5925">
        <w:rPr>
          <w:noProof/>
        </w:rPr>
        <w:t>2</w:t>
      </w:r>
      <w:r w:rsidR="001D69BA">
        <w:fldChar w:fldCharType="end"/>
      </w:r>
      <w:r w:rsidR="001D69BA">
        <w:t xml:space="preserve">; </w:t>
      </w:r>
      <w:r w:rsidR="00ED3EC9">
        <w:fldChar w:fldCharType="begin"/>
      </w:r>
      <w:r w:rsidR="00ED3EC9">
        <w:instrText xml:space="preserve"> REF _Ref459820995 \h </w:instrText>
      </w:r>
      <w:r w:rsidR="00ED3EC9">
        <w:fldChar w:fldCharType="separate"/>
      </w:r>
      <w:r w:rsidR="005D5925">
        <w:t xml:space="preserve">Figure </w:t>
      </w:r>
      <w:r w:rsidR="005D5925">
        <w:rPr>
          <w:noProof/>
        </w:rPr>
        <w:t>C</w:t>
      </w:r>
      <w:r w:rsidR="005D5925">
        <w:noBreakHyphen/>
      </w:r>
      <w:r w:rsidR="005D5925">
        <w:rPr>
          <w:noProof/>
        </w:rPr>
        <w:t>2</w:t>
      </w:r>
      <w:r w:rsidR="00ED3EC9">
        <w:fldChar w:fldCharType="end"/>
      </w:r>
      <w:r w:rsidR="001D69BA">
        <w:t>d</w:t>
      </w:r>
      <w:r w:rsidRPr="00B22065">
        <w:t>) in the environmental water delivery period</w:t>
      </w:r>
      <w:r>
        <w:t>.</w:t>
      </w:r>
      <w:r w:rsidRPr="00B22065">
        <w:t xml:space="preserve"> </w:t>
      </w:r>
      <w:r w:rsidR="00D81812">
        <w:t xml:space="preserve"> </w:t>
      </w:r>
      <w:r>
        <w:t>Similarly, m</w:t>
      </w:r>
      <w:r w:rsidRPr="00B22065">
        <w:t xml:space="preserve">ean daily </w:t>
      </w:r>
      <w:r>
        <w:t xml:space="preserve">chlorophyll </w:t>
      </w:r>
      <w:r w:rsidRPr="007F1A8B">
        <w:rPr>
          <w:i/>
        </w:rPr>
        <w:t>a</w:t>
      </w:r>
      <w:r>
        <w:t xml:space="preserve"> </w:t>
      </w:r>
      <w:r w:rsidRPr="00B22065">
        <w:t xml:space="preserve">concentration was </w:t>
      </w:r>
      <w:r>
        <w:t xml:space="preserve">also </w:t>
      </w:r>
      <w:r w:rsidRPr="00B22065">
        <w:t>significantly higher (</w:t>
      </w:r>
      <w:r w:rsidRPr="00B22065">
        <w:rPr>
          <w:i/>
        </w:rPr>
        <w:t>p</w:t>
      </w:r>
      <w:r w:rsidRPr="00B22065">
        <w:t xml:space="preserve"> &lt; 0.005,</w:t>
      </w:r>
      <w:r w:rsidR="0007404C">
        <w:t xml:space="preserve"> </w:t>
      </w:r>
      <w:r w:rsidR="001D69BA">
        <w:fldChar w:fldCharType="begin"/>
      </w:r>
      <w:r w:rsidR="001D69BA">
        <w:instrText xml:space="preserve"> REF _Ref457993224 \h </w:instrText>
      </w:r>
      <w:r w:rsidR="001D69BA">
        <w:fldChar w:fldCharType="separate"/>
      </w:r>
      <w:r w:rsidR="005D5925">
        <w:t xml:space="preserve">Table </w:t>
      </w:r>
      <w:r w:rsidR="005D5925">
        <w:rPr>
          <w:noProof/>
        </w:rPr>
        <w:t>C</w:t>
      </w:r>
      <w:r w:rsidR="005D5925">
        <w:noBreakHyphen/>
      </w:r>
      <w:r w:rsidR="005D5925">
        <w:rPr>
          <w:noProof/>
        </w:rPr>
        <w:t>2</w:t>
      </w:r>
      <w:r w:rsidR="001D69BA">
        <w:fldChar w:fldCharType="end"/>
      </w:r>
      <w:r w:rsidR="001D69BA">
        <w:t xml:space="preserve">; </w:t>
      </w:r>
      <w:r w:rsidR="00ED3EC9">
        <w:fldChar w:fldCharType="begin"/>
      </w:r>
      <w:r w:rsidR="00ED3EC9">
        <w:instrText xml:space="preserve"> REF _Ref459820995 \h </w:instrText>
      </w:r>
      <w:r w:rsidR="00ED3EC9">
        <w:fldChar w:fldCharType="separate"/>
      </w:r>
      <w:r w:rsidR="005D5925">
        <w:t xml:space="preserve">Figure </w:t>
      </w:r>
      <w:r w:rsidR="005D5925">
        <w:rPr>
          <w:noProof/>
        </w:rPr>
        <w:t>C</w:t>
      </w:r>
      <w:r w:rsidR="005D5925">
        <w:noBreakHyphen/>
      </w:r>
      <w:r w:rsidR="005D5925">
        <w:rPr>
          <w:noProof/>
        </w:rPr>
        <w:t>2</w:t>
      </w:r>
      <w:r w:rsidR="00ED3EC9">
        <w:fldChar w:fldCharType="end"/>
      </w:r>
      <w:r w:rsidR="001D69BA">
        <w:t>e</w:t>
      </w:r>
      <w:r w:rsidRPr="00B22065">
        <w:t>) in the environmental water delivery period</w:t>
      </w:r>
      <w:r>
        <w:t xml:space="preserve">. The higher </w:t>
      </w:r>
      <w:r w:rsidRPr="00873203">
        <w:t xml:space="preserve">concentrations </w:t>
      </w:r>
      <w:r>
        <w:t>of these parameters during environmental water</w:t>
      </w:r>
      <w:r w:rsidRPr="00873203">
        <w:t xml:space="preserve"> events reflect increasing amount</w:t>
      </w:r>
      <w:r>
        <w:t>s</w:t>
      </w:r>
      <w:r w:rsidRPr="00873203">
        <w:t xml:space="preserve"> of nutrient transportation</w:t>
      </w:r>
      <w:r>
        <w:t xml:space="preserve"> in a less turbid water column enhancing primary production</w:t>
      </w:r>
      <w:r w:rsidRPr="00873203">
        <w:t xml:space="preserve">. </w:t>
      </w:r>
      <w:r w:rsidR="00D81812">
        <w:t xml:space="preserve"> </w:t>
      </w:r>
      <w:r>
        <w:t xml:space="preserve">There was no strong relationship between dissolved oxygen and chlorophyll </w:t>
      </w:r>
      <w:r w:rsidRPr="007F1A8B">
        <w:rPr>
          <w:i/>
        </w:rPr>
        <w:t>a</w:t>
      </w:r>
      <w:r>
        <w:t xml:space="preserve"> concentrations and discharge, again suggesting that environmental water rather than discharge regulate</w:t>
      </w:r>
      <w:r w:rsidR="00875190">
        <w:t>d</w:t>
      </w:r>
      <w:r>
        <w:t xml:space="preserve"> these responses (</w:t>
      </w:r>
      <w:r w:rsidR="00ED3EC9">
        <w:fldChar w:fldCharType="begin"/>
      </w:r>
      <w:r w:rsidR="00ED3EC9">
        <w:instrText xml:space="preserve"> REF _Ref459892265 \h </w:instrText>
      </w:r>
      <w:r w:rsidR="00ED3EC9">
        <w:fldChar w:fldCharType="separate"/>
      </w:r>
      <w:r w:rsidR="005D5925">
        <w:t xml:space="preserve">Figure </w:t>
      </w:r>
      <w:r w:rsidR="005D5925">
        <w:rPr>
          <w:noProof/>
        </w:rPr>
        <w:t>C</w:t>
      </w:r>
      <w:r w:rsidR="005D5925">
        <w:noBreakHyphen/>
      </w:r>
      <w:r w:rsidR="005D5925">
        <w:rPr>
          <w:noProof/>
        </w:rPr>
        <w:t>3</w:t>
      </w:r>
      <w:r w:rsidR="00ED3EC9">
        <w:fldChar w:fldCharType="end"/>
      </w:r>
      <w:r w:rsidR="001D69BA">
        <w:t>e and f</w:t>
      </w:r>
      <w:r>
        <w:t>).</w:t>
      </w:r>
    </w:p>
    <w:p w:rsidR="00EF7808" w:rsidRDefault="00D81812" w:rsidP="005F23F1">
      <w:pPr>
        <w:pStyle w:val="Caption"/>
      </w:pPr>
      <w:r>
        <w:br w:type="page"/>
      </w:r>
      <w:bookmarkStart w:id="33" w:name="_Ref457993224"/>
      <w:r w:rsidR="00EF7808">
        <w:t xml:space="preserve">Table </w:t>
      </w:r>
      <w:fldSimple w:instr=" STYLEREF 6 \s ">
        <w:r w:rsidR="005D5925">
          <w:rPr>
            <w:noProof/>
          </w:rPr>
          <w:t>C</w:t>
        </w:r>
      </w:fldSimple>
      <w:r w:rsidR="005D4453">
        <w:noBreakHyphen/>
      </w:r>
      <w:fldSimple w:instr=" SEQ Table \* ARABIC \s 6 ">
        <w:r w:rsidR="005D5925">
          <w:rPr>
            <w:noProof/>
          </w:rPr>
          <w:t>2</w:t>
        </w:r>
      </w:fldSimple>
      <w:bookmarkEnd w:id="33"/>
      <w:r w:rsidR="00EF7808">
        <w:t xml:space="preserve"> </w:t>
      </w:r>
      <w:r w:rsidR="00EF7808" w:rsidRPr="00CD63B2">
        <w:t>Mean ± standard deviation (SD) of measured water quality parameters in Environmental Water delivery periods and non- Environmental Water delivery periods. Mann-Whitney U test and Regression results. * Significant different p &lt;0.05.</w:t>
      </w:r>
    </w:p>
    <w:tbl>
      <w:tblPr>
        <w:tblpPr w:leftFromText="180" w:rightFromText="180" w:vertAnchor="text" w:horzAnchor="margin" w:tblpY="33"/>
        <w:tblW w:w="5000"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416"/>
        <w:gridCol w:w="849"/>
        <w:gridCol w:w="866"/>
        <w:gridCol w:w="867"/>
        <w:gridCol w:w="867"/>
        <w:gridCol w:w="867"/>
        <w:gridCol w:w="867"/>
        <w:gridCol w:w="867"/>
        <w:gridCol w:w="867"/>
        <w:gridCol w:w="867"/>
      </w:tblGrid>
      <w:tr w:rsidR="00CC18AA" w:rsidRPr="00BF2063" w:rsidTr="00CC18AA">
        <w:trPr>
          <w:trHeight w:val="302"/>
        </w:trPr>
        <w:tc>
          <w:tcPr>
            <w:tcW w:w="770" w:type="pct"/>
            <w:vMerge w:val="restart"/>
            <w:shd w:val="clear" w:color="auto" w:fill="D9D9D9"/>
            <w:noWrap/>
            <w:vAlign w:val="center"/>
            <w:hideMark/>
          </w:tcPr>
          <w:p w:rsidR="00EF7808" w:rsidRPr="00CC18AA" w:rsidRDefault="00EF7808" w:rsidP="00CC18AA">
            <w:pPr>
              <w:spacing w:before="60" w:after="60"/>
              <w:jc w:val="center"/>
              <w:rPr>
                <w:rFonts w:cs="Arial"/>
                <w:bCs/>
                <w:color w:val="000000"/>
                <w:szCs w:val="20"/>
                <w:lang w:val="en-US" w:eastAsia="en-AU"/>
              </w:rPr>
            </w:pPr>
            <w:r w:rsidRPr="00CC18AA">
              <w:rPr>
                <w:rFonts w:cs="Arial"/>
                <w:bCs/>
                <w:color w:val="000000"/>
                <w:szCs w:val="20"/>
                <w:lang w:val="en-US" w:eastAsia="en-AU"/>
              </w:rPr>
              <w:t>Variable</w:t>
            </w:r>
          </w:p>
        </w:tc>
        <w:tc>
          <w:tcPr>
            <w:tcW w:w="462" w:type="pct"/>
            <w:vMerge w:val="restart"/>
            <w:shd w:val="clear" w:color="auto" w:fill="D9D9D9"/>
            <w:noWrap/>
            <w:vAlign w:val="center"/>
            <w:hideMark/>
          </w:tcPr>
          <w:p w:rsidR="00EF7808" w:rsidRPr="00CC18AA" w:rsidRDefault="00EF7808" w:rsidP="00CC18AA">
            <w:pPr>
              <w:spacing w:before="60" w:after="60"/>
              <w:jc w:val="center"/>
              <w:rPr>
                <w:rFonts w:cs="Arial"/>
                <w:bCs/>
                <w:color w:val="000000"/>
                <w:szCs w:val="20"/>
                <w:lang w:val="en-US" w:eastAsia="en-AU"/>
              </w:rPr>
            </w:pPr>
            <w:r w:rsidRPr="00CC18AA">
              <w:rPr>
                <w:rFonts w:cs="Arial"/>
                <w:bCs/>
                <w:color w:val="000000"/>
                <w:szCs w:val="20"/>
                <w:lang w:val="en-US" w:eastAsia="en-AU"/>
              </w:rPr>
              <w:t>Unit</w:t>
            </w:r>
          </w:p>
        </w:tc>
        <w:tc>
          <w:tcPr>
            <w:tcW w:w="942" w:type="pct"/>
            <w:gridSpan w:val="2"/>
            <w:shd w:val="clear" w:color="auto" w:fill="D9D9D9"/>
            <w:noWrap/>
            <w:vAlign w:val="center"/>
            <w:hideMark/>
          </w:tcPr>
          <w:p w:rsidR="00EF7808" w:rsidRPr="00CC18AA" w:rsidRDefault="00EF7808" w:rsidP="00CC18AA">
            <w:pPr>
              <w:spacing w:before="60" w:after="60"/>
              <w:jc w:val="center"/>
              <w:rPr>
                <w:rFonts w:cs="Arial"/>
                <w:bCs/>
                <w:color w:val="000000"/>
                <w:szCs w:val="20"/>
                <w:lang w:val="en-US" w:eastAsia="en-AU"/>
              </w:rPr>
            </w:pPr>
            <w:r w:rsidRPr="00CC18AA">
              <w:rPr>
                <w:rFonts w:cs="Arial"/>
                <w:bCs/>
                <w:color w:val="000000"/>
                <w:szCs w:val="20"/>
                <w:lang w:val="en-US" w:eastAsia="en-AU"/>
              </w:rPr>
              <w:t>EW</w:t>
            </w:r>
          </w:p>
        </w:tc>
        <w:tc>
          <w:tcPr>
            <w:tcW w:w="942" w:type="pct"/>
            <w:gridSpan w:val="2"/>
            <w:shd w:val="clear" w:color="auto" w:fill="D9D9D9"/>
            <w:noWrap/>
            <w:vAlign w:val="center"/>
            <w:hideMark/>
          </w:tcPr>
          <w:p w:rsidR="00EF7808" w:rsidRPr="00CC18AA" w:rsidRDefault="00EF7808" w:rsidP="00CC18AA">
            <w:pPr>
              <w:spacing w:before="60" w:after="60"/>
              <w:jc w:val="center"/>
              <w:rPr>
                <w:rFonts w:cs="Arial"/>
                <w:bCs/>
                <w:color w:val="000000"/>
                <w:szCs w:val="20"/>
                <w:lang w:val="en-US" w:eastAsia="en-AU"/>
              </w:rPr>
            </w:pPr>
            <w:r w:rsidRPr="00CC18AA">
              <w:rPr>
                <w:rFonts w:cs="Arial"/>
                <w:bCs/>
                <w:color w:val="000000"/>
                <w:szCs w:val="20"/>
                <w:lang w:val="en-US" w:eastAsia="en-AU"/>
              </w:rPr>
              <w:t>non-EW</w:t>
            </w:r>
          </w:p>
        </w:tc>
        <w:tc>
          <w:tcPr>
            <w:tcW w:w="942" w:type="pct"/>
            <w:gridSpan w:val="2"/>
            <w:shd w:val="clear" w:color="auto" w:fill="D9D9D9"/>
            <w:noWrap/>
            <w:vAlign w:val="center"/>
            <w:hideMark/>
          </w:tcPr>
          <w:p w:rsidR="00EF7808" w:rsidRPr="00CC18AA" w:rsidRDefault="00EF7808" w:rsidP="00CC18AA">
            <w:pPr>
              <w:spacing w:before="60" w:after="60"/>
              <w:jc w:val="center"/>
              <w:rPr>
                <w:rFonts w:cs="Arial"/>
                <w:bCs/>
                <w:color w:val="000000"/>
                <w:szCs w:val="20"/>
                <w:lang w:val="en-US" w:eastAsia="en-AU"/>
              </w:rPr>
            </w:pPr>
            <w:r w:rsidRPr="00CC18AA">
              <w:rPr>
                <w:rFonts w:cs="Arial"/>
                <w:bCs/>
                <w:color w:val="000000"/>
                <w:szCs w:val="20"/>
                <w:lang w:val="en-US" w:eastAsia="en-AU"/>
              </w:rPr>
              <w:t>U test</w:t>
            </w:r>
          </w:p>
        </w:tc>
        <w:tc>
          <w:tcPr>
            <w:tcW w:w="942" w:type="pct"/>
            <w:gridSpan w:val="2"/>
            <w:shd w:val="clear" w:color="auto" w:fill="D9D9D9"/>
            <w:noWrap/>
            <w:vAlign w:val="center"/>
            <w:hideMark/>
          </w:tcPr>
          <w:p w:rsidR="00EF7808" w:rsidRPr="00CC18AA" w:rsidRDefault="00EF7808" w:rsidP="00CC18AA">
            <w:pPr>
              <w:spacing w:before="60" w:after="60"/>
              <w:jc w:val="center"/>
              <w:rPr>
                <w:rFonts w:cs="Arial"/>
                <w:bCs/>
                <w:color w:val="000000"/>
                <w:szCs w:val="20"/>
                <w:lang w:val="en-US" w:eastAsia="en-AU"/>
              </w:rPr>
            </w:pPr>
            <w:r w:rsidRPr="00CC18AA">
              <w:rPr>
                <w:rFonts w:cs="Arial"/>
                <w:bCs/>
                <w:color w:val="000000"/>
                <w:szCs w:val="20"/>
                <w:lang w:val="en-US" w:eastAsia="en-AU"/>
              </w:rPr>
              <w:t xml:space="preserve">Regression </w:t>
            </w:r>
            <w:r w:rsidR="00C77F44" w:rsidRPr="00CC18AA">
              <w:rPr>
                <w:rFonts w:cs="Arial"/>
                <w:bCs/>
                <w:color w:val="000000"/>
                <w:szCs w:val="20"/>
                <w:lang w:val="en-US" w:eastAsia="en-AU"/>
              </w:rPr>
              <w:t>r</w:t>
            </w:r>
            <w:r w:rsidRPr="00CC18AA">
              <w:rPr>
                <w:rFonts w:cs="Arial"/>
                <w:bCs/>
                <w:color w:val="000000"/>
                <w:szCs w:val="20"/>
                <w:vertAlign w:val="superscript"/>
                <w:lang w:val="en-US" w:eastAsia="en-AU"/>
              </w:rPr>
              <w:t>2</w:t>
            </w:r>
          </w:p>
        </w:tc>
      </w:tr>
      <w:tr w:rsidR="00CC18AA" w:rsidRPr="00BF2063" w:rsidTr="00CC18AA">
        <w:trPr>
          <w:trHeight w:val="262"/>
        </w:trPr>
        <w:tc>
          <w:tcPr>
            <w:tcW w:w="770" w:type="pct"/>
            <w:vMerge/>
            <w:shd w:val="clear" w:color="auto" w:fill="auto"/>
            <w:vAlign w:val="center"/>
            <w:hideMark/>
          </w:tcPr>
          <w:p w:rsidR="00EF7808" w:rsidRPr="00CC18AA" w:rsidRDefault="00EF7808" w:rsidP="00CC18AA">
            <w:pPr>
              <w:spacing w:before="60" w:after="60"/>
              <w:jc w:val="center"/>
              <w:rPr>
                <w:rFonts w:cs="Arial"/>
                <w:bCs/>
                <w:color w:val="000000"/>
                <w:szCs w:val="20"/>
                <w:lang w:val="en-US" w:eastAsia="en-AU"/>
              </w:rPr>
            </w:pPr>
          </w:p>
        </w:tc>
        <w:tc>
          <w:tcPr>
            <w:tcW w:w="462" w:type="pct"/>
            <w:vMerge/>
            <w:shd w:val="clear" w:color="auto" w:fill="auto"/>
            <w:vAlign w:val="center"/>
            <w:hideMark/>
          </w:tcPr>
          <w:p w:rsidR="00EF7808" w:rsidRPr="00CC18AA" w:rsidRDefault="00EF7808" w:rsidP="00CC18AA">
            <w:pPr>
              <w:spacing w:before="60" w:after="60"/>
              <w:jc w:val="center"/>
              <w:rPr>
                <w:rFonts w:cs="Arial"/>
                <w:color w:val="000000"/>
                <w:szCs w:val="20"/>
                <w:lang w:val="en-US" w:eastAsia="en-AU"/>
              </w:rPr>
            </w:pPr>
          </w:p>
        </w:tc>
        <w:tc>
          <w:tcPr>
            <w:tcW w:w="471" w:type="pct"/>
            <w:shd w:val="clear" w:color="auto" w:fill="D9D9D9"/>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mean</w:t>
            </w:r>
          </w:p>
        </w:tc>
        <w:tc>
          <w:tcPr>
            <w:tcW w:w="471" w:type="pct"/>
            <w:shd w:val="clear" w:color="auto" w:fill="D9D9D9"/>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 SD</w:t>
            </w:r>
          </w:p>
        </w:tc>
        <w:tc>
          <w:tcPr>
            <w:tcW w:w="471" w:type="pct"/>
            <w:shd w:val="clear" w:color="auto" w:fill="D9D9D9"/>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mean</w:t>
            </w:r>
          </w:p>
        </w:tc>
        <w:tc>
          <w:tcPr>
            <w:tcW w:w="471" w:type="pct"/>
            <w:shd w:val="clear" w:color="auto" w:fill="D9D9D9"/>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 SD</w:t>
            </w:r>
          </w:p>
        </w:tc>
        <w:tc>
          <w:tcPr>
            <w:tcW w:w="471" w:type="pct"/>
            <w:shd w:val="clear" w:color="auto" w:fill="D9D9D9"/>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chi-square</w:t>
            </w:r>
          </w:p>
        </w:tc>
        <w:tc>
          <w:tcPr>
            <w:tcW w:w="471" w:type="pct"/>
            <w:shd w:val="clear" w:color="auto" w:fill="D9D9D9"/>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p-value</w:t>
            </w:r>
          </w:p>
        </w:tc>
        <w:tc>
          <w:tcPr>
            <w:tcW w:w="471" w:type="pct"/>
            <w:shd w:val="clear" w:color="auto" w:fill="D9D9D9"/>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CEW</w:t>
            </w:r>
          </w:p>
        </w:tc>
        <w:tc>
          <w:tcPr>
            <w:tcW w:w="471" w:type="pct"/>
            <w:shd w:val="clear" w:color="auto" w:fill="D9D9D9"/>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non-CEW</w:t>
            </w:r>
          </w:p>
        </w:tc>
      </w:tr>
      <w:tr w:rsidR="00CC18AA" w:rsidRPr="00BF2063" w:rsidTr="00CC18AA">
        <w:trPr>
          <w:trHeight w:val="262"/>
        </w:trPr>
        <w:tc>
          <w:tcPr>
            <w:tcW w:w="770" w:type="pct"/>
            <w:shd w:val="clear" w:color="auto" w:fill="auto"/>
            <w:noWrap/>
            <w:vAlign w:val="center"/>
            <w:hideMark/>
          </w:tcPr>
          <w:p w:rsidR="00EF7808" w:rsidRPr="00CC18AA" w:rsidRDefault="00EF7808" w:rsidP="00CC18AA">
            <w:pPr>
              <w:spacing w:before="60" w:after="60"/>
              <w:jc w:val="left"/>
              <w:rPr>
                <w:rFonts w:cs="Arial"/>
                <w:bCs/>
                <w:color w:val="000000"/>
                <w:szCs w:val="20"/>
                <w:lang w:val="en-US" w:eastAsia="en-AU"/>
              </w:rPr>
            </w:pPr>
            <w:r w:rsidRPr="00CC18AA">
              <w:rPr>
                <w:rFonts w:cs="Arial"/>
                <w:bCs/>
                <w:color w:val="000000"/>
                <w:szCs w:val="20"/>
                <w:lang w:val="en-US" w:eastAsia="en-AU"/>
              </w:rPr>
              <w:t>Temperature</w:t>
            </w:r>
          </w:p>
        </w:tc>
        <w:tc>
          <w:tcPr>
            <w:tcW w:w="462" w:type="pct"/>
            <w:shd w:val="clear" w:color="auto" w:fill="auto"/>
            <w:noWrap/>
            <w:vAlign w:val="center"/>
            <w:hideMark/>
          </w:tcPr>
          <w:p w:rsidR="00EF7808" w:rsidRPr="00CC18AA" w:rsidRDefault="00875190" w:rsidP="00CC18AA">
            <w:pPr>
              <w:spacing w:before="60" w:after="60"/>
              <w:jc w:val="center"/>
              <w:rPr>
                <w:rFonts w:cs="Arial"/>
                <w:color w:val="000000"/>
                <w:szCs w:val="20"/>
                <w:lang w:val="en-US" w:eastAsia="en-AU"/>
              </w:rPr>
            </w:pPr>
            <w:r w:rsidRPr="00CC18AA">
              <w:rPr>
                <w:rFonts w:cs="Arial"/>
                <w:color w:val="000000"/>
                <w:szCs w:val="20"/>
                <w:vertAlign w:val="superscript"/>
                <w:lang w:val="en-US" w:eastAsia="en-AU"/>
              </w:rPr>
              <w:t>o</w:t>
            </w:r>
            <w:r w:rsidR="00EF7808" w:rsidRPr="00CC18AA">
              <w:rPr>
                <w:rFonts w:cs="Arial"/>
                <w:color w:val="000000"/>
                <w:szCs w:val="20"/>
                <w:lang w:val="en-US" w:eastAsia="en-AU"/>
              </w:rPr>
              <w:t>C</w:t>
            </w:r>
          </w:p>
        </w:tc>
        <w:tc>
          <w:tcPr>
            <w:tcW w:w="471"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22.63</w:t>
            </w:r>
          </w:p>
        </w:tc>
        <w:tc>
          <w:tcPr>
            <w:tcW w:w="471"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±3.35</w:t>
            </w:r>
          </w:p>
        </w:tc>
        <w:tc>
          <w:tcPr>
            <w:tcW w:w="471"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26.60</w:t>
            </w:r>
          </w:p>
        </w:tc>
        <w:tc>
          <w:tcPr>
            <w:tcW w:w="471"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±1.66</w:t>
            </w:r>
          </w:p>
        </w:tc>
        <w:tc>
          <w:tcPr>
            <w:tcW w:w="471"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48.13</w:t>
            </w:r>
          </w:p>
        </w:tc>
        <w:tc>
          <w:tcPr>
            <w:tcW w:w="471"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&lt;0.005*</w:t>
            </w:r>
          </w:p>
        </w:tc>
        <w:tc>
          <w:tcPr>
            <w:tcW w:w="471"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0.31</w:t>
            </w:r>
          </w:p>
        </w:tc>
        <w:tc>
          <w:tcPr>
            <w:tcW w:w="471"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0.26</w:t>
            </w:r>
          </w:p>
        </w:tc>
      </w:tr>
      <w:tr w:rsidR="00CC18AA" w:rsidRPr="00BF2063" w:rsidTr="00CC18AA">
        <w:trPr>
          <w:trHeight w:val="471"/>
        </w:trPr>
        <w:tc>
          <w:tcPr>
            <w:tcW w:w="770" w:type="pct"/>
            <w:shd w:val="clear" w:color="auto" w:fill="auto"/>
            <w:noWrap/>
            <w:vAlign w:val="center"/>
            <w:hideMark/>
          </w:tcPr>
          <w:p w:rsidR="00EF7808" w:rsidRPr="00CC18AA" w:rsidRDefault="00EF7808" w:rsidP="00CC18AA">
            <w:pPr>
              <w:spacing w:before="60" w:after="60"/>
              <w:jc w:val="left"/>
              <w:rPr>
                <w:rFonts w:cs="Arial"/>
                <w:bCs/>
                <w:color w:val="000000"/>
                <w:szCs w:val="20"/>
                <w:lang w:val="en-US" w:eastAsia="en-AU"/>
              </w:rPr>
            </w:pPr>
            <w:r w:rsidRPr="00CC18AA">
              <w:rPr>
                <w:rFonts w:cs="Arial"/>
                <w:bCs/>
                <w:color w:val="000000"/>
                <w:szCs w:val="20"/>
                <w:lang w:val="en-US" w:eastAsia="en-AU"/>
              </w:rPr>
              <w:t>pH</w:t>
            </w:r>
          </w:p>
        </w:tc>
        <w:tc>
          <w:tcPr>
            <w:tcW w:w="462"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w:t>
            </w:r>
          </w:p>
        </w:tc>
        <w:tc>
          <w:tcPr>
            <w:tcW w:w="471"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7.90</w:t>
            </w:r>
          </w:p>
        </w:tc>
        <w:tc>
          <w:tcPr>
            <w:tcW w:w="471"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±0.27</w:t>
            </w:r>
          </w:p>
        </w:tc>
        <w:tc>
          <w:tcPr>
            <w:tcW w:w="471"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7.82</w:t>
            </w:r>
          </w:p>
        </w:tc>
        <w:tc>
          <w:tcPr>
            <w:tcW w:w="471"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±0.3</w:t>
            </w:r>
          </w:p>
        </w:tc>
        <w:tc>
          <w:tcPr>
            <w:tcW w:w="471"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1.26</w:t>
            </w:r>
          </w:p>
        </w:tc>
        <w:tc>
          <w:tcPr>
            <w:tcW w:w="471"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0.261</w:t>
            </w:r>
          </w:p>
        </w:tc>
        <w:tc>
          <w:tcPr>
            <w:tcW w:w="471"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0.61</w:t>
            </w:r>
          </w:p>
        </w:tc>
        <w:tc>
          <w:tcPr>
            <w:tcW w:w="471"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0.28</w:t>
            </w:r>
          </w:p>
        </w:tc>
      </w:tr>
      <w:tr w:rsidR="00CC18AA" w:rsidRPr="00BF2063" w:rsidTr="00CC18AA">
        <w:trPr>
          <w:trHeight w:val="262"/>
        </w:trPr>
        <w:tc>
          <w:tcPr>
            <w:tcW w:w="770" w:type="pct"/>
            <w:shd w:val="clear" w:color="auto" w:fill="auto"/>
            <w:noWrap/>
            <w:vAlign w:val="center"/>
            <w:hideMark/>
          </w:tcPr>
          <w:p w:rsidR="00EF7808" w:rsidRPr="00CC18AA" w:rsidRDefault="00EF7808" w:rsidP="00CC18AA">
            <w:pPr>
              <w:spacing w:before="60" w:after="60"/>
              <w:jc w:val="left"/>
              <w:rPr>
                <w:rFonts w:cs="Arial"/>
                <w:bCs/>
                <w:color w:val="000000"/>
                <w:szCs w:val="20"/>
                <w:lang w:val="en-US" w:eastAsia="en-AU"/>
              </w:rPr>
            </w:pPr>
            <w:r w:rsidRPr="00CC18AA">
              <w:rPr>
                <w:rFonts w:cs="Arial"/>
                <w:bCs/>
                <w:color w:val="000000"/>
                <w:szCs w:val="20"/>
                <w:lang w:val="en-US" w:eastAsia="en-AU"/>
              </w:rPr>
              <w:t>Conductivity</w:t>
            </w:r>
          </w:p>
        </w:tc>
        <w:tc>
          <w:tcPr>
            <w:tcW w:w="462"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mS/cm</w:t>
            </w:r>
          </w:p>
        </w:tc>
        <w:tc>
          <w:tcPr>
            <w:tcW w:w="471"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0.30</w:t>
            </w:r>
          </w:p>
        </w:tc>
        <w:tc>
          <w:tcPr>
            <w:tcW w:w="471"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±0.09</w:t>
            </w:r>
          </w:p>
        </w:tc>
        <w:tc>
          <w:tcPr>
            <w:tcW w:w="471"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0.46</w:t>
            </w:r>
          </w:p>
        </w:tc>
        <w:tc>
          <w:tcPr>
            <w:tcW w:w="471"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±0.12</w:t>
            </w:r>
          </w:p>
        </w:tc>
        <w:tc>
          <w:tcPr>
            <w:tcW w:w="471"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45.45</w:t>
            </w:r>
          </w:p>
        </w:tc>
        <w:tc>
          <w:tcPr>
            <w:tcW w:w="471"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&lt;0.005*</w:t>
            </w:r>
          </w:p>
        </w:tc>
        <w:tc>
          <w:tcPr>
            <w:tcW w:w="471"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0.48</w:t>
            </w:r>
          </w:p>
        </w:tc>
        <w:tc>
          <w:tcPr>
            <w:tcW w:w="471"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0.11</w:t>
            </w:r>
          </w:p>
        </w:tc>
      </w:tr>
      <w:tr w:rsidR="00CC18AA" w:rsidRPr="00BF2063" w:rsidTr="00CC18AA">
        <w:trPr>
          <w:trHeight w:val="262"/>
        </w:trPr>
        <w:tc>
          <w:tcPr>
            <w:tcW w:w="770" w:type="pct"/>
            <w:shd w:val="clear" w:color="auto" w:fill="auto"/>
            <w:noWrap/>
            <w:vAlign w:val="center"/>
            <w:hideMark/>
          </w:tcPr>
          <w:p w:rsidR="00EF7808" w:rsidRPr="00CC18AA" w:rsidRDefault="00EF7808" w:rsidP="00CC18AA">
            <w:pPr>
              <w:spacing w:before="60" w:after="60"/>
              <w:jc w:val="left"/>
              <w:rPr>
                <w:rFonts w:cs="Arial"/>
                <w:bCs/>
                <w:color w:val="000000"/>
                <w:szCs w:val="20"/>
                <w:lang w:val="en-US" w:eastAsia="en-AU"/>
              </w:rPr>
            </w:pPr>
            <w:r w:rsidRPr="00CC18AA">
              <w:rPr>
                <w:rFonts w:cs="Arial"/>
                <w:bCs/>
                <w:color w:val="000000"/>
                <w:szCs w:val="20"/>
                <w:lang w:val="en-US" w:eastAsia="en-AU"/>
              </w:rPr>
              <w:t>Turbidity</w:t>
            </w:r>
          </w:p>
        </w:tc>
        <w:tc>
          <w:tcPr>
            <w:tcW w:w="462"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NTU</w:t>
            </w:r>
          </w:p>
        </w:tc>
        <w:tc>
          <w:tcPr>
            <w:tcW w:w="471"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10.32</w:t>
            </w:r>
          </w:p>
        </w:tc>
        <w:tc>
          <w:tcPr>
            <w:tcW w:w="471"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±9.09</w:t>
            </w:r>
          </w:p>
        </w:tc>
        <w:tc>
          <w:tcPr>
            <w:tcW w:w="471"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30.48</w:t>
            </w:r>
          </w:p>
        </w:tc>
        <w:tc>
          <w:tcPr>
            <w:tcW w:w="471"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±22.73</w:t>
            </w:r>
          </w:p>
        </w:tc>
        <w:tc>
          <w:tcPr>
            <w:tcW w:w="471"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12.44</w:t>
            </w:r>
          </w:p>
        </w:tc>
        <w:tc>
          <w:tcPr>
            <w:tcW w:w="471"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&lt;0.005*</w:t>
            </w:r>
          </w:p>
        </w:tc>
        <w:tc>
          <w:tcPr>
            <w:tcW w:w="471"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0.14</w:t>
            </w:r>
          </w:p>
        </w:tc>
        <w:tc>
          <w:tcPr>
            <w:tcW w:w="471"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0.23</w:t>
            </w:r>
          </w:p>
        </w:tc>
      </w:tr>
      <w:tr w:rsidR="00CC18AA" w:rsidRPr="00BF2063" w:rsidTr="00CC18AA">
        <w:trPr>
          <w:trHeight w:val="262"/>
        </w:trPr>
        <w:tc>
          <w:tcPr>
            <w:tcW w:w="770" w:type="pct"/>
            <w:shd w:val="clear" w:color="auto" w:fill="auto"/>
            <w:noWrap/>
            <w:vAlign w:val="center"/>
            <w:hideMark/>
          </w:tcPr>
          <w:p w:rsidR="00EF7808" w:rsidRPr="00CC18AA" w:rsidRDefault="00EF7808" w:rsidP="00CC18AA">
            <w:pPr>
              <w:spacing w:before="60" w:after="60"/>
              <w:jc w:val="left"/>
              <w:rPr>
                <w:rFonts w:cs="Arial"/>
                <w:bCs/>
                <w:color w:val="000000"/>
                <w:szCs w:val="20"/>
                <w:lang w:val="en-US" w:eastAsia="en-AU"/>
              </w:rPr>
            </w:pPr>
            <w:r w:rsidRPr="00CC18AA">
              <w:rPr>
                <w:rFonts w:cs="Arial"/>
                <w:bCs/>
                <w:color w:val="000000"/>
                <w:szCs w:val="20"/>
                <w:lang w:val="en-US" w:eastAsia="en-AU"/>
              </w:rPr>
              <w:t>Dissolved Oxygen</w:t>
            </w:r>
          </w:p>
        </w:tc>
        <w:tc>
          <w:tcPr>
            <w:tcW w:w="462"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mg/L</w:t>
            </w:r>
          </w:p>
        </w:tc>
        <w:tc>
          <w:tcPr>
            <w:tcW w:w="471"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7.49</w:t>
            </w:r>
          </w:p>
        </w:tc>
        <w:tc>
          <w:tcPr>
            <w:tcW w:w="471"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±0.81</w:t>
            </w:r>
          </w:p>
        </w:tc>
        <w:tc>
          <w:tcPr>
            <w:tcW w:w="471"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6.96</w:t>
            </w:r>
          </w:p>
        </w:tc>
        <w:tc>
          <w:tcPr>
            <w:tcW w:w="471"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±0.94</w:t>
            </w:r>
          </w:p>
        </w:tc>
        <w:tc>
          <w:tcPr>
            <w:tcW w:w="471"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16.17</w:t>
            </w:r>
          </w:p>
        </w:tc>
        <w:tc>
          <w:tcPr>
            <w:tcW w:w="471"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&lt;0.005*</w:t>
            </w:r>
          </w:p>
        </w:tc>
        <w:tc>
          <w:tcPr>
            <w:tcW w:w="471"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0.09</w:t>
            </w:r>
          </w:p>
        </w:tc>
        <w:tc>
          <w:tcPr>
            <w:tcW w:w="471"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0.04</w:t>
            </w:r>
          </w:p>
        </w:tc>
      </w:tr>
      <w:tr w:rsidR="00CC18AA" w:rsidRPr="00BF2063" w:rsidTr="00CC18AA">
        <w:trPr>
          <w:trHeight w:val="262"/>
        </w:trPr>
        <w:tc>
          <w:tcPr>
            <w:tcW w:w="770" w:type="pct"/>
            <w:shd w:val="clear" w:color="auto" w:fill="auto"/>
            <w:noWrap/>
            <w:vAlign w:val="center"/>
            <w:hideMark/>
          </w:tcPr>
          <w:p w:rsidR="00EF7808" w:rsidRPr="00CC18AA" w:rsidRDefault="00EF7808" w:rsidP="00CC18AA">
            <w:pPr>
              <w:tabs>
                <w:tab w:val="left" w:pos="1168"/>
              </w:tabs>
              <w:spacing w:before="60" w:after="60"/>
              <w:jc w:val="left"/>
              <w:rPr>
                <w:rFonts w:cs="Arial"/>
                <w:bCs/>
                <w:color w:val="000000"/>
                <w:szCs w:val="20"/>
                <w:lang w:val="en-US" w:eastAsia="en-AU"/>
              </w:rPr>
            </w:pPr>
            <w:r w:rsidRPr="00CC18AA">
              <w:rPr>
                <w:rFonts w:cs="Arial"/>
                <w:bCs/>
                <w:color w:val="000000"/>
                <w:szCs w:val="20"/>
                <w:lang w:val="en-US" w:eastAsia="en-AU"/>
              </w:rPr>
              <w:t xml:space="preserve">Chlorophyll </w:t>
            </w:r>
            <w:r w:rsidRPr="00CC18AA">
              <w:rPr>
                <w:rFonts w:cs="Arial"/>
                <w:bCs/>
                <w:i/>
                <w:color w:val="000000"/>
                <w:szCs w:val="20"/>
                <w:lang w:val="en-US" w:eastAsia="en-AU"/>
              </w:rPr>
              <w:t>a</w:t>
            </w:r>
          </w:p>
        </w:tc>
        <w:tc>
          <w:tcPr>
            <w:tcW w:w="462"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µg/L</w:t>
            </w:r>
          </w:p>
        </w:tc>
        <w:tc>
          <w:tcPr>
            <w:tcW w:w="471"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0.362</w:t>
            </w:r>
          </w:p>
        </w:tc>
        <w:tc>
          <w:tcPr>
            <w:tcW w:w="471"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±0.005</w:t>
            </w:r>
          </w:p>
        </w:tc>
        <w:tc>
          <w:tcPr>
            <w:tcW w:w="471"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0.355</w:t>
            </w:r>
          </w:p>
        </w:tc>
        <w:tc>
          <w:tcPr>
            <w:tcW w:w="471"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±0.004</w:t>
            </w:r>
          </w:p>
        </w:tc>
        <w:tc>
          <w:tcPr>
            <w:tcW w:w="471"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56.37</w:t>
            </w:r>
          </w:p>
        </w:tc>
        <w:tc>
          <w:tcPr>
            <w:tcW w:w="471"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&lt;0.005*</w:t>
            </w:r>
          </w:p>
        </w:tc>
        <w:tc>
          <w:tcPr>
            <w:tcW w:w="471"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0.05</w:t>
            </w:r>
          </w:p>
        </w:tc>
        <w:tc>
          <w:tcPr>
            <w:tcW w:w="471" w:type="pct"/>
            <w:shd w:val="clear" w:color="auto" w:fill="auto"/>
            <w:noWrap/>
            <w:vAlign w:val="center"/>
            <w:hideMark/>
          </w:tcPr>
          <w:p w:rsidR="00EF7808" w:rsidRPr="00CC18AA" w:rsidRDefault="00EF7808" w:rsidP="00CC18AA">
            <w:pPr>
              <w:spacing w:before="60" w:after="60"/>
              <w:jc w:val="center"/>
              <w:rPr>
                <w:rFonts w:cs="Arial"/>
                <w:color w:val="000000"/>
                <w:szCs w:val="20"/>
                <w:lang w:val="en-US" w:eastAsia="en-AU"/>
              </w:rPr>
            </w:pPr>
            <w:r w:rsidRPr="00CC18AA">
              <w:rPr>
                <w:rFonts w:cs="Arial"/>
                <w:color w:val="000000"/>
                <w:szCs w:val="20"/>
                <w:lang w:val="en-US" w:eastAsia="en-AU"/>
              </w:rPr>
              <w:t>0.00</w:t>
            </w:r>
          </w:p>
        </w:tc>
      </w:tr>
    </w:tbl>
    <w:p w:rsidR="00BF2063" w:rsidRDefault="00BF2063" w:rsidP="00B35ECC">
      <w:pPr>
        <w:jc w:val="left"/>
        <w:rPr>
          <w:rFonts w:cs="Arial"/>
          <w:szCs w:val="20"/>
        </w:rPr>
      </w:pPr>
    </w:p>
    <w:p w:rsidR="0007404C" w:rsidRDefault="004176FF" w:rsidP="0007404C">
      <w:pPr>
        <w:keepNext/>
        <w:spacing w:line="240" w:lineRule="auto"/>
        <w:jc w:val="left"/>
      </w:pPr>
      <w:r w:rsidRPr="008F5E11">
        <w:rPr>
          <w:noProof/>
          <w:lang w:eastAsia="en-AU"/>
        </w:rPr>
        <w:drawing>
          <wp:inline distT="0" distB="0" distL="0" distR="0">
            <wp:extent cx="5915025" cy="8258175"/>
            <wp:effectExtent l="0" t="0" r="9525" b="952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5915025" cy="8258175"/>
                    </a:xfrm>
                    <a:prstGeom prst="rect">
                      <a:avLst/>
                    </a:prstGeom>
                    <a:noFill/>
                    <a:ln>
                      <a:noFill/>
                    </a:ln>
                  </pic:spPr>
                </pic:pic>
              </a:graphicData>
            </a:graphic>
          </wp:inline>
        </w:drawing>
      </w:r>
    </w:p>
    <w:p w:rsidR="00B35ECC" w:rsidRDefault="0007404C" w:rsidP="0007404C">
      <w:pPr>
        <w:pStyle w:val="Caption"/>
        <w:jc w:val="left"/>
        <w:rPr>
          <w:rFonts w:cs="Arial"/>
        </w:rPr>
      </w:pPr>
      <w:bookmarkStart w:id="34" w:name="_Ref459820995"/>
      <w:r>
        <w:t xml:space="preserve">Figure </w:t>
      </w:r>
      <w:fldSimple w:instr=" STYLEREF 6 \s ">
        <w:r w:rsidR="00673DAF">
          <w:rPr>
            <w:noProof/>
          </w:rPr>
          <w:t>C</w:t>
        </w:r>
      </w:fldSimple>
      <w:r w:rsidR="00673DAF">
        <w:noBreakHyphen/>
      </w:r>
      <w:fldSimple w:instr=" SEQ Figure \* ARABIC \s 6 ">
        <w:r w:rsidR="00673DAF">
          <w:rPr>
            <w:noProof/>
          </w:rPr>
          <w:t>2</w:t>
        </w:r>
      </w:fldSimple>
      <w:bookmarkEnd w:id="34"/>
      <w:r>
        <w:t xml:space="preserve"> </w:t>
      </w:r>
      <w:r w:rsidRPr="00206EA6">
        <w:t xml:space="preserve">Mean daily (a) pH, (b) </w:t>
      </w:r>
      <w:r>
        <w:t>turbidity, (c) conductivity, (d) d</w:t>
      </w:r>
      <w:r w:rsidRPr="00206EA6">
        <w:t xml:space="preserve">issolved </w:t>
      </w:r>
      <w:r>
        <w:t>o</w:t>
      </w:r>
      <w:r w:rsidRPr="00206EA6">
        <w:t xml:space="preserve">xygen and (e) </w:t>
      </w:r>
      <w:r>
        <w:t>c</w:t>
      </w:r>
      <w:r w:rsidRPr="00206EA6">
        <w:t>hlorophyll a concentration near the Pallamallawa gauge (NSW418001) in the Gwydir River.</w:t>
      </w:r>
    </w:p>
    <w:tbl>
      <w:tblPr>
        <w:tblW w:w="0" w:type="auto"/>
        <w:tblLook w:val="04A0" w:firstRow="1" w:lastRow="0" w:firstColumn="1" w:lastColumn="0" w:noHBand="0" w:noVBand="1"/>
      </w:tblPr>
      <w:tblGrid>
        <w:gridCol w:w="4600"/>
        <w:gridCol w:w="4600"/>
      </w:tblGrid>
      <w:tr w:rsidR="0007404C" w:rsidTr="00CC18AA">
        <w:tc>
          <w:tcPr>
            <w:tcW w:w="4708" w:type="dxa"/>
            <w:shd w:val="clear" w:color="auto" w:fill="auto"/>
            <w:noWrap/>
            <w:vAlign w:val="center"/>
          </w:tcPr>
          <w:p w:rsidR="0007404C" w:rsidRDefault="004176FF" w:rsidP="00CC18AA">
            <w:pPr>
              <w:spacing w:line="240" w:lineRule="auto"/>
            </w:pPr>
            <w:r w:rsidRPr="00CC18AA">
              <w:rPr>
                <w:rFonts w:cs="Arial"/>
                <w:noProof/>
                <w:lang w:eastAsia="en-AU"/>
              </w:rPr>
              <w:drawing>
                <wp:inline distT="0" distB="0" distL="0" distR="0">
                  <wp:extent cx="2533650" cy="2124075"/>
                  <wp:effectExtent l="0" t="0" r="0" b="9525"/>
                  <wp:docPr id="17" name="Chart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8"/>
                          <pic:cNvPicPr>
                            <a:picLocks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2533650" cy="2124075"/>
                          </a:xfrm>
                          <a:prstGeom prst="rect">
                            <a:avLst/>
                          </a:prstGeom>
                          <a:noFill/>
                          <a:ln>
                            <a:noFill/>
                          </a:ln>
                        </pic:spPr>
                      </pic:pic>
                    </a:graphicData>
                  </a:graphic>
                </wp:inline>
              </w:drawing>
            </w:r>
          </w:p>
        </w:tc>
        <w:tc>
          <w:tcPr>
            <w:tcW w:w="4708" w:type="dxa"/>
            <w:shd w:val="clear" w:color="auto" w:fill="auto"/>
            <w:noWrap/>
          </w:tcPr>
          <w:p w:rsidR="0007404C" w:rsidRDefault="004176FF" w:rsidP="00CC18AA">
            <w:pPr>
              <w:spacing w:line="240" w:lineRule="auto"/>
              <w:jc w:val="left"/>
            </w:pPr>
            <w:r w:rsidRPr="008F5E11">
              <w:rPr>
                <w:noProof/>
                <w:lang w:eastAsia="en-AU"/>
              </w:rPr>
              <w:drawing>
                <wp:inline distT="0" distB="0" distL="0" distR="0">
                  <wp:extent cx="2513965" cy="2121535"/>
                  <wp:effectExtent l="0" t="0" r="635" b="12065"/>
                  <wp:docPr id="18" name="Char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07404C" w:rsidTr="00CC18AA">
        <w:tc>
          <w:tcPr>
            <w:tcW w:w="4708" w:type="dxa"/>
            <w:shd w:val="clear" w:color="auto" w:fill="auto"/>
            <w:noWrap/>
          </w:tcPr>
          <w:p w:rsidR="0007404C" w:rsidRDefault="004176FF" w:rsidP="00CC18AA">
            <w:pPr>
              <w:spacing w:line="240" w:lineRule="auto"/>
              <w:jc w:val="left"/>
            </w:pPr>
            <w:r w:rsidRPr="00CC18AA">
              <w:rPr>
                <w:rFonts w:cs="Arial"/>
                <w:noProof/>
                <w:lang w:eastAsia="en-AU"/>
              </w:rPr>
              <w:drawing>
                <wp:inline distT="0" distB="0" distL="0" distR="0">
                  <wp:extent cx="2532380" cy="2255520"/>
                  <wp:effectExtent l="0" t="0" r="1270" b="11430"/>
                  <wp:docPr id="19" name="Char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4708" w:type="dxa"/>
            <w:shd w:val="clear" w:color="auto" w:fill="auto"/>
            <w:noWrap/>
          </w:tcPr>
          <w:p w:rsidR="0007404C" w:rsidRDefault="004176FF" w:rsidP="00CC18AA">
            <w:pPr>
              <w:spacing w:line="240" w:lineRule="auto"/>
              <w:jc w:val="left"/>
            </w:pPr>
            <w:r w:rsidRPr="00CC18AA">
              <w:rPr>
                <w:rFonts w:cs="Arial"/>
                <w:noProof/>
                <w:lang w:eastAsia="en-AU"/>
              </w:rPr>
              <w:drawing>
                <wp:inline distT="0" distB="0" distL="0" distR="0">
                  <wp:extent cx="2644775" cy="2255520"/>
                  <wp:effectExtent l="0" t="0" r="3175" b="11430"/>
                  <wp:docPr id="20" name="Char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07404C" w:rsidTr="00CC18AA">
        <w:tc>
          <w:tcPr>
            <w:tcW w:w="4708" w:type="dxa"/>
            <w:shd w:val="clear" w:color="auto" w:fill="auto"/>
            <w:noWrap/>
          </w:tcPr>
          <w:p w:rsidR="0007404C" w:rsidRDefault="004176FF" w:rsidP="00CC18AA">
            <w:pPr>
              <w:spacing w:line="240" w:lineRule="auto"/>
              <w:jc w:val="left"/>
            </w:pPr>
            <w:r w:rsidRPr="00CC18AA">
              <w:rPr>
                <w:rFonts w:cs="Arial"/>
                <w:noProof/>
                <w:lang w:eastAsia="en-AU"/>
              </w:rPr>
              <w:drawing>
                <wp:inline distT="0" distB="0" distL="0" distR="0">
                  <wp:extent cx="2657475" cy="2333625"/>
                  <wp:effectExtent l="0" t="0" r="9525" b="9525"/>
                  <wp:docPr id="21" name="Chart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4708" w:type="dxa"/>
            <w:shd w:val="clear" w:color="auto" w:fill="auto"/>
            <w:noWrap/>
          </w:tcPr>
          <w:p w:rsidR="0007404C" w:rsidRDefault="004176FF" w:rsidP="00CC18AA">
            <w:pPr>
              <w:keepNext/>
              <w:spacing w:line="240" w:lineRule="auto"/>
              <w:jc w:val="left"/>
            </w:pPr>
            <w:r w:rsidRPr="00CC18AA">
              <w:rPr>
                <w:rFonts w:cs="Arial"/>
                <w:noProof/>
                <w:lang w:eastAsia="en-AU"/>
              </w:rPr>
              <w:drawing>
                <wp:inline distT="0" distB="0" distL="0" distR="0">
                  <wp:extent cx="2800350" cy="2407920"/>
                  <wp:effectExtent l="0" t="0" r="0" b="11430"/>
                  <wp:docPr id="22" name="Char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bl>
    <w:p w:rsidR="0007404C" w:rsidRDefault="0007404C">
      <w:pPr>
        <w:pStyle w:val="Caption"/>
      </w:pPr>
      <w:bookmarkStart w:id="35" w:name="_Ref459892265"/>
      <w:r>
        <w:t xml:space="preserve">Figure </w:t>
      </w:r>
      <w:fldSimple w:instr=" STYLEREF 6 \s ">
        <w:r w:rsidR="00673DAF">
          <w:rPr>
            <w:noProof/>
          </w:rPr>
          <w:t>C</w:t>
        </w:r>
      </w:fldSimple>
      <w:r w:rsidR="00673DAF">
        <w:noBreakHyphen/>
      </w:r>
      <w:fldSimple w:instr=" SEQ Figure \* ARABIC \s 6 ">
        <w:r w:rsidR="00673DAF">
          <w:rPr>
            <w:noProof/>
          </w:rPr>
          <w:t>3</w:t>
        </w:r>
      </w:fldSimple>
      <w:bookmarkEnd w:id="35"/>
      <w:r>
        <w:t xml:space="preserve"> </w:t>
      </w:r>
      <w:r w:rsidRPr="006F784F">
        <w:t xml:space="preserve">Regressions between discharge at Gwydir Pallamallawa gauge </w:t>
      </w:r>
      <w:r>
        <w:t>(NSW418001) and mean daily (a) t</w:t>
      </w:r>
      <w:r w:rsidRPr="006F784F">
        <w:t xml:space="preserve">emperature, (b) pH, (c) </w:t>
      </w:r>
      <w:r>
        <w:t>turbidity, (d) c</w:t>
      </w:r>
      <w:r w:rsidRPr="006F784F">
        <w:t xml:space="preserve">onductivity, (e) </w:t>
      </w:r>
      <w:r>
        <w:t>dissolved o</w:t>
      </w:r>
      <w:r w:rsidRPr="006F784F">
        <w:t xml:space="preserve">xygen and (f) </w:t>
      </w:r>
      <w:r>
        <w:t>c</w:t>
      </w:r>
      <w:r w:rsidRPr="006F784F">
        <w:t xml:space="preserve">hlorophyll a concentrations. </w:t>
      </w:r>
      <w:r>
        <w:t>EW represents environmental water.</w:t>
      </w:r>
    </w:p>
    <w:p w:rsidR="00B35ECC" w:rsidRPr="00257411" w:rsidRDefault="00B35ECC" w:rsidP="00B35ECC"/>
    <w:p w:rsidR="00B35ECC" w:rsidRPr="00257411" w:rsidRDefault="00B35ECC" w:rsidP="00B35ECC">
      <w:pPr>
        <w:jc w:val="left"/>
      </w:pPr>
    </w:p>
    <w:p w:rsidR="00B35ECC" w:rsidRPr="004335CD" w:rsidRDefault="00B35ECC" w:rsidP="009C1DAC">
      <w:pPr>
        <w:pStyle w:val="Heading7"/>
      </w:pPr>
      <w:bookmarkStart w:id="36" w:name="_Toc426839302"/>
      <w:r w:rsidRPr="004335CD">
        <w:t>Conclusion</w:t>
      </w:r>
      <w:bookmarkEnd w:id="36"/>
    </w:p>
    <w:p w:rsidR="00290A23" w:rsidRPr="002D618C" w:rsidRDefault="00290A23" w:rsidP="0050355C">
      <w:bookmarkStart w:id="37" w:name="_Toc426839303"/>
      <w:r w:rsidRPr="002D618C">
        <w:t xml:space="preserve">The delivery of environmental water significantly reduced mean daily temperature, conductivity and turbidity concentrations when compared to non-environmental water delivery periods. </w:t>
      </w:r>
      <w:r w:rsidR="00D81812">
        <w:t xml:space="preserve"> </w:t>
      </w:r>
      <w:r w:rsidRPr="002D618C">
        <w:t>In particular, the delivery of environmental water during the natural base flow period led to significant improvement of turbidity level</w:t>
      </w:r>
      <w:r w:rsidR="002A1FB2">
        <w:t>s</w:t>
      </w:r>
      <w:r w:rsidRPr="002D618C">
        <w:t xml:space="preserve"> to below </w:t>
      </w:r>
      <w:r>
        <w:t xml:space="preserve">the </w:t>
      </w:r>
      <w:r w:rsidRPr="002D618C">
        <w:t>ANZECC water quality guideline.</w:t>
      </w:r>
      <w:r w:rsidR="00D81812">
        <w:t xml:space="preserve"> </w:t>
      </w:r>
      <w:r w:rsidRPr="002D618C">
        <w:t xml:space="preserve"> These processes reflect the dilution effects provided by environmental water</w:t>
      </w:r>
      <w:r w:rsidR="002A1FB2">
        <w:t>,</w:t>
      </w:r>
      <w:r w:rsidRPr="002D618C">
        <w:t xml:space="preserve"> and the changes in water chemistry associated with the increase in discharge and wetted area of channels. </w:t>
      </w:r>
    </w:p>
    <w:p w:rsidR="00290A23" w:rsidRPr="002D618C" w:rsidRDefault="00290A23" w:rsidP="0050355C">
      <w:pPr>
        <w:rPr>
          <w:rFonts w:cs="Arial"/>
          <w:szCs w:val="20"/>
        </w:rPr>
      </w:pPr>
      <w:r w:rsidRPr="002D618C">
        <w:t xml:space="preserve">The delivery of environmental water significantly increased mean daily dissolved oxygen and chlorophyll </w:t>
      </w:r>
      <w:r w:rsidRPr="007F1A8B">
        <w:rPr>
          <w:i/>
        </w:rPr>
        <w:t>a</w:t>
      </w:r>
      <w:r w:rsidRPr="002D618C">
        <w:t xml:space="preserve"> concentrations when compared to non-environmental water delivery periods. </w:t>
      </w:r>
      <w:r w:rsidR="00D81812">
        <w:t xml:space="preserve"> </w:t>
      </w:r>
      <w:r w:rsidRPr="002D618C">
        <w:t xml:space="preserve">These processes </w:t>
      </w:r>
      <w:r>
        <w:t xml:space="preserve">are likely to be </w:t>
      </w:r>
      <w:r w:rsidRPr="002D618C">
        <w:rPr>
          <w:rFonts w:cs="Arial"/>
          <w:szCs w:val="20"/>
        </w:rPr>
        <w:t>associated with increase</w:t>
      </w:r>
      <w:r>
        <w:rPr>
          <w:rFonts w:cs="Arial"/>
          <w:szCs w:val="20"/>
        </w:rPr>
        <w:t>d</w:t>
      </w:r>
      <w:r w:rsidRPr="002D618C">
        <w:rPr>
          <w:rFonts w:cs="Arial"/>
          <w:szCs w:val="20"/>
        </w:rPr>
        <w:t xml:space="preserve"> nutrient concentrations </w:t>
      </w:r>
      <w:r>
        <w:rPr>
          <w:rFonts w:cs="Arial"/>
          <w:szCs w:val="20"/>
        </w:rPr>
        <w:t xml:space="preserve">and improved light conditions </w:t>
      </w:r>
      <w:r w:rsidRPr="002D618C">
        <w:rPr>
          <w:rFonts w:cs="Arial"/>
          <w:szCs w:val="20"/>
        </w:rPr>
        <w:t xml:space="preserve">to support </w:t>
      </w:r>
      <w:r>
        <w:rPr>
          <w:rFonts w:cs="Arial"/>
          <w:szCs w:val="20"/>
        </w:rPr>
        <w:t xml:space="preserve">water column </w:t>
      </w:r>
      <w:r w:rsidRPr="002D618C">
        <w:rPr>
          <w:rFonts w:cs="Arial"/>
          <w:szCs w:val="20"/>
        </w:rPr>
        <w:t>primary productivity</w:t>
      </w:r>
      <w:r>
        <w:rPr>
          <w:rFonts w:cs="Arial"/>
          <w:szCs w:val="20"/>
        </w:rPr>
        <w:t xml:space="preserve"> and stimulate pelagic foodwebs.</w:t>
      </w:r>
    </w:p>
    <w:p w:rsidR="00290A23" w:rsidRDefault="00290A23" w:rsidP="0050355C">
      <w:pPr>
        <w:rPr>
          <w:rFonts w:cs="Arial"/>
          <w:szCs w:val="20"/>
        </w:rPr>
      </w:pPr>
      <w:r w:rsidRPr="002D618C">
        <w:t xml:space="preserve">The delivery of environmental water did not </w:t>
      </w:r>
      <w:r>
        <w:t>lead to</w:t>
      </w:r>
      <w:r w:rsidRPr="002D618C">
        <w:t xml:space="preserve"> significant differen</w:t>
      </w:r>
      <w:r>
        <w:t>ces</w:t>
      </w:r>
      <w:r w:rsidRPr="002D618C">
        <w:t xml:space="preserve"> in pH. </w:t>
      </w:r>
      <w:r w:rsidR="00D81812">
        <w:t xml:space="preserve"> </w:t>
      </w:r>
      <w:r w:rsidRPr="002D618C">
        <w:t xml:space="preserve">However, regression </w:t>
      </w:r>
      <w:r>
        <w:t xml:space="preserve">analysis </w:t>
      </w:r>
      <w:r w:rsidRPr="002D618C">
        <w:t xml:space="preserve">showed </w:t>
      </w:r>
      <w:r>
        <w:t xml:space="preserve">an </w:t>
      </w:r>
      <w:r w:rsidRPr="002D618C">
        <w:t>increase</w:t>
      </w:r>
      <w:r>
        <w:t xml:space="preserve"> in</w:t>
      </w:r>
      <w:r w:rsidRPr="002D618C">
        <w:t xml:space="preserve"> discharge contribute</w:t>
      </w:r>
      <w:r w:rsidR="002A1FB2">
        <w:t>d</w:t>
      </w:r>
      <w:r w:rsidRPr="002D618C">
        <w:t xml:space="preserve"> to </w:t>
      </w:r>
      <w:r>
        <w:t xml:space="preserve">an </w:t>
      </w:r>
      <w:r w:rsidRPr="002D618C">
        <w:t>increase in pH.</w:t>
      </w:r>
      <w:r>
        <w:t xml:space="preserve"> </w:t>
      </w:r>
      <w:r w:rsidR="00D81812">
        <w:t xml:space="preserve"> </w:t>
      </w:r>
      <w:r>
        <w:t>Generally (with the exception of conductivity that showed a negative relationship with shift from increasing to decreasing conductivity with increased discharge) there were poor linear relationships between discharge and water quality measures.</w:t>
      </w:r>
      <w:r w:rsidR="00D81812">
        <w:t xml:space="preserve"> </w:t>
      </w:r>
      <w:r>
        <w:t xml:space="preserve"> </w:t>
      </w:r>
      <w:r w:rsidRPr="002D618C">
        <w:rPr>
          <w:rFonts w:cs="Arial"/>
          <w:szCs w:val="20"/>
        </w:rPr>
        <w:t>Un</w:t>
      </w:r>
      <w:r w:rsidR="008B7094">
        <w:rPr>
          <w:rFonts w:cs="Arial"/>
          <w:szCs w:val="20"/>
        </w:rPr>
        <w:t xml:space="preserve">derstanding </w:t>
      </w:r>
      <w:r w:rsidRPr="002D618C">
        <w:rPr>
          <w:rFonts w:cs="Arial"/>
          <w:szCs w:val="20"/>
        </w:rPr>
        <w:t>the effects of season, discharge and water quality will continue as more complete datasets are collected over the coming water year.</w:t>
      </w:r>
    </w:p>
    <w:p w:rsidR="00B35ECC" w:rsidRDefault="00B35ECC" w:rsidP="009C1DAC">
      <w:pPr>
        <w:pStyle w:val="Heading7"/>
      </w:pPr>
      <w:r w:rsidRPr="004335CD">
        <w:t>References</w:t>
      </w:r>
      <w:bookmarkEnd w:id="37"/>
    </w:p>
    <w:p w:rsidR="003B535A" w:rsidRPr="003B535A" w:rsidRDefault="003B535A" w:rsidP="003B535A">
      <w:r>
        <w:t>Commonwealth of Australia. 2014.</w:t>
      </w:r>
      <w:r w:rsidRPr="004335CD">
        <w:t xml:space="preserve"> </w:t>
      </w:r>
      <w:r w:rsidRPr="00F51322">
        <w:rPr>
          <w:i/>
        </w:rPr>
        <w:t>Commonwealth Environmental Water Office Long Term Intervention Monitoring Project Gwydir River System Selected Area</w:t>
      </w:r>
      <w:r>
        <w:rPr>
          <w:i/>
        </w:rPr>
        <w:t>.</w:t>
      </w:r>
      <w:r>
        <w:t xml:space="preserve"> Commonwealth of Australia.</w:t>
      </w:r>
    </w:p>
    <w:p w:rsidR="00B35ECC" w:rsidRDefault="003B535A" w:rsidP="00B35ECC">
      <w:pPr>
        <w:sectPr w:rsidR="00B35ECC" w:rsidSect="004F411E">
          <w:headerReference w:type="default" r:id="rId50"/>
          <w:type w:val="nextColumn"/>
          <w:pgSz w:w="11899" w:h="16838"/>
          <w:pgMar w:top="1508" w:right="1219" w:bottom="1457" w:left="1480" w:header="811" w:footer="305" w:gutter="0"/>
          <w:pgNumType w:start="1" w:chapStyle="6"/>
          <w:cols w:space="708"/>
          <w:docGrid w:linePitch="360"/>
        </w:sectPr>
      </w:pPr>
      <w:r>
        <w:t xml:space="preserve">Commonwealth of Australia. 2015. </w:t>
      </w:r>
      <w:r w:rsidRPr="008A7199">
        <w:rPr>
          <w:i/>
        </w:rPr>
        <w:t>Commonwealth Environmental Water Office Long Term intervention Monitoring Project Gwydir River System Selected Area – 2014-15 Evaluation Report</w:t>
      </w:r>
      <w:r>
        <w:t>. Commonwealth of Australia.</w:t>
      </w:r>
    </w:p>
    <w:p w:rsidR="00B35ECC" w:rsidRPr="009F3BFA" w:rsidRDefault="00480B7E" w:rsidP="00480B7E">
      <w:pPr>
        <w:pStyle w:val="Heading6"/>
      </w:pPr>
      <w:r w:rsidRPr="009F3BFA">
        <w:t xml:space="preserve"> </w:t>
      </w:r>
      <w:bookmarkStart w:id="38" w:name="_Ref458697759"/>
      <w:r w:rsidRPr="009F3BFA">
        <w:t>Microinvertebrates</w:t>
      </w:r>
      <w:bookmarkEnd w:id="38"/>
    </w:p>
    <w:p w:rsidR="0050355C" w:rsidRDefault="0050355C" w:rsidP="0050355C">
      <w:pPr>
        <w:pStyle w:val="Heading7"/>
      </w:pPr>
      <w:r>
        <w:t>Introduction</w:t>
      </w:r>
    </w:p>
    <w:p w:rsidR="0050355C" w:rsidRDefault="007D2398" w:rsidP="00896F3B">
      <w:pPr>
        <w:ind w:right="-7"/>
      </w:pPr>
      <w:r>
        <w:t>The M</w:t>
      </w:r>
      <w:r w:rsidR="0050355C">
        <w:t>icroinvertebrate</w:t>
      </w:r>
      <w:r>
        <w:t>s</w:t>
      </w:r>
      <w:r w:rsidR="0050355C">
        <w:t xml:space="preserve"> indicator aims to assess the contribution of Commonwealth environmental watering to microinvertebrate abundance and diversity. </w:t>
      </w:r>
      <w:r w:rsidR="007F49F9">
        <w:t xml:space="preserve"> </w:t>
      </w:r>
      <w:r w:rsidR="0050355C">
        <w:t xml:space="preserve">Several specific questions were addressed through this indicator within the Gwydir </w:t>
      </w:r>
      <w:r>
        <w:t>r</w:t>
      </w:r>
      <w:r w:rsidR="0050355C">
        <w:t xml:space="preserve">iver </w:t>
      </w:r>
      <w:r>
        <w:t>s</w:t>
      </w:r>
      <w:r w:rsidR="0050355C">
        <w:t>ystem Selected Area during the 2015-16 water year:</w:t>
      </w:r>
    </w:p>
    <w:p w:rsidR="0050355C" w:rsidRDefault="0050355C" w:rsidP="00896F3B">
      <w:pPr>
        <w:ind w:right="-7"/>
      </w:pPr>
      <w:r>
        <w:t>Category III – Stream Metabolism indicators and evaluation questions:</w:t>
      </w:r>
    </w:p>
    <w:p w:rsidR="0050355C" w:rsidRDefault="0050355C" w:rsidP="005E1E2E">
      <w:pPr>
        <w:pStyle w:val="Bullets1"/>
        <w:numPr>
          <w:ilvl w:val="0"/>
          <w:numId w:val="10"/>
        </w:numPr>
        <w:ind w:left="1134" w:hanging="567"/>
      </w:pPr>
      <w:r>
        <w:t xml:space="preserve">What did </w:t>
      </w:r>
      <w:r w:rsidR="007D2398">
        <w:t>Commonwealth environmental water</w:t>
      </w:r>
      <w:r>
        <w:t xml:space="preserve"> contribute to patterns and rates of primary productivity?</w:t>
      </w:r>
    </w:p>
    <w:p w:rsidR="0050355C" w:rsidRDefault="007D2398" w:rsidP="005E1E2E">
      <w:pPr>
        <w:pStyle w:val="Bullets1"/>
        <w:numPr>
          <w:ilvl w:val="0"/>
          <w:numId w:val="10"/>
        </w:numPr>
        <w:spacing w:after="240"/>
        <w:ind w:left="1134" w:hanging="567"/>
      </w:pPr>
      <w:r>
        <w:t>What did Commonwealth environmental water</w:t>
      </w:r>
      <w:r w:rsidR="0050355C">
        <w:t xml:space="preserve"> contribute to patterns and rates of decomposition?</w:t>
      </w:r>
    </w:p>
    <w:p w:rsidR="0050355C" w:rsidRDefault="0050355C" w:rsidP="00896F3B">
      <w:pPr>
        <w:ind w:right="-7"/>
      </w:pPr>
      <w:r>
        <w:t xml:space="preserve">Category III – </w:t>
      </w:r>
      <w:r w:rsidR="005566D8">
        <w:t>Microinvertebrate</w:t>
      </w:r>
      <w:r>
        <w:t>s indicators and evaluation questions:</w:t>
      </w:r>
    </w:p>
    <w:p w:rsidR="0050355C" w:rsidRDefault="0050355C" w:rsidP="005E1E2E">
      <w:pPr>
        <w:pStyle w:val="Bullets1"/>
        <w:numPr>
          <w:ilvl w:val="0"/>
          <w:numId w:val="10"/>
        </w:numPr>
        <w:ind w:left="1134" w:hanging="567"/>
      </w:pPr>
      <w:r>
        <w:t>Wh</w:t>
      </w:r>
      <w:r w:rsidR="007D2398">
        <w:t>at did Commonwealth environmental water</w:t>
      </w:r>
      <w:r w:rsidRPr="00092A42">
        <w:t xml:space="preserve"> contribute to </w:t>
      </w:r>
      <w:r w:rsidR="005566D8">
        <w:t>microinvertebrate</w:t>
      </w:r>
      <w:r w:rsidRPr="00092A42">
        <w:t xml:space="preserve"> productivity</w:t>
      </w:r>
      <w:r>
        <w:t>?</w:t>
      </w:r>
      <w:r w:rsidRPr="00B57802">
        <w:t xml:space="preserve"> </w:t>
      </w:r>
    </w:p>
    <w:p w:rsidR="0050355C" w:rsidRDefault="0050355C" w:rsidP="005E1E2E">
      <w:pPr>
        <w:pStyle w:val="Bullets1"/>
        <w:numPr>
          <w:ilvl w:val="0"/>
          <w:numId w:val="10"/>
        </w:numPr>
        <w:ind w:left="1134" w:hanging="567"/>
      </w:pPr>
      <w:r>
        <w:t>Wh</w:t>
      </w:r>
      <w:r w:rsidR="007D2398">
        <w:t>at did Commonwealth environmental water</w:t>
      </w:r>
      <w:r w:rsidRPr="00092A42">
        <w:t xml:space="preserve"> contribute to </w:t>
      </w:r>
      <w:r w:rsidR="005566D8">
        <w:t>microinvertebrate</w:t>
      </w:r>
      <w:r>
        <w:t xml:space="preserve"> community composition?</w:t>
      </w:r>
    </w:p>
    <w:p w:rsidR="0050355C" w:rsidRDefault="0050355C" w:rsidP="005E1E2E">
      <w:pPr>
        <w:pStyle w:val="Bullets1"/>
        <w:numPr>
          <w:ilvl w:val="0"/>
          <w:numId w:val="10"/>
        </w:numPr>
        <w:spacing w:after="240"/>
        <w:ind w:left="1134" w:hanging="567"/>
      </w:pPr>
      <w:r>
        <w:t>Wh</w:t>
      </w:r>
      <w:r w:rsidR="007D2398">
        <w:t>at did Commonwealth environmental water</w:t>
      </w:r>
      <w:r w:rsidRPr="00092A42">
        <w:t xml:space="preserve"> contribute to </w:t>
      </w:r>
      <w:r>
        <w:t xml:space="preserve">connectivity of </w:t>
      </w:r>
      <w:r w:rsidR="005566D8">
        <w:t>microinvertebrate</w:t>
      </w:r>
      <w:r w:rsidRPr="00092A42">
        <w:t xml:space="preserve"> </w:t>
      </w:r>
      <w:r>
        <w:t xml:space="preserve">and vegetation communities in floodplain watercourse? </w:t>
      </w:r>
    </w:p>
    <w:p w:rsidR="0050355C" w:rsidRDefault="0050355C" w:rsidP="00896F3B">
      <w:pPr>
        <w:pStyle w:val="Heading8"/>
        <w:ind w:right="-7"/>
      </w:pPr>
      <w:r>
        <w:t>Environmental watering in 2015-16</w:t>
      </w:r>
    </w:p>
    <w:p w:rsidR="005566D8" w:rsidRDefault="005566D8" w:rsidP="00896F3B">
      <w:pPr>
        <w:ind w:right="-7"/>
      </w:pPr>
      <w:r w:rsidRPr="004335CD">
        <w:t xml:space="preserve">During </w:t>
      </w:r>
      <w:r>
        <w:t>2015-16</w:t>
      </w:r>
      <w:r w:rsidRPr="004335CD">
        <w:t xml:space="preserve"> </w:t>
      </w:r>
      <w:r>
        <w:t xml:space="preserve">Commonwealth </w:t>
      </w:r>
      <w:r w:rsidRPr="004335CD">
        <w:t>environmental water was delivered to a number of assets within the Gwydir River system (</w:t>
      </w:r>
      <w:r>
        <w:fldChar w:fldCharType="begin"/>
      </w:r>
      <w:r>
        <w:instrText xml:space="preserve"> REF _Ref457987841 \r \h </w:instrText>
      </w:r>
      <w:r>
        <w:fldChar w:fldCharType="separate"/>
      </w:r>
      <w:r w:rsidR="005D5925">
        <w:t>Appendix A</w:t>
      </w:r>
      <w:r>
        <w:fldChar w:fldCharType="end"/>
      </w:r>
      <w:r w:rsidRPr="004335CD">
        <w:t xml:space="preserve">). </w:t>
      </w:r>
      <w:r w:rsidR="00D81812">
        <w:t xml:space="preserve"> </w:t>
      </w:r>
      <w:r>
        <w:t xml:space="preserve">In November 2015, a flow event occurred down the Mehi River and supplementary water licences owned by the CEWO were triggered. </w:t>
      </w:r>
      <w:r w:rsidR="00D81812">
        <w:t xml:space="preserve"> </w:t>
      </w:r>
      <w:r>
        <w:t>A total of 1,300 ML were accounted for with 964 ML of this water flowing down the Mehi River, and 336 ML directed down Mallowa Creek.</w:t>
      </w:r>
    </w:p>
    <w:p w:rsidR="005566D8" w:rsidRDefault="005566D8" w:rsidP="00896F3B">
      <w:pPr>
        <w:ind w:right="-7"/>
      </w:pPr>
      <w:r>
        <w:t xml:space="preserve">Through January 2016, flows were delivered into the Mallowa Creek system to inundate fringing wetlands in association with WaterNSW bulk water deliveries. </w:t>
      </w:r>
      <w:r w:rsidR="00D81812">
        <w:t xml:space="preserve"> </w:t>
      </w:r>
      <w:r>
        <w:t xml:space="preserve">Flows were also delivered into the lower Gwydir River and Gingham watercourse in February 2016, to replace flows that were abstracted in a supplementary flow event. </w:t>
      </w:r>
      <w:r w:rsidR="007F49F9">
        <w:t xml:space="preserve"> </w:t>
      </w:r>
      <w:r>
        <w:t>While not large in volume, these flows made it into the wetlands.</w:t>
      </w:r>
    </w:p>
    <w:p w:rsidR="005566D8" w:rsidRDefault="005566D8" w:rsidP="00896F3B">
      <w:pPr>
        <w:ind w:right="-7"/>
      </w:pPr>
      <w:r>
        <w:t xml:space="preserve">Due to critically low flows experienced in the lower Gwydir system in March and April 2016, water was delivered down the lower Gwydir, Gingham, Mehi and Carole channels as part of a dry river flow action in early April. </w:t>
      </w:r>
      <w:r w:rsidR="007F49F9">
        <w:t xml:space="preserve"> </w:t>
      </w:r>
      <w:r>
        <w:t>This followed a period of 30-40 days of nil flows conditions across the catchment.</w:t>
      </w:r>
    </w:p>
    <w:p w:rsidR="005566D8" w:rsidRDefault="005566D8" w:rsidP="00896F3B">
      <w:pPr>
        <w:pStyle w:val="Heading8"/>
        <w:ind w:right="-7"/>
      </w:pPr>
      <w:r>
        <w:t>Previous monitoring</w:t>
      </w:r>
    </w:p>
    <w:p w:rsidR="005566D8" w:rsidRPr="00550AEC" w:rsidRDefault="005566D8" w:rsidP="00896F3B">
      <w:pPr>
        <w:ind w:right="-7"/>
        <w:rPr>
          <w:lang w:eastAsia="en-AU"/>
        </w:rPr>
      </w:pPr>
      <w:r>
        <w:rPr>
          <w:lang w:eastAsia="en-AU"/>
        </w:rPr>
        <w:t xml:space="preserve">In the 2014-15 water year, the delivery of Commonwealth environmental water resulted in a pulse of nitrogen and phosphorus concentrations immediately following inundation in watercourse and wetland sites. </w:t>
      </w:r>
      <w:r w:rsidR="00D81812">
        <w:rPr>
          <w:lang w:eastAsia="en-AU"/>
        </w:rPr>
        <w:t xml:space="preserve"> </w:t>
      </w:r>
      <w:r>
        <w:rPr>
          <w:lang w:eastAsia="en-AU"/>
        </w:rPr>
        <w:t xml:space="preserve">The drawdown of water resulted in a second pulse of increased nutrient concentrations with a concomitant spike in water column chlorophyll </w:t>
      </w:r>
      <w:r w:rsidRPr="007769CA">
        <w:rPr>
          <w:i/>
          <w:lang w:eastAsia="en-AU"/>
        </w:rPr>
        <w:t>a</w:t>
      </w:r>
      <w:r>
        <w:rPr>
          <w:lang w:eastAsia="en-AU"/>
        </w:rPr>
        <w:t>.</w:t>
      </w:r>
      <w:r w:rsidR="00D81812">
        <w:rPr>
          <w:lang w:eastAsia="en-AU"/>
        </w:rPr>
        <w:t xml:space="preserve"> </w:t>
      </w:r>
      <w:r>
        <w:rPr>
          <w:lang w:eastAsia="en-AU"/>
        </w:rPr>
        <w:t xml:space="preserve"> All </w:t>
      </w:r>
      <w:r w:rsidR="00F00C5A">
        <w:rPr>
          <w:lang w:eastAsia="en-AU"/>
        </w:rPr>
        <w:t xml:space="preserve">watercourse </w:t>
      </w:r>
      <w:r>
        <w:rPr>
          <w:lang w:eastAsia="en-AU"/>
        </w:rPr>
        <w:t xml:space="preserve">and river channel systems were net heterotrophic in all hydrologic periods, and acted as carbon sinks throughout the period of inundation. </w:t>
      </w:r>
      <w:r w:rsidR="00D81812">
        <w:rPr>
          <w:lang w:eastAsia="en-AU"/>
        </w:rPr>
        <w:t xml:space="preserve"> </w:t>
      </w:r>
      <w:r>
        <w:rPr>
          <w:lang w:eastAsia="en-AU"/>
        </w:rPr>
        <w:t xml:space="preserve">The delivery of Commonwealth environmental water to the Gingham and lower Gwydir increased regional scale abundance and diversity of aquatic microinvertebrates. </w:t>
      </w:r>
    </w:p>
    <w:p w:rsidR="005566D8" w:rsidRDefault="005566D8" w:rsidP="005566D8">
      <w:pPr>
        <w:pStyle w:val="Heading7"/>
      </w:pPr>
      <w:r>
        <w:t>Methods</w:t>
      </w:r>
    </w:p>
    <w:p w:rsidR="005566D8" w:rsidRDefault="005566D8" w:rsidP="005566D8">
      <w:pPr>
        <w:pStyle w:val="Heading8"/>
      </w:pPr>
      <w:r>
        <w:t>Design</w:t>
      </w:r>
    </w:p>
    <w:p w:rsidR="005566D8" w:rsidRPr="00B124E8" w:rsidRDefault="005566D8" w:rsidP="005566D8">
      <w:pPr>
        <w:rPr>
          <w:highlight w:val="yellow"/>
        </w:rPr>
      </w:pPr>
      <w:r>
        <w:t>Monitoring took place on four occasions to capture the inundation and contraction cycle of environmental water delivery (</w:t>
      </w:r>
      <w:r w:rsidR="00B97B45">
        <w:fldChar w:fldCharType="begin"/>
      </w:r>
      <w:r w:rsidR="00B97B45">
        <w:instrText xml:space="preserve"> REF _Ref459892403 \h </w:instrText>
      </w:r>
      <w:r w:rsidR="00B97B45">
        <w:fldChar w:fldCharType="separate"/>
      </w:r>
      <w:r w:rsidR="005D5925">
        <w:t xml:space="preserve">Figure </w:t>
      </w:r>
      <w:r w:rsidR="005D5925">
        <w:rPr>
          <w:noProof/>
        </w:rPr>
        <w:t>D</w:t>
      </w:r>
      <w:r w:rsidR="005D5925">
        <w:noBreakHyphen/>
      </w:r>
      <w:r w:rsidR="005D5925">
        <w:rPr>
          <w:noProof/>
        </w:rPr>
        <w:t>1</w:t>
      </w:r>
      <w:r w:rsidR="00B97B45">
        <w:fldChar w:fldCharType="end"/>
      </w:r>
      <w:r>
        <w:t xml:space="preserve">). </w:t>
      </w:r>
      <w:r w:rsidR="00D81812">
        <w:t xml:space="preserve"> </w:t>
      </w:r>
      <w:r>
        <w:t xml:space="preserve">Hereafter, sampling occasion codes are arranged in chronological order from T1 to T4. </w:t>
      </w:r>
    </w:p>
    <w:p w:rsidR="005566D8" w:rsidRDefault="005566D8" w:rsidP="00896F3B">
      <w:pPr>
        <w:pStyle w:val="Bullets1"/>
      </w:pPr>
      <w:r>
        <w:t>T1 ‘Pre-environmental water’ phase - During late September sampling (28 Sep</w:t>
      </w:r>
      <w:r w:rsidR="00D81812">
        <w:t>tember</w:t>
      </w:r>
      <w:r>
        <w:t xml:space="preserve"> - 1 Oct</w:t>
      </w:r>
      <w:r w:rsidR="00D81812">
        <w:t>ober</w:t>
      </w:r>
      <w:r>
        <w:t xml:space="preserve"> 2015), the Selected Area experienced low and stable flow condition after local rainfall events in late August (</w:t>
      </w:r>
      <w:r w:rsidR="003956BA">
        <w:fldChar w:fldCharType="begin"/>
      </w:r>
      <w:r w:rsidR="003956BA">
        <w:instrText xml:space="preserve"> REF _Ref459892403 \h </w:instrText>
      </w:r>
      <w:r w:rsidR="003956BA">
        <w:fldChar w:fldCharType="separate"/>
      </w:r>
      <w:r w:rsidR="005D5925">
        <w:t xml:space="preserve">Figure </w:t>
      </w:r>
      <w:r w:rsidR="005D5925">
        <w:rPr>
          <w:noProof/>
        </w:rPr>
        <w:t>D</w:t>
      </w:r>
      <w:r w:rsidR="005D5925">
        <w:noBreakHyphen/>
      </w:r>
      <w:r w:rsidR="005D5925">
        <w:rPr>
          <w:noProof/>
        </w:rPr>
        <w:t>1</w:t>
      </w:r>
      <w:r w:rsidR="003956BA">
        <w:fldChar w:fldCharType="end"/>
      </w:r>
      <w:r>
        <w:t xml:space="preserve">a </w:t>
      </w:r>
      <w:r w:rsidR="00D81812">
        <w:t>and</w:t>
      </w:r>
      <w:r>
        <w:t xml:space="preserve"> c).</w:t>
      </w:r>
      <w:r w:rsidR="00D81812">
        <w:t xml:space="preserve"> </w:t>
      </w:r>
      <w:r>
        <w:t xml:space="preserve"> This sampling occasion represents conditions prior to environmental watering actions. </w:t>
      </w:r>
    </w:p>
    <w:p w:rsidR="005566D8" w:rsidRDefault="005566D8" w:rsidP="00896F3B">
      <w:pPr>
        <w:pStyle w:val="Bullets1"/>
      </w:pPr>
      <w:r>
        <w:t>T2 ‘environmental water Wet’ phase - Early February sampling (4-8 Feb</w:t>
      </w:r>
      <w:r w:rsidR="00D81812">
        <w:t>ruary</w:t>
      </w:r>
      <w:r>
        <w:t xml:space="preserve"> 2016) captured the ‘wettest’ phase of the Selected Area from ongoing environmental watering actions and local rainfall. </w:t>
      </w:r>
    </w:p>
    <w:p w:rsidR="005566D8" w:rsidRDefault="005566D8" w:rsidP="00896F3B">
      <w:pPr>
        <w:pStyle w:val="Bullets1"/>
      </w:pPr>
      <w:r>
        <w:t>T3 ‘Contraction I’ phase – Mid March sampling (14-17 Mar</w:t>
      </w:r>
      <w:r w:rsidR="00D81812">
        <w:t>ch</w:t>
      </w:r>
      <w:r>
        <w:t xml:space="preserve"> 2016) was in the contraction cycle of residual environmental water.</w:t>
      </w:r>
      <w:r w:rsidRPr="00DD3B9A">
        <w:t xml:space="preserve"> </w:t>
      </w:r>
      <w:r>
        <w:t>Some of the river channels contracted to disconnected pools.</w:t>
      </w:r>
    </w:p>
    <w:p w:rsidR="005566D8" w:rsidRDefault="005566D8" w:rsidP="00896F3B">
      <w:pPr>
        <w:pStyle w:val="Bullets1"/>
        <w:spacing w:after="240"/>
      </w:pPr>
      <w:r>
        <w:t>T4 ‘Contraction II’ phase – Late April sampling (18-21 Apr</w:t>
      </w:r>
      <w:r w:rsidR="00D81812">
        <w:t>il</w:t>
      </w:r>
      <w:r>
        <w:t xml:space="preserve"> 2016) was designed to capture the base flow condition.</w:t>
      </w:r>
      <w:r w:rsidR="00D81812">
        <w:t xml:space="preserve"> </w:t>
      </w:r>
      <w:r>
        <w:t xml:space="preserve"> During this sampling period, all Mehi River and Moomin Creek channels contracted to disconnected pools and the watercourse water couch sites were dry. </w:t>
      </w:r>
      <w:r w:rsidR="00D81812">
        <w:t xml:space="preserve"> </w:t>
      </w:r>
      <w:r>
        <w:t>However, an environmental water release occurred during the late April sampling period which only affected metabolism in the Gwydir River.</w:t>
      </w:r>
    </w:p>
    <w:p w:rsidR="005566D8" w:rsidRDefault="005566D8" w:rsidP="005566D8">
      <w:r>
        <w:t>Category III water quality indicators were measured in association with category III stream metabolism indicators and category III microinvertebrate indicators monitoring from September 2015 to April 2016 (</w:t>
      </w:r>
      <w:r>
        <w:fldChar w:fldCharType="begin"/>
      </w:r>
      <w:r>
        <w:instrText xml:space="preserve"> REF _Ref458697808 \h </w:instrText>
      </w:r>
      <w:r>
        <w:fldChar w:fldCharType="separate"/>
      </w:r>
      <w:r w:rsidR="005D5925">
        <w:t xml:space="preserve">Table </w:t>
      </w:r>
      <w:r w:rsidR="005D5925">
        <w:rPr>
          <w:noProof/>
        </w:rPr>
        <w:t>D</w:t>
      </w:r>
      <w:r w:rsidR="005D5925">
        <w:noBreakHyphen/>
      </w:r>
      <w:r w:rsidR="005D5925">
        <w:rPr>
          <w:noProof/>
        </w:rPr>
        <w:t>1</w:t>
      </w:r>
      <w:r>
        <w:fldChar w:fldCharType="end"/>
      </w:r>
      <w:r>
        <w:t xml:space="preserve">; </w:t>
      </w:r>
      <w:r>
        <w:fldChar w:fldCharType="begin"/>
      </w:r>
      <w:r>
        <w:instrText xml:space="preserve"> REF _Ref458883041 \h </w:instrText>
      </w:r>
      <w:r>
        <w:fldChar w:fldCharType="separate"/>
      </w:r>
      <w:r w:rsidR="005D5925">
        <w:t xml:space="preserve">Table </w:t>
      </w:r>
      <w:r w:rsidR="005D5925">
        <w:rPr>
          <w:noProof/>
        </w:rPr>
        <w:t>D</w:t>
      </w:r>
      <w:r w:rsidR="005D5925">
        <w:noBreakHyphen/>
      </w:r>
      <w:r w:rsidR="005D5925">
        <w:rPr>
          <w:noProof/>
        </w:rPr>
        <w:t>2</w:t>
      </w:r>
      <w:r>
        <w:fldChar w:fldCharType="end"/>
      </w:r>
      <w:r>
        <w:t xml:space="preserve">). </w:t>
      </w:r>
      <w:r w:rsidR="00D81812">
        <w:t xml:space="preserve"> </w:t>
      </w:r>
      <w:r>
        <w:t xml:space="preserve">Sampling sites were located in four </w:t>
      </w:r>
      <w:r w:rsidR="00F00C5A">
        <w:t>zone</w:t>
      </w:r>
      <w:r>
        <w:t>s within the Selected Area: Gingham watercourse, Gwydir River, Mehi River and Moomin Creek (</w:t>
      </w:r>
      <w:r>
        <w:fldChar w:fldCharType="begin"/>
      </w:r>
      <w:r>
        <w:instrText xml:space="preserve"> REF _Ref458883041 \h </w:instrText>
      </w:r>
      <w:r>
        <w:fldChar w:fldCharType="separate"/>
      </w:r>
      <w:r w:rsidR="005D5925">
        <w:t xml:space="preserve">Table </w:t>
      </w:r>
      <w:r w:rsidR="005D5925">
        <w:rPr>
          <w:noProof/>
        </w:rPr>
        <w:t>D</w:t>
      </w:r>
      <w:r w:rsidR="005D5925">
        <w:noBreakHyphen/>
      </w:r>
      <w:r w:rsidR="005D5925">
        <w:rPr>
          <w:noProof/>
        </w:rPr>
        <w:t>2</w:t>
      </w:r>
      <w:r>
        <w:fldChar w:fldCharType="end"/>
      </w:r>
      <w:r>
        <w:t xml:space="preserve">; </w:t>
      </w:r>
      <w:r>
        <w:fldChar w:fldCharType="begin"/>
      </w:r>
      <w:r>
        <w:instrText xml:space="preserve"> REF _Ref458697777 \h </w:instrText>
      </w:r>
      <w:r>
        <w:fldChar w:fldCharType="separate"/>
      </w:r>
      <w:r w:rsidR="005D5925">
        <w:t xml:space="preserve">Figure </w:t>
      </w:r>
      <w:r w:rsidR="005D5925">
        <w:rPr>
          <w:noProof/>
        </w:rPr>
        <w:t>D</w:t>
      </w:r>
      <w:r w:rsidR="005D5925">
        <w:noBreakHyphen/>
      </w:r>
      <w:r w:rsidR="005D5925">
        <w:rPr>
          <w:noProof/>
        </w:rPr>
        <w:t>2</w:t>
      </w:r>
      <w:r>
        <w:fldChar w:fldCharType="end"/>
      </w:r>
      <w:r>
        <w:t>).</w:t>
      </w:r>
      <w:r w:rsidR="00D81812">
        <w:t xml:space="preserve"> </w:t>
      </w:r>
      <w:r>
        <w:t xml:space="preserve"> There was insufficient surface water present in the Gwydir wetlands for sampling these indicators.</w:t>
      </w:r>
    </w:p>
    <w:p w:rsidR="005566D8" w:rsidRDefault="005566D8" w:rsidP="005566D8">
      <w:pPr>
        <w:pStyle w:val="Heading8"/>
      </w:pPr>
      <w:r>
        <w:t>Field methods</w:t>
      </w:r>
    </w:p>
    <w:p w:rsidR="005566D8" w:rsidRPr="00A30976" w:rsidRDefault="00A93175" w:rsidP="005566D8">
      <w:r>
        <w:t xml:space="preserve">Monitoring of </w:t>
      </w:r>
      <w:r w:rsidR="005566D8">
        <w:t>Category III water quality, stream metabolism and microinvertebrate indicators monitoring were conducted following the Standard Operating Procedures outlined in Commonwealth of Australia (2014)</w:t>
      </w:r>
      <w:r w:rsidR="00D81812">
        <w:t xml:space="preserve"> </w:t>
      </w:r>
      <w:r w:rsidR="00227B17">
        <w:t>(</w:t>
      </w:r>
      <w:r w:rsidR="00227B17">
        <w:fldChar w:fldCharType="begin"/>
      </w:r>
      <w:r w:rsidR="00227B17">
        <w:instrText xml:space="preserve"> REF _Ref459629462 \h </w:instrText>
      </w:r>
      <w:r w:rsidR="00227B17">
        <w:fldChar w:fldCharType="separate"/>
      </w:r>
      <w:r w:rsidR="005D5925">
        <w:t xml:space="preserve">Figure </w:t>
      </w:r>
      <w:r w:rsidR="005D5925">
        <w:rPr>
          <w:noProof/>
        </w:rPr>
        <w:t>D</w:t>
      </w:r>
      <w:r w:rsidR="005D5925">
        <w:noBreakHyphen/>
      </w:r>
      <w:r w:rsidR="005D5925">
        <w:rPr>
          <w:noProof/>
        </w:rPr>
        <w:t>3</w:t>
      </w:r>
      <w:r w:rsidR="00227B17">
        <w:fldChar w:fldCharType="end"/>
      </w:r>
      <w:r w:rsidR="00227B17">
        <w:t>)</w:t>
      </w:r>
      <w:r w:rsidR="005566D8">
        <w:t>.</w:t>
      </w:r>
    </w:p>
    <w:p w:rsidR="005566D8" w:rsidRDefault="005566D8" w:rsidP="005566D8">
      <w:pPr>
        <w:pStyle w:val="Heading8"/>
      </w:pPr>
      <w:r>
        <w:t>Laboratory methods</w:t>
      </w:r>
    </w:p>
    <w:p w:rsidR="005566D8" w:rsidRDefault="00A93175" w:rsidP="005566D8">
      <w:r>
        <w:t xml:space="preserve">Laboratory work for </w:t>
      </w:r>
      <w:r w:rsidR="005566D8">
        <w:t>Category III stream metabolism and microinvertebrate indicators laboratory work were conducted following the methods outlined in Commonwealth of Australia (2015).</w:t>
      </w:r>
    </w:p>
    <w:p w:rsidR="005566D8" w:rsidRDefault="005566D8" w:rsidP="005566D8">
      <w:pPr>
        <w:pStyle w:val="Heading8"/>
      </w:pPr>
      <w:r>
        <w:t>Water nutrients statistical methods</w:t>
      </w:r>
    </w:p>
    <w:p w:rsidR="005566D8" w:rsidRDefault="005566D8" w:rsidP="005566D8">
      <w:r>
        <w:t xml:space="preserve">A mixed-effects general linear model was used to test hypotheses for differences in water quality and water nutrients between </w:t>
      </w:r>
      <w:r w:rsidR="00A93175">
        <w:t>time</w:t>
      </w:r>
      <w:r>
        <w:t xml:space="preserve"> (with 4 random levels, Sep-15, Feb-16, Mar-16 and Apr-16), </w:t>
      </w:r>
      <w:r w:rsidR="00A93175">
        <w:t>zone</w:t>
      </w:r>
      <w:r>
        <w:t xml:space="preserve"> (with 4 fixed levels, Gingham watercourse, Gwydir River, Mehi River and Moomin Creek) and </w:t>
      </w:r>
      <w:r w:rsidR="00A93175">
        <w:t>time</w:t>
      </w:r>
      <w:r>
        <w:t xml:space="preserve"> x </w:t>
      </w:r>
      <w:r w:rsidR="00A93175">
        <w:t>zone</w:t>
      </w:r>
      <w:r>
        <w:t xml:space="preserve"> interaction. </w:t>
      </w:r>
      <w:r w:rsidR="00D81812">
        <w:t xml:space="preserve"> </w:t>
      </w:r>
      <w:r>
        <w:t xml:space="preserve">Data were checked for normality using the Shapiro-Wilk test and heterogeneity of variances using the Barelett’s test for comparing between two groups and Levene’s test for comparing more than two groups. </w:t>
      </w:r>
      <w:r w:rsidR="00D81812">
        <w:t xml:space="preserve"> </w:t>
      </w:r>
      <w:r>
        <w:t>The natural log (ln) transformation was applied to all water nutrients data to satisfy the assumptions of approximate normality and homogeneous variances.</w:t>
      </w:r>
    </w:p>
    <w:p w:rsidR="000B0071" w:rsidRDefault="004176FF" w:rsidP="00625CF5">
      <w:pPr>
        <w:spacing w:line="240" w:lineRule="auto"/>
      </w:pPr>
      <w:r w:rsidRPr="008F5E11">
        <w:rPr>
          <w:noProof/>
          <w:lang w:eastAsia="en-AU"/>
        </w:rPr>
        <w:drawing>
          <wp:inline distT="0" distB="0" distL="0" distR="0">
            <wp:extent cx="5838825" cy="2857500"/>
            <wp:effectExtent l="0" t="0" r="0" b="0"/>
            <wp:docPr id="23" name="Chart 2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8F5E11">
        <w:rPr>
          <w:noProof/>
          <w:lang w:eastAsia="en-AU"/>
        </w:rPr>
        <w:drawing>
          <wp:inline distT="0" distB="0" distL="0" distR="0">
            <wp:extent cx="5876290" cy="2914650"/>
            <wp:effectExtent l="0" t="0" r="10160" b="0"/>
            <wp:docPr id="24" name="Chart 2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25CF5" w:rsidRDefault="004176FF" w:rsidP="00625CF5">
      <w:pPr>
        <w:spacing w:line="240" w:lineRule="auto"/>
      </w:pPr>
      <w:r w:rsidRPr="008F5E11">
        <w:rPr>
          <w:noProof/>
          <w:lang w:eastAsia="en-AU"/>
        </w:rPr>
        <w:drawing>
          <wp:inline distT="0" distB="0" distL="0" distR="0">
            <wp:extent cx="5848350" cy="2646680"/>
            <wp:effectExtent l="0" t="0" r="0" b="1270"/>
            <wp:docPr id="25" name="Chart 2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25CF5" w:rsidRDefault="00625CF5" w:rsidP="00625CF5">
      <w:pPr>
        <w:pStyle w:val="Caption"/>
        <w:spacing w:before="240" w:after="0"/>
      </w:pPr>
      <w:bookmarkStart w:id="39" w:name="_Ref459892403"/>
      <w:r>
        <w:t xml:space="preserve">Figure </w:t>
      </w:r>
      <w:fldSimple w:instr=" STYLEREF 6 \s ">
        <w:r w:rsidR="00673DAF">
          <w:rPr>
            <w:noProof/>
          </w:rPr>
          <w:t>D</w:t>
        </w:r>
      </w:fldSimple>
      <w:r w:rsidR="00673DAF">
        <w:noBreakHyphen/>
      </w:r>
      <w:fldSimple w:instr=" SEQ Figure \* ARABIC \s 6 ">
        <w:r w:rsidR="00673DAF">
          <w:rPr>
            <w:noProof/>
          </w:rPr>
          <w:t>1</w:t>
        </w:r>
      </w:fldSimple>
      <w:bookmarkEnd w:id="39"/>
      <w:r>
        <w:t xml:space="preserve"> River flows down the Gwydir River and the timing of environmental water releases and longitudinal connectivity down this channel</w:t>
      </w:r>
    </w:p>
    <w:p w:rsidR="00172807" w:rsidRDefault="00172807" w:rsidP="00172807">
      <w:pPr>
        <w:pStyle w:val="Caption"/>
        <w:keepNext/>
      </w:pPr>
      <w:bookmarkStart w:id="40" w:name="_Ref458697808"/>
      <w:bookmarkStart w:id="41" w:name="_Ref458697795"/>
      <w:r>
        <w:t xml:space="preserve">Table </w:t>
      </w:r>
      <w:fldSimple w:instr=" STYLEREF 6 \s ">
        <w:r w:rsidR="005D5925">
          <w:rPr>
            <w:noProof/>
          </w:rPr>
          <w:t>D</w:t>
        </w:r>
      </w:fldSimple>
      <w:r w:rsidR="005D4453">
        <w:noBreakHyphen/>
      </w:r>
      <w:fldSimple w:instr=" SEQ Table \* ARABIC \s 6 ">
        <w:r w:rsidR="005D5925">
          <w:rPr>
            <w:noProof/>
          </w:rPr>
          <w:t>1</w:t>
        </w:r>
      </w:fldSimple>
      <w:bookmarkEnd w:id="40"/>
      <w:r>
        <w:t xml:space="preserve"> </w:t>
      </w:r>
      <w:r w:rsidRPr="008F0C99">
        <w:t>Environmental variables, ecosystem function and microinvertebrate responsive variables measured at each sites and sampling occasions.</w:t>
      </w:r>
      <w:bookmarkEnd w:id="41"/>
    </w:p>
    <w:tbl>
      <w:tblPr>
        <w:tblW w:w="5000"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839"/>
        <w:gridCol w:w="562"/>
        <w:gridCol w:w="3294"/>
        <w:gridCol w:w="1418"/>
        <w:gridCol w:w="1094"/>
      </w:tblGrid>
      <w:tr w:rsidR="00CC18AA" w:rsidRPr="00551E98" w:rsidTr="00CC18AA">
        <w:trPr>
          <w:trHeight w:val="300"/>
        </w:trPr>
        <w:tc>
          <w:tcPr>
            <w:tcW w:w="1542" w:type="pct"/>
            <w:shd w:val="clear" w:color="auto" w:fill="D9D9D9"/>
            <w:noWrap/>
            <w:hideMark/>
          </w:tcPr>
          <w:p w:rsidR="0050355C" w:rsidRPr="00CC18AA" w:rsidRDefault="0050355C" w:rsidP="00CC18AA">
            <w:pPr>
              <w:spacing w:before="60" w:after="60"/>
              <w:jc w:val="center"/>
              <w:rPr>
                <w:rFonts w:cs="Arial"/>
                <w:bCs/>
                <w:color w:val="000000"/>
                <w:szCs w:val="20"/>
                <w:lang w:val="en-US" w:eastAsia="en-AU"/>
              </w:rPr>
            </w:pPr>
            <w:r w:rsidRPr="00CC18AA">
              <w:rPr>
                <w:rFonts w:cs="Arial"/>
                <w:bCs/>
                <w:color w:val="000000"/>
                <w:szCs w:val="20"/>
                <w:lang w:val="en-US" w:eastAsia="en-AU"/>
              </w:rPr>
              <w:t>Indicators</w:t>
            </w:r>
          </w:p>
        </w:tc>
        <w:tc>
          <w:tcPr>
            <w:tcW w:w="2094" w:type="pct"/>
            <w:gridSpan w:val="2"/>
            <w:shd w:val="clear" w:color="auto" w:fill="D9D9D9"/>
            <w:noWrap/>
            <w:hideMark/>
          </w:tcPr>
          <w:p w:rsidR="0050355C" w:rsidRPr="00CC18AA" w:rsidRDefault="0050355C" w:rsidP="00CC18AA">
            <w:pPr>
              <w:spacing w:before="60" w:after="60"/>
              <w:jc w:val="center"/>
              <w:rPr>
                <w:rFonts w:cs="Arial"/>
                <w:bCs/>
                <w:color w:val="000000"/>
                <w:szCs w:val="20"/>
                <w:lang w:val="en-US" w:eastAsia="en-AU"/>
              </w:rPr>
            </w:pPr>
            <w:r w:rsidRPr="00CC18AA">
              <w:rPr>
                <w:rFonts w:cs="Arial"/>
                <w:bCs/>
                <w:color w:val="000000"/>
                <w:szCs w:val="20"/>
                <w:lang w:val="en-US" w:eastAsia="en-AU"/>
              </w:rPr>
              <w:t>Variables</w:t>
            </w:r>
          </w:p>
        </w:tc>
        <w:tc>
          <w:tcPr>
            <w:tcW w:w="770" w:type="pct"/>
            <w:shd w:val="clear" w:color="auto" w:fill="D9D9D9"/>
            <w:noWrap/>
            <w:hideMark/>
          </w:tcPr>
          <w:p w:rsidR="0050355C" w:rsidRPr="00CC18AA" w:rsidRDefault="0050355C" w:rsidP="00CC18AA">
            <w:pPr>
              <w:spacing w:before="60" w:after="60"/>
              <w:jc w:val="center"/>
              <w:rPr>
                <w:rFonts w:cs="Arial"/>
                <w:bCs/>
                <w:color w:val="000000"/>
                <w:szCs w:val="20"/>
                <w:lang w:val="en-US" w:eastAsia="en-AU"/>
              </w:rPr>
            </w:pPr>
            <w:r w:rsidRPr="00CC18AA">
              <w:rPr>
                <w:rFonts w:cs="Arial"/>
                <w:bCs/>
                <w:color w:val="000000"/>
                <w:szCs w:val="20"/>
                <w:lang w:val="en-US" w:eastAsia="en-AU"/>
              </w:rPr>
              <w:t>Units</w:t>
            </w:r>
          </w:p>
        </w:tc>
        <w:tc>
          <w:tcPr>
            <w:tcW w:w="594" w:type="pct"/>
            <w:shd w:val="clear" w:color="auto" w:fill="D9D9D9"/>
            <w:noWrap/>
            <w:hideMark/>
          </w:tcPr>
          <w:p w:rsidR="0050355C" w:rsidRPr="00CC18AA" w:rsidRDefault="0050355C" w:rsidP="00CC18AA">
            <w:pPr>
              <w:spacing w:before="60" w:after="60"/>
              <w:jc w:val="center"/>
              <w:rPr>
                <w:rFonts w:cs="Arial"/>
                <w:bCs/>
                <w:color w:val="000000"/>
                <w:szCs w:val="20"/>
                <w:lang w:val="en-US" w:eastAsia="en-AU"/>
              </w:rPr>
            </w:pPr>
            <w:r w:rsidRPr="00CC18AA">
              <w:rPr>
                <w:rFonts w:cs="Arial"/>
                <w:bCs/>
                <w:color w:val="000000"/>
                <w:szCs w:val="20"/>
                <w:lang w:val="en-US" w:eastAsia="en-AU"/>
              </w:rPr>
              <w:t>Code</w:t>
            </w:r>
          </w:p>
        </w:tc>
      </w:tr>
      <w:tr w:rsidR="00CC18AA" w:rsidRPr="00551E98" w:rsidTr="00CC18AA">
        <w:trPr>
          <w:trHeight w:val="300"/>
        </w:trPr>
        <w:tc>
          <w:tcPr>
            <w:tcW w:w="1542" w:type="pct"/>
            <w:vMerge w:val="restart"/>
            <w:shd w:val="clear" w:color="auto" w:fill="auto"/>
            <w:noWrap/>
            <w:vAlign w:val="center"/>
            <w:hideMark/>
          </w:tcPr>
          <w:p w:rsidR="00551E98" w:rsidRPr="00CC18AA" w:rsidRDefault="00551E98" w:rsidP="00CC18AA">
            <w:pPr>
              <w:spacing w:before="60" w:after="60"/>
              <w:jc w:val="center"/>
              <w:rPr>
                <w:rFonts w:cs="Arial"/>
                <w:bCs/>
                <w:color w:val="000000"/>
                <w:szCs w:val="20"/>
                <w:lang w:val="en-US" w:eastAsia="en-AU"/>
              </w:rPr>
            </w:pPr>
            <w:r w:rsidRPr="00CC18AA">
              <w:rPr>
                <w:rFonts w:cs="Arial"/>
                <w:bCs/>
                <w:color w:val="000000"/>
                <w:szCs w:val="20"/>
                <w:lang w:val="en-US" w:eastAsia="en-AU"/>
              </w:rPr>
              <w:t>Water chemistry</w:t>
            </w:r>
          </w:p>
        </w:tc>
        <w:tc>
          <w:tcPr>
            <w:tcW w:w="30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i.</w:t>
            </w:r>
          </w:p>
        </w:tc>
        <w:tc>
          <w:tcPr>
            <w:tcW w:w="1789" w:type="pct"/>
            <w:shd w:val="clear" w:color="auto" w:fill="auto"/>
            <w:noWrap/>
            <w:hideMark/>
          </w:tcPr>
          <w:p w:rsidR="00551E98" w:rsidRPr="00CC18AA" w:rsidRDefault="00551E98" w:rsidP="00CC18AA">
            <w:pPr>
              <w:spacing w:before="60" w:after="60"/>
              <w:rPr>
                <w:rFonts w:cs="Arial"/>
                <w:color w:val="000000"/>
                <w:szCs w:val="20"/>
                <w:lang w:val="en-US" w:eastAsia="en-AU"/>
              </w:rPr>
            </w:pPr>
            <w:r w:rsidRPr="00CC18AA">
              <w:rPr>
                <w:rFonts w:cs="Arial"/>
                <w:color w:val="000000"/>
                <w:szCs w:val="20"/>
                <w:lang w:val="en-US" w:eastAsia="en-AU"/>
              </w:rPr>
              <w:t>Temperature</w:t>
            </w:r>
          </w:p>
        </w:tc>
        <w:tc>
          <w:tcPr>
            <w:tcW w:w="77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°C</w:t>
            </w:r>
          </w:p>
        </w:tc>
        <w:tc>
          <w:tcPr>
            <w:tcW w:w="594"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Temp</w:t>
            </w:r>
          </w:p>
        </w:tc>
      </w:tr>
      <w:tr w:rsidR="00CC18AA" w:rsidRPr="00551E98" w:rsidTr="00CC18AA">
        <w:trPr>
          <w:trHeight w:val="300"/>
        </w:trPr>
        <w:tc>
          <w:tcPr>
            <w:tcW w:w="1542" w:type="pct"/>
            <w:vMerge/>
            <w:shd w:val="clear" w:color="auto" w:fill="auto"/>
            <w:noWrap/>
            <w:vAlign w:val="center"/>
            <w:hideMark/>
          </w:tcPr>
          <w:p w:rsidR="00551E98" w:rsidRPr="00CC18AA" w:rsidRDefault="00551E98" w:rsidP="00CC18AA">
            <w:pPr>
              <w:spacing w:before="60" w:after="60"/>
              <w:jc w:val="center"/>
              <w:rPr>
                <w:rFonts w:cs="Arial"/>
                <w:bCs/>
                <w:color w:val="000000"/>
                <w:szCs w:val="20"/>
                <w:lang w:val="en-US" w:eastAsia="en-AU"/>
              </w:rPr>
            </w:pPr>
          </w:p>
        </w:tc>
        <w:tc>
          <w:tcPr>
            <w:tcW w:w="30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ii.</w:t>
            </w:r>
          </w:p>
        </w:tc>
        <w:tc>
          <w:tcPr>
            <w:tcW w:w="1789" w:type="pct"/>
            <w:shd w:val="clear" w:color="auto" w:fill="auto"/>
            <w:noWrap/>
            <w:hideMark/>
          </w:tcPr>
          <w:p w:rsidR="00551E98" w:rsidRPr="00CC18AA" w:rsidRDefault="00551E98" w:rsidP="00CC18AA">
            <w:pPr>
              <w:spacing w:before="60" w:after="60"/>
              <w:rPr>
                <w:rFonts w:cs="Arial"/>
                <w:color w:val="000000"/>
                <w:szCs w:val="20"/>
                <w:lang w:val="en-US" w:eastAsia="en-AU"/>
              </w:rPr>
            </w:pPr>
            <w:r w:rsidRPr="00CC18AA">
              <w:rPr>
                <w:rFonts w:cs="Arial"/>
                <w:color w:val="000000"/>
                <w:szCs w:val="20"/>
                <w:lang w:val="en-US" w:eastAsia="en-AU"/>
              </w:rPr>
              <w:t>pH</w:t>
            </w:r>
          </w:p>
        </w:tc>
        <w:tc>
          <w:tcPr>
            <w:tcW w:w="770" w:type="pct"/>
            <w:shd w:val="clear" w:color="auto" w:fill="auto"/>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t>
            </w:r>
          </w:p>
        </w:tc>
        <w:tc>
          <w:tcPr>
            <w:tcW w:w="594"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ph</w:t>
            </w:r>
          </w:p>
        </w:tc>
      </w:tr>
      <w:tr w:rsidR="00CC18AA" w:rsidRPr="00551E98" w:rsidTr="00CC18AA">
        <w:trPr>
          <w:trHeight w:val="300"/>
        </w:trPr>
        <w:tc>
          <w:tcPr>
            <w:tcW w:w="1542" w:type="pct"/>
            <w:vMerge/>
            <w:shd w:val="clear" w:color="auto" w:fill="auto"/>
            <w:noWrap/>
            <w:vAlign w:val="center"/>
            <w:hideMark/>
          </w:tcPr>
          <w:p w:rsidR="00551E98" w:rsidRPr="00CC18AA" w:rsidRDefault="00551E98" w:rsidP="00CC18AA">
            <w:pPr>
              <w:spacing w:before="60" w:after="60"/>
              <w:jc w:val="center"/>
              <w:rPr>
                <w:rFonts w:cs="Arial"/>
                <w:bCs/>
                <w:color w:val="000000"/>
                <w:szCs w:val="20"/>
                <w:lang w:val="en-US" w:eastAsia="en-AU"/>
              </w:rPr>
            </w:pPr>
          </w:p>
        </w:tc>
        <w:tc>
          <w:tcPr>
            <w:tcW w:w="30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iii</w:t>
            </w:r>
          </w:p>
        </w:tc>
        <w:tc>
          <w:tcPr>
            <w:tcW w:w="1789" w:type="pct"/>
            <w:shd w:val="clear" w:color="auto" w:fill="auto"/>
            <w:noWrap/>
            <w:hideMark/>
          </w:tcPr>
          <w:p w:rsidR="00551E98" w:rsidRPr="00CC18AA" w:rsidRDefault="00551E98" w:rsidP="00CC18AA">
            <w:pPr>
              <w:spacing w:before="60" w:after="60"/>
              <w:rPr>
                <w:rFonts w:cs="Arial"/>
                <w:color w:val="000000"/>
                <w:szCs w:val="20"/>
                <w:lang w:val="en-US" w:eastAsia="en-AU"/>
              </w:rPr>
            </w:pPr>
            <w:r w:rsidRPr="00CC18AA">
              <w:rPr>
                <w:rFonts w:cs="Arial"/>
                <w:color w:val="000000"/>
                <w:szCs w:val="20"/>
                <w:lang w:val="en-US" w:eastAsia="en-AU"/>
              </w:rPr>
              <w:t>Conductivity</w:t>
            </w:r>
          </w:p>
        </w:tc>
        <w:tc>
          <w:tcPr>
            <w:tcW w:w="77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mS/cm</w:t>
            </w:r>
          </w:p>
        </w:tc>
        <w:tc>
          <w:tcPr>
            <w:tcW w:w="594"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Cond</w:t>
            </w:r>
          </w:p>
        </w:tc>
      </w:tr>
      <w:tr w:rsidR="00CC18AA" w:rsidRPr="00551E98" w:rsidTr="00CC18AA">
        <w:trPr>
          <w:trHeight w:val="300"/>
        </w:trPr>
        <w:tc>
          <w:tcPr>
            <w:tcW w:w="1542" w:type="pct"/>
            <w:vMerge/>
            <w:shd w:val="clear" w:color="auto" w:fill="auto"/>
            <w:noWrap/>
            <w:vAlign w:val="center"/>
            <w:hideMark/>
          </w:tcPr>
          <w:p w:rsidR="00551E98" w:rsidRPr="00CC18AA" w:rsidRDefault="00551E98" w:rsidP="00CC18AA">
            <w:pPr>
              <w:spacing w:before="60" w:after="60"/>
              <w:jc w:val="center"/>
              <w:rPr>
                <w:rFonts w:cs="Arial"/>
                <w:bCs/>
                <w:color w:val="000000"/>
                <w:szCs w:val="20"/>
                <w:lang w:val="en-US" w:eastAsia="en-AU"/>
              </w:rPr>
            </w:pPr>
          </w:p>
        </w:tc>
        <w:tc>
          <w:tcPr>
            <w:tcW w:w="30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iv.</w:t>
            </w:r>
          </w:p>
        </w:tc>
        <w:tc>
          <w:tcPr>
            <w:tcW w:w="1789" w:type="pct"/>
            <w:shd w:val="clear" w:color="auto" w:fill="auto"/>
            <w:noWrap/>
            <w:hideMark/>
          </w:tcPr>
          <w:p w:rsidR="00551E98" w:rsidRPr="00CC18AA" w:rsidRDefault="00551E98" w:rsidP="00CC18AA">
            <w:pPr>
              <w:spacing w:before="60" w:after="60"/>
              <w:rPr>
                <w:rFonts w:cs="Arial"/>
                <w:color w:val="000000"/>
                <w:szCs w:val="20"/>
                <w:lang w:val="en-US" w:eastAsia="en-AU"/>
              </w:rPr>
            </w:pPr>
            <w:r w:rsidRPr="00CC18AA">
              <w:rPr>
                <w:rFonts w:cs="Arial"/>
                <w:color w:val="000000"/>
                <w:szCs w:val="20"/>
                <w:lang w:val="en-US" w:eastAsia="en-AU"/>
              </w:rPr>
              <w:t>Dissolved Oxygen</w:t>
            </w:r>
          </w:p>
        </w:tc>
        <w:tc>
          <w:tcPr>
            <w:tcW w:w="77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mg/L</w:t>
            </w:r>
          </w:p>
        </w:tc>
        <w:tc>
          <w:tcPr>
            <w:tcW w:w="594"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DO</w:t>
            </w:r>
          </w:p>
        </w:tc>
      </w:tr>
      <w:tr w:rsidR="00CC18AA" w:rsidRPr="00551E98" w:rsidTr="00CC18AA">
        <w:trPr>
          <w:trHeight w:val="300"/>
        </w:trPr>
        <w:tc>
          <w:tcPr>
            <w:tcW w:w="1542" w:type="pct"/>
            <w:vMerge/>
            <w:shd w:val="clear" w:color="auto" w:fill="auto"/>
            <w:noWrap/>
            <w:vAlign w:val="center"/>
            <w:hideMark/>
          </w:tcPr>
          <w:p w:rsidR="00551E98" w:rsidRPr="00CC18AA" w:rsidRDefault="00551E98" w:rsidP="00CC18AA">
            <w:pPr>
              <w:spacing w:before="60" w:after="60"/>
              <w:jc w:val="center"/>
              <w:rPr>
                <w:rFonts w:cs="Arial"/>
                <w:bCs/>
                <w:color w:val="000000"/>
                <w:szCs w:val="20"/>
                <w:lang w:val="en-US" w:eastAsia="en-AU"/>
              </w:rPr>
            </w:pPr>
          </w:p>
        </w:tc>
        <w:tc>
          <w:tcPr>
            <w:tcW w:w="30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v.</w:t>
            </w:r>
          </w:p>
        </w:tc>
        <w:tc>
          <w:tcPr>
            <w:tcW w:w="1789" w:type="pct"/>
            <w:shd w:val="clear" w:color="auto" w:fill="auto"/>
            <w:noWrap/>
            <w:hideMark/>
          </w:tcPr>
          <w:p w:rsidR="00551E98" w:rsidRPr="00CC18AA" w:rsidRDefault="00551E98" w:rsidP="00CC18AA">
            <w:pPr>
              <w:spacing w:before="60" w:after="60"/>
              <w:rPr>
                <w:rFonts w:cs="Arial"/>
                <w:color w:val="000000"/>
                <w:szCs w:val="20"/>
                <w:lang w:val="en-US" w:eastAsia="en-AU"/>
              </w:rPr>
            </w:pPr>
            <w:r w:rsidRPr="00CC18AA">
              <w:rPr>
                <w:rFonts w:cs="Arial"/>
                <w:color w:val="000000"/>
                <w:szCs w:val="20"/>
                <w:lang w:val="en-US" w:eastAsia="en-AU"/>
              </w:rPr>
              <w:t>Turbidity</w:t>
            </w:r>
          </w:p>
        </w:tc>
        <w:tc>
          <w:tcPr>
            <w:tcW w:w="77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NTU</w:t>
            </w:r>
          </w:p>
        </w:tc>
        <w:tc>
          <w:tcPr>
            <w:tcW w:w="594"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Turb</w:t>
            </w:r>
          </w:p>
        </w:tc>
      </w:tr>
      <w:tr w:rsidR="00CC18AA" w:rsidRPr="00551E98" w:rsidTr="00CC18AA">
        <w:trPr>
          <w:trHeight w:val="300"/>
        </w:trPr>
        <w:tc>
          <w:tcPr>
            <w:tcW w:w="1542" w:type="pct"/>
            <w:vMerge w:val="restart"/>
            <w:shd w:val="clear" w:color="auto" w:fill="auto"/>
            <w:noWrap/>
            <w:vAlign w:val="center"/>
            <w:hideMark/>
          </w:tcPr>
          <w:p w:rsidR="00551E98" w:rsidRPr="00CC18AA" w:rsidRDefault="00551E98" w:rsidP="00CC18AA">
            <w:pPr>
              <w:spacing w:before="60" w:after="60"/>
              <w:jc w:val="center"/>
              <w:rPr>
                <w:rFonts w:cs="Arial"/>
                <w:bCs/>
                <w:color w:val="000000"/>
                <w:szCs w:val="20"/>
                <w:lang w:val="en-US" w:eastAsia="en-AU"/>
              </w:rPr>
            </w:pPr>
            <w:r w:rsidRPr="00CC18AA">
              <w:rPr>
                <w:rFonts w:cs="Arial"/>
                <w:bCs/>
                <w:color w:val="000000"/>
                <w:szCs w:val="20"/>
                <w:lang w:val="en-US" w:eastAsia="en-AU"/>
              </w:rPr>
              <w:t>Water nutrient and particulate</w:t>
            </w:r>
          </w:p>
        </w:tc>
        <w:tc>
          <w:tcPr>
            <w:tcW w:w="30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i.</w:t>
            </w:r>
          </w:p>
        </w:tc>
        <w:tc>
          <w:tcPr>
            <w:tcW w:w="1789" w:type="pct"/>
            <w:shd w:val="clear" w:color="auto" w:fill="auto"/>
            <w:noWrap/>
            <w:hideMark/>
          </w:tcPr>
          <w:p w:rsidR="00551E98" w:rsidRPr="00CC18AA" w:rsidRDefault="00551E98" w:rsidP="00CC18AA">
            <w:pPr>
              <w:spacing w:before="60" w:after="60"/>
              <w:rPr>
                <w:rFonts w:cs="Arial"/>
                <w:color w:val="000000"/>
                <w:szCs w:val="20"/>
                <w:lang w:val="en-US" w:eastAsia="en-AU"/>
              </w:rPr>
            </w:pPr>
            <w:r w:rsidRPr="00CC18AA">
              <w:rPr>
                <w:rFonts w:cs="Arial"/>
                <w:color w:val="000000"/>
                <w:szCs w:val="20"/>
                <w:lang w:val="en-US" w:eastAsia="en-AU"/>
              </w:rPr>
              <w:t>Total Nitrogen</w:t>
            </w:r>
          </w:p>
        </w:tc>
        <w:tc>
          <w:tcPr>
            <w:tcW w:w="77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µg/L</w:t>
            </w:r>
          </w:p>
        </w:tc>
        <w:tc>
          <w:tcPr>
            <w:tcW w:w="594"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TN</w:t>
            </w:r>
          </w:p>
        </w:tc>
      </w:tr>
      <w:tr w:rsidR="00CC18AA" w:rsidRPr="00551E98" w:rsidTr="00CC18AA">
        <w:trPr>
          <w:trHeight w:val="300"/>
        </w:trPr>
        <w:tc>
          <w:tcPr>
            <w:tcW w:w="1542" w:type="pct"/>
            <w:vMerge/>
            <w:shd w:val="clear" w:color="auto" w:fill="auto"/>
            <w:vAlign w:val="center"/>
            <w:hideMark/>
          </w:tcPr>
          <w:p w:rsidR="00551E98" w:rsidRPr="00CC18AA" w:rsidRDefault="00551E98" w:rsidP="00CC18AA">
            <w:pPr>
              <w:spacing w:before="60" w:after="60"/>
              <w:jc w:val="center"/>
              <w:rPr>
                <w:rFonts w:cs="Arial"/>
                <w:bCs/>
                <w:color w:val="000000"/>
                <w:szCs w:val="20"/>
                <w:lang w:val="en-US" w:eastAsia="en-AU"/>
              </w:rPr>
            </w:pPr>
          </w:p>
        </w:tc>
        <w:tc>
          <w:tcPr>
            <w:tcW w:w="30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ii.</w:t>
            </w:r>
          </w:p>
        </w:tc>
        <w:tc>
          <w:tcPr>
            <w:tcW w:w="1789" w:type="pct"/>
            <w:shd w:val="clear" w:color="auto" w:fill="auto"/>
            <w:noWrap/>
            <w:hideMark/>
          </w:tcPr>
          <w:p w:rsidR="00551E98" w:rsidRPr="00CC18AA" w:rsidRDefault="00551E98" w:rsidP="00CC18AA">
            <w:pPr>
              <w:spacing w:before="60" w:after="60"/>
              <w:rPr>
                <w:rFonts w:cs="Arial"/>
                <w:color w:val="000000"/>
                <w:szCs w:val="20"/>
                <w:lang w:val="en-US" w:eastAsia="en-AU"/>
              </w:rPr>
            </w:pPr>
            <w:r w:rsidRPr="00CC18AA">
              <w:rPr>
                <w:rFonts w:cs="Arial"/>
                <w:color w:val="000000"/>
                <w:szCs w:val="20"/>
                <w:lang w:val="en-US" w:eastAsia="en-AU"/>
              </w:rPr>
              <w:t>Total Phosphorus</w:t>
            </w:r>
          </w:p>
        </w:tc>
        <w:tc>
          <w:tcPr>
            <w:tcW w:w="77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µg/L</w:t>
            </w:r>
          </w:p>
        </w:tc>
        <w:tc>
          <w:tcPr>
            <w:tcW w:w="594"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TP</w:t>
            </w:r>
          </w:p>
        </w:tc>
      </w:tr>
      <w:tr w:rsidR="00CC18AA" w:rsidRPr="00551E98" w:rsidTr="00CC18AA">
        <w:trPr>
          <w:trHeight w:val="300"/>
        </w:trPr>
        <w:tc>
          <w:tcPr>
            <w:tcW w:w="1542" w:type="pct"/>
            <w:vMerge/>
            <w:shd w:val="clear" w:color="auto" w:fill="auto"/>
            <w:noWrap/>
            <w:vAlign w:val="center"/>
            <w:hideMark/>
          </w:tcPr>
          <w:p w:rsidR="00551E98" w:rsidRPr="00CC18AA" w:rsidRDefault="00551E98" w:rsidP="00CC18AA">
            <w:pPr>
              <w:spacing w:before="60" w:after="60"/>
              <w:jc w:val="center"/>
              <w:rPr>
                <w:rFonts w:cs="Arial"/>
                <w:bCs/>
                <w:color w:val="000000"/>
                <w:szCs w:val="20"/>
                <w:lang w:val="en-US" w:eastAsia="en-AU"/>
              </w:rPr>
            </w:pPr>
          </w:p>
        </w:tc>
        <w:tc>
          <w:tcPr>
            <w:tcW w:w="30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iii</w:t>
            </w:r>
          </w:p>
        </w:tc>
        <w:tc>
          <w:tcPr>
            <w:tcW w:w="1789" w:type="pct"/>
            <w:shd w:val="clear" w:color="auto" w:fill="auto"/>
            <w:noWrap/>
            <w:hideMark/>
          </w:tcPr>
          <w:p w:rsidR="00551E98" w:rsidRPr="00CC18AA" w:rsidRDefault="00551E98" w:rsidP="00CC18AA">
            <w:pPr>
              <w:spacing w:before="60" w:after="60"/>
              <w:rPr>
                <w:rFonts w:cs="Arial"/>
                <w:color w:val="000000"/>
                <w:szCs w:val="20"/>
                <w:lang w:val="en-US" w:eastAsia="en-AU"/>
              </w:rPr>
            </w:pPr>
            <w:r w:rsidRPr="00CC18AA">
              <w:rPr>
                <w:rFonts w:cs="Arial"/>
                <w:color w:val="000000"/>
                <w:szCs w:val="20"/>
                <w:lang w:val="en-US" w:eastAsia="en-AU"/>
              </w:rPr>
              <w:t>Nitrate-nitrite</w:t>
            </w:r>
          </w:p>
        </w:tc>
        <w:tc>
          <w:tcPr>
            <w:tcW w:w="77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µg/L</w:t>
            </w:r>
          </w:p>
        </w:tc>
        <w:tc>
          <w:tcPr>
            <w:tcW w:w="594"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NOx</w:t>
            </w:r>
          </w:p>
        </w:tc>
      </w:tr>
      <w:tr w:rsidR="00CC18AA" w:rsidRPr="00551E98" w:rsidTr="00CC18AA">
        <w:trPr>
          <w:trHeight w:val="300"/>
        </w:trPr>
        <w:tc>
          <w:tcPr>
            <w:tcW w:w="1542" w:type="pct"/>
            <w:vMerge/>
            <w:shd w:val="clear" w:color="auto" w:fill="auto"/>
            <w:noWrap/>
            <w:vAlign w:val="center"/>
            <w:hideMark/>
          </w:tcPr>
          <w:p w:rsidR="00551E98" w:rsidRPr="00CC18AA" w:rsidRDefault="00551E98" w:rsidP="00CC18AA">
            <w:pPr>
              <w:spacing w:before="60" w:after="60"/>
              <w:jc w:val="center"/>
              <w:rPr>
                <w:rFonts w:cs="Arial"/>
                <w:bCs/>
                <w:color w:val="000000"/>
                <w:szCs w:val="20"/>
                <w:lang w:val="en-US" w:eastAsia="en-AU"/>
              </w:rPr>
            </w:pPr>
          </w:p>
        </w:tc>
        <w:tc>
          <w:tcPr>
            <w:tcW w:w="30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iv.</w:t>
            </w:r>
          </w:p>
        </w:tc>
        <w:tc>
          <w:tcPr>
            <w:tcW w:w="1789" w:type="pct"/>
            <w:shd w:val="clear" w:color="auto" w:fill="auto"/>
            <w:noWrap/>
            <w:hideMark/>
          </w:tcPr>
          <w:p w:rsidR="00551E98" w:rsidRPr="00CC18AA" w:rsidRDefault="00551E98" w:rsidP="00CC18AA">
            <w:pPr>
              <w:spacing w:before="60" w:after="60"/>
              <w:rPr>
                <w:rFonts w:cs="Arial"/>
                <w:color w:val="000000"/>
                <w:szCs w:val="20"/>
                <w:lang w:val="en-US" w:eastAsia="en-AU"/>
              </w:rPr>
            </w:pPr>
            <w:r w:rsidRPr="00CC18AA">
              <w:rPr>
                <w:rFonts w:cs="Arial"/>
                <w:color w:val="000000"/>
                <w:szCs w:val="20"/>
                <w:lang w:val="en-US" w:eastAsia="en-AU"/>
              </w:rPr>
              <w:t>Filterable Reactive Phosphorus</w:t>
            </w:r>
          </w:p>
        </w:tc>
        <w:tc>
          <w:tcPr>
            <w:tcW w:w="77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µg/L</w:t>
            </w:r>
          </w:p>
        </w:tc>
        <w:tc>
          <w:tcPr>
            <w:tcW w:w="594"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FRP</w:t>
            </w:r>
          </w:p>
        </w:tc>
      </w:tr>
      <w:tr w:rsidR="00CC18AA" w:rsidRPr="00551E98" w:rsidTr="00CC18AA">
        <w:trPr>
          <w:trHeight w:val="300"/>
        </w:trPr>
        <w:tc>
          <w:tcPr>
            <w:tcW w:w="1542" w:type="pct"/>
            <w:vMerge/>
            <w:shd w:val="clear" w:color="auto" w:fill="auto"/>
            <w:noWrap/>
            <w:vAlign w:val="center"/>
            <w:hideMark/>
          </w:tcPr>
          <w:p w:rsidR="00551E98" w:rsidRPr="00CC18AA" w:rsidRDefault="00551E98" w:rsidP="00CC18AA">
            <w:pPr>
              <w:spacing w:before="60" w:after="60"/>
              <w:jc w:val="center"/>
              <w:rPr>
                <w:rFonts w:cs="Arial"/>
                <w:bCs/>
                <w:color w:val="000000"/>
                <w:szCs w:val="20"/>
                <w:lang w:val="en-US" w:eastAsia="en-AU"/>
              </w:rPr>
            </w:pPr>
          </w:p>
        </w:tc>
        <w:tc>
          <w:tcPr>
            <w:tcW w:w="30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v.</w:t>
            </w:r>
          </w:p>
        </w:tc>
        <w:tc>
          <w:tcPr>
            <w:tcW w:w="1789" w:type="pct"/>
            <w:shd w:val="clear" w:color="auto" w:fill="auto"/>
            <w:noWrap/>
            <w:hideMark/>
          </w:tcPr>
          <w:p w:rsidR="00551E98" w:rsidRPr="00CC18AA" w:rsidRDefault="00551E98" w:rsidP="00CC18AA">
            <w:pPr>
              <w:spacing w:before="60" w:after="60"/>
              <w:rPr>
                <w:rFonts w:cs="Arial"/>
                <w:color w:val="000000"/>
                <w:szCs w:val="20"/>
                <w:lang w:val="en-US" w:eastAsia="en-AU"/>
              </w:rPr>
            </w:pPr>
            <w:r w:rsidRPr="00CC18AA">
              <w:rPr>
                <w:rFonts w:cs="Arial"/>
                <w:color w:val="000000"/>
                <w:szCs w:val="20"/>
                <w:lang w:val="en-US" w:eastAsia="en-AU"/>
              </w:rPr>
              <w:t>Dissolved Organic Carbon</w:t>
            </w:r>
          </w:p>
        </w:tc>
        <w:tc>
          <w:tcPr>
            <w:tcW w:w="77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µg/mL</w:t>
            </w:r>
          </w:p>
        </w:tc>
        <w:tc>
          <w:tcPr>
            <w:tcW w:w="594"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DOC</w:t>
            </w:r>
          </w:p>
        </w:tc>
      </w:tr>
      <w:tr w:rsidR="00CC18AA" w:rsidRPr="00551E98" w:rsidTr="00CC18AA">
        <w:trPr>
          <w:trHeight w:val="300"/>
        </w:trPr>
        <w:tc>
          <w:tcPr>
            <w:tcW w:w="1542" w:type="pct"/>
            <w:vMerge/>
            <w:shd w:val="clear" w:color="auto" w:fill="auto"/>
            <w:noWrap/>
            <w:vAlign w:val="center"/>
            <w:hideMark/>
          </w:tcPr>
          <w:p w:rsidR="00551E98" w:rsidRPr="00CC18AA" w:rsidRDefault="00551E98" w:rsidP="00CC18AA">
            <w:pPr>
              <w:spacing w:before="60" w:after="60"/>
              <w:jc w:val="center"/>
              <w:rPr>
                <w:rFonts w:cs="Arial"/>
                <w:bCs/>
                <w:color w:val="000000"/>
                <w:szCs w:val="20"/>
                <w:lang w:val="en-US" w:eastAsia="en-AU"/>
              </w:rPr>
            </w:pPr>
          </w:p>
        </w:tc>
        <w:tc>
          <w:tcPr>
            <w:tcW w:w="30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vi.</w:t>
            </w:r>
          </w:p>
        </w:tc>
        <w:tc>
          <w:tcPr>
            <w:tcW w:w="1789" w:type="pct"/>
            <w:shd w:val="clear" w:color="auto" w:fill="auto"/>
            <w:noWrap/>
            <w:hideMark/>
          </w:tcPr>
          <w:p w:rsidR="00551E98" w:rsidRPr="00CC18AA" w:rsidRDefault="00551E98" w:rsidP="00CC18AA">
            <w:pPr>
              <w:spacing w:before="60" w:after="60"/>
              <w:rPr>
                <w:rFonts w:cs="Arial"/>
                <w:color w:val="000000"/>
                <w:szCs w:val="20"/>
                <w:lang w:val="en-US" w:eastAsia="en-AU"/>
              </w:rPr>
            </w:pPr>
            <w:r w:rsidRPr="00CC18AA">
              <w:rPr>
                <w:rFonts w:cs="Arial"/>
                <w:color w:val="000000"/>
                <w:szCs w:val="20"/>
                <w:lang w:val="en-US" w:eastAsia="en-AU"/>
              </w:rPr>
              <w:t>Total Suspended Solid</w:t>
            </w:r>
          </w:p>
        </w:tc>
        <w:tc>
          <w:tcPr>
            <w:tcW w:w="77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mg/L</w:t>
            </w:r>
          </w:p>
        </w:tc>
        <w:tc>
          <w:tcPr>
            <w:tcW w:w="594"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TSS</w:t>
            </w:r>
          </w:p>
        </w:tc>
      </w:tr>
      <w:tr w:rsidR="00CC18AA" w:rsidRPr="00551E98" w:rsidTr="00CC18AA">
        <w:trPr>
          <w:trHeight w:val="300"/>
        </w:trPr>
        <w:tc>
          <w:tcPr>
            <w:tcW w:w="1542" w:type="pct"/>
            <w:vMerge w:val="restart"/>
            <w:shd w:val="clear" w:color="auto" w:fill="auto"/>
            <w:noWrap/>
            <w:vAlign w:val="center"/>
            <w:hideMark/>
          </w:tcPr>
          <w:p w:rsidR="00551E98" w:rsidRPr="00CC18AA" w:rsidRDefault="00551E98" w:rsidP="00CC18AA">
            <w:pPr>
              <w:spacing w:before="60" w:after="60"/>
              <w:jc w:val="center"/>
              <w:rPr>
                <w:rFonts w:cs="Arial"/>
                <w:bCs/>
                <w:color w:val="000000"/>
                <w:szCs w:val="20"/>
                <w:lang w:val="en-US" w:eastAsia="en-AU"/>
              </w:rPr>
            </w:pPr>
            <w:r w:rsidRPr="00CC18AA">
              <w:rPr>
                <w:rFonts w:cs="Arial"/>
                <w:bCs/>
                <w:color w:val="000000"/>
                <w:szCs w:val="20"/>
                <w:lang w:val="en-US" w:eastAsia="en-AU"/>
              </w:rPr>
              <w:t>Stream metabolism</w:t>
            </w:r>
          </w:p>
        </w:tc>
        <w:tc>
          <w:tcPr>
            <w:tcW w:w="30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i.</w:t>
            </w:r>
          </w:p>
        </w:tc>
        <w:tc>
          <w:tcPr>
            <w:tcW w:w="1789" w:type="pct"/>
            <w:shd w:val="clear" w:color="auto" w:fill="auto"/>
            <w:noWrap/>
            <w:hideMark/>
          </w:tcPr>
          <w:p w:rsidR="00551E98" w:rsidRPr="00CC18AA" w:rsidRDefault="00551E98" w:rsidP="00CC18AA">
            <w:pPr>
              <w:spacing w:before="60" w:after="60"/>
              <w:rPr>
                <w:rFonts w:cs="Arial"/>
                <w:color w:val="000000"/>
                <w:szCs w:val="20"/>
                <w:lang w:val="en-US" w:eastAsia="en-AU"/>
              </w:rPr>
            </w:pPr>
            <w:r w:rsidRPr="00CC18AA">
              <w:rPr>
                <w:rFonts w:cs="Arial"/>
                <w:color w:val="000000"/>
                <w:szCs w:val="20"/>
                <w:lang w:val="en-US" w:eastAsia="en-AU"/>
              </w:rPr>
              <w:t>Chlorophyll a</w:t>
            </w:r>
          </w:p>
        </w:tc>
        <w:tc>
          <w:tcPr>
            <w:tcW w:w="77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µg/L</w:t>
            </w:r>
          </w:p>
        </w:tc>
        <w:tc>
          <w:tcPr>
            <w:tcW w:w="594"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Chla</w:t>
            </w:r>
          </w:p>
        </w:tc>
      </w:tr>
      <w:tr w:rsidR="00CC18AA" w:rsidRPr="00551E98" w:rsidTr="00CC18AA">
        <w:trPr>
          <w:trHeight w:val="300"/>
        </w:trPr>
        <w:tc>
          <w:tcPr>
            <w:tcW w:w="1542" w:type="pct"/>
            <w:vMerge/>
            <w:shd w:val="clear" w:color="auto" w:fill="auto"/>
            <w:noWrap/>
            <w:vAlign w:val="center"/>
            <w:hideMark/>
          </w:tcPr>
          <w:p w:rsidR="00551E98" w:rsidRPr="00CC18AA" w:rsidRDefault="00551E98" w:rsidP="00CC18AA">
            <w:pPr>
              <w:spacing w:before="60" w:after="60"/>
              <w:jc w:val="center"/>
              <w:rPr>
                <w:rFonts w:cs="Arial"/>
                <w:bCs/>
                <w:color w:val="000000"/>
                <w:szCs w:val="20"/>
                <w:lang w:val="en-US" w:eastAsia="en-AU"/>
              </w:rPr>
            </w:pPr>
          </w:p>
        </w:tc>
        <w:tc>
          <w:tcPr>
            <w:tcW w:w="30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ii.</w:t>
            </w:r>
          </w:p>
        </w:tc>
        <w:tc>
          <w:tcPr>
            <w:tcW w:w="1789" w:type="pct"/>
            <w:shd w:val="clear" w:color="auto" w:fill="auto"/>
            <w:noWrap/>
            <w:hideMark/>
          </w:tcPr>
          <w:p w:rsidR="00551E98" w:rsidRPr="00CC18AA" w:rsidRDefault="00551E98" w:rsidP="00CC18AA">
            <w:pPr>
              <w:spacing w:before="60" w:after="60"/>
              <w:rPr>
                <w:rFonts w:cs="Arial"/>
                <w:color w:val="000000"/>
                <w:szCs w:val="20"/>
                <w:lang w:val="en-US" w:eastAsia="en-AU"/>
              </w:rPr>
            </w:pPr>
            <w:r w:rsidRPr="00CC18AA">
              <w:rPr>
                <w:rFonts w:cs="Arial"/>
                <w:color w:val="000000"/>
                <w:szCs w:val="20"/>
                <w:lang w:val="en-US" w:eastAsia="en-AU"/>
              </w:rPr>
              <w:t>Gross Primary Production</w:t>
            </w:r>
          </w:p>
        </w:tc>
        <w:tc>
          <w:tcPr>
            <w:tcW w:w="77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mg O2/L/day</w:t>
            </w:r>
          </w:p>
        </w:tc>
        <w:tc>
          <w:tcPr>
            <w:tcW w:w="594"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GPP</w:t>
            </w:r>
          </w:p>
        </w:tc>
      </w:tr>
      <w:tr w:rsidR="00CC18AA" w:rsidRPr="00551E98" w:rsidTr="00CC18AA">
        <w:trPr>
          <w:trHeight w:val="300"/>
        </w:trPr>
        <w:tc>
          <w:tcPr>
            <w:tcW w:w="1542" w:type="pct"/>
            <w:vMerge/>
            <w:shd w:val="clear" w:color="auto" w:fill="auto"/>
            <w:noWrap/>
            <w:vAlign w:val="center"/>
            <w:hideMark/>
          </w:tcPr>
          <w:p w:rsidR="00551E98" w:rsidRPr="00CC18AA" w:rsidRDefault="00551E98" w:rsidP="00CC18AA">
            <w:pPr>
              <w:spacing w:before="60" w:after="60"/>
              <w:jc w:val="center"/>
              <w:rPr>
                <w:rFonts w:cs="Arial"/>
                <w:bCs/>
                <w:color w:val="000000"/>
                <w:szCs w:val="20"/>
                <w:lang w:val="en-US" w:eastAsia="en-AU"/>
              </w:rPr>
            </w:pPr>
          </w:p>
        </w:tc>
        <w:tc>
          <w:tcPr>
            <w:tcW w:w="30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iii</w:t>
            </w:r>
          </w:p>
        </w:tc>
        <w:tc>
          <w:tcPr>
            <w:tcW w:w="1789" w:type="pct"/>
            <w:shd w:val="clear" w:color="auto" w:fill="auto"/>
            <w:noWrap/>
            <w:hideMark/>
          </w:tcPr>
          <w:p w:rsidR="00551E98" w:rsidRPr="00CC18AA" w:rsidRDefault="00551E98" w:rsidP="00CC18AA">
            <w:pPr>
              <w:spacing w:before="60" w:after="60"/>
              <w:rPr>
                <w:rFonts w:cs="Arial"/>
                <w:color w:val="000000"/>
                <w:szCs w:val="20"/>
                <w:lang w:val="en-US" w:eastAsia="en-AU"/>
              </w:rPr>
            </w:pPr>
            <w:r w:rsidRPr="00CC18AA">
              <w:rPr>
                <w:rFonts w:cs="Arial"/>
                <w:color w:val="000000"/>
                <w:szCs w:val="20"/>
                <w:lang w:val="en-US" w:eastAsia="en-AU"/>
              </w:rPr>
              <w:t>Ecosystem Respiration</w:t>
            </w:r>
          </w:p>
        </w:tc>
        <w:tc>
          <w:tcPr>
            <w:tcW w:w="77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mg O2/L/day</w:t>
            </w:r>
          </w:p>
        </w:tc>
        <w:tc>
          <w:tcPr>
            <w:tcW w:w="594"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ER</w:t>
            </w:r>
          </w:p>
        </w:tc>
      </w:tr>
      <w:tr w:rsidR="00CC18AA" w:rsidRPr="00551E98" w:rsidTr="00CC18AA">
        <w:trPr>
          <w:trHeight w:val="300"/>
        </w:trPr>
        <w:tc>
          <w:tcPr>
            <w:tcW w:w="1542" w:type="pct"/>
            <w:vMerge/>
            <w:shd w:val="clear" w:color="auto" w:fill="auto"/>
            <w:noWrap/>
            <w:vAlign w:val="center"/>
            <w:hideMark/>
          </w:tcPr>
          <w:p w:rsidR="00551E98" w:rsidRPr="00CC18AA" w:rsidRDefault="00551E98" w:rsidP="00CC18AA">
            <w:pPr>
              <w:spacing w:before="60" w:after="60"/>
              <w:jc w:val="center"/>
              <w:rPr>
                <w:rFonts w:cs="Arial"/>
                <w:bCs/>
                <w:color w:val="000000"/>
                <w:szCs w:val="20"/>
                <w:lang w:val="en-US" w:eastAsia="en-AU"/>
              </w:rPr>
            </w:pPr>
          </w:p>
        </w:tc>
        <w:tc>
          <w:tcPr>
            <w:tcW w:w="30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iv.</w:t>
            </w:r>
          </w:p>
        </w:tc>
        <w:tc>
          <w:tcPr>
            <w:tcW w:w="1789" w:type="pct"/>
            <w:shd w:val="clear" w:color="auto" w:fill="auto"/>
            <w:noWrap/>
            <w:hideMark/>
          </w:tcPr>
          <w:p w:rsidR="00551E98" w:rsidRPr="00CC18AA" w:rsidRDefault="00551E98" w:rsidP="00CC18AA">
            <w:pPr>
              <w:spacing w:before="60" w:after="60"/>
              <w:rPr>
                <w:rFonts w:cs="Arial"/>
                <w:color w:val="000000"/>
                <w:szCs w:val="20"/>
                <w:lang w:val="en-US" w:eastAsia="en-AU"/>
              </w:rPr>
            </w:pPr>
            <w:r w:rsidRPr="00CC18AA">
              <w:rPr>
                <w:rFonts w:cs="Arial"/>
                <w:color w:val="000000"/>
                <w:szCs w:val="20"/>
                <w:lang w:val="en-US" w:eastAsia="en-AU"/>
              </w:rPr>
              <w:t>Net Primary Production</w:t>
            </w:r>
          </w:p>
        </w:tc>
        <w:tc>
          <w:tcPr>
            <w:tcW w:w="77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mg O2/L/day</w:t>
            </w:r>
          </w:p>
        </w:tc>
        <w:tc>
          <w:tcPr>
            <w:tcW w:w="594"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NPP</w:t>
            </w:r>
          </w:p>
        </w:tc>
      </w:tr>
      <w:tr w:rsidR="00CC18AA" w:rsidRPr="00551E98" w:rsidTr="00CC18AA">
        <w:trPr>
          <w:trHeight w:val="300"/>
        </w:trPr>
        <w:tc>
          <w:tcPr>
            <w:tcW w:w="1542" w:type="pct"/>
            <w:vMerge w:val="restart"/>
            <w:shd w:val="clear" w:color="auto" w:fill="auto"/>
            <w:noWrap/>
            <w:vAlign w:val="center"/>
            <w:hideMark/>
          </w:tcPr>
          <w:p w:rsidR="00551E98" w:rsidRPr="00CC18AA" w:rsidRDefault="00551E98" w:rsidP="00CC18AA">
            <w:pPr>
              <w:spacing w:before="60" w:after="60"/>
              <w:jc w:val="center"/>
              <w:rPr>
                <w:rFonts w:cs="Arial"/>
                <w:bCs/>
                <w:color w:val="000000"/>
                <w:szCs w:val="20"/>
                <w:lang w:val="en-US" w:eastAsia="en-AU"/>
              </w:rPr>
            </w:pPr>
            <w:r w:rsidRPr="00CC18AA">
              <w:rPr>
                <w:rFonts w:cs="Arial"/>
                <w:bCs/>
                <w:color w:val="000000"/>
                <w:szCs w:val="20"/>
                <w:lang w:val="en-US" w:eastAsia="en-AU"/>
              </w:rPr>
              <w:t>Microinvertebrate</w:t>
            </w:r>
          </w:p>
        </w:tc>
        <w:tc>
          <w:tcPr>
            <w:tcW w:w="30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i.</w:t>
            </w:r>
          </w:p>
        </w:tc>
        <w:tc>
          <w:tcPr>
            <w:tcW w:w="1789" w:type="pct"/>
            <w:shd w:val="clear" w:color="auto" w:fill="auto"/>
            <w:noWrap/>
            <w:hideMark/>
          </w:tcPr>
          <w:p w:rsidR="00551E98" w:rsidRPr="00CC18AA" w:rsidRDefault="00551E98" w:rsidP="00CC18AA">
            <w:pPr>
              <w:spacing w:before="60" w:after="60"/>
              <w:rPr>
                <w:rFonts w:cs="Arial"/>
                <w:color w:val="000000"/>
                <w:szCs w:val="20"/>
                <w:lang w:val="en-US" w:eastAsia="en-AU"/>
              </w:rPr>
            </w:pPr>
            <w:r w:rsidRPr="00CC18AA">
              <w:rPr>
                <w:rFonts w:cs="Arial"/>
                <w:color w:val="000000"/>
                <w:szCs w:val="20"/>
                <w:lang w:val="en-US" w:eastAsia="en-AU"/>
              </w:rPr>
              <w:t xml:space="preserve">Density </w:t>
            </w:r>
          </w:p>
        </w:tc>
        <w:tc>
          <w:tcPr>
            <w:tcW w:w="77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individual/L</w:t>
            </w:r>
          </w:p>
        </w:tc>
        <w:tc>
          <w:tcPr>
            <w:tcW w:w="594"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t>
            </w:r>
          </w:p>
        </w:tc>
      </w:tr>
      <w:tr w:rsidR="00CC18AA" w:rsidRPr="00551E98" w:rsidTr="00CC18AA">
        <w:trPr>
          <w:trHeight w:val="300"/>
        </w:trPr>
        <w:tc>
          <w:tcPr>
            <w:tcW w:w="1542" w:type="pct"/>
            <w:vMerge/>
            <w:shd w:val="clear" w:color="auto" w:fill="auto"/>
            <w:noWrap/>
            <w:hideMark/>
          </w:tcPr>
          <w:p w:rsidR="00551E98" w:rsidRPr="00CC18AA" w:rsidRDefault="00551E98" w:rsidP="00CC18AA">
            <w:pPr>
              <w:spacing w:before="60" w:after="60"/>
              <w:jc w:val="center"/>
              <w:rPr>
                <w:rFonts w:cs="Arial"/>
                <w:bCs/>
                <w:color w:val="000000"/>
                <w:szCs w:val="20"/>
                <w:lang w:val="en-US" w:eastAsia="en-AU"/>
              </w:rPr>
            </w:pPr>
          </w:p>
        </w:tc>
        <w:tc>
          <w:tcPr>
            <w:tcW w:w="30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ii.</w:t>
            </w:r>
          </w:p>
        </w:tc>
        <w:tc>
          <w:tcPr>
            <w:tcW w:w="1789" w:type="pct"/>
            <w:shd w:val="clear" w:color="auto" w:fill="auto"/>
            <w:noWrap/>
            <w:hideMark/>
          </w:tcPr>
          <w:p w:rsidR="00551E98" w:rsidRPr="00CC18AA" w:rsidRDefault="00551E98" w:rsidP="00CC18AA">
            <w:pPr>
              <w:spacing w:before="60" w:after="60"/>
              <w:rPr>
                <w:rFonts w:cs="Arial"/>
                <w:color w:val="000000"/>
                <w:szCs w:val="20"/>
                <w:lang w:val="en-US" w:eastAsia="en-AU"/>
              </w:rPr>
            </w:pPr>
            <w:r w:rsidRPr="00CC18AA">
              <w:rPr>
                <w:rFonts w:cs="Arial"/>
                <w:color w:val="000000"/>
                <w:szCs w:val="20"/>
                <w:lang w:val="en-US" w:eastAsia="en-AU"/>
              </w:rPr>
              <w:t>Diversity</w:t>
            </w:r>
          </w:p>
        </w:tc>
        <w:tc>
          <w:tcPr>
            <w:tcW w:w="77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t>
            </w:r>
          </w:p>
        </w:tc>
        <w:tc>
          <w:tcPr>
            <w:tcW w:w="594"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t>
            </w:r>
          </w:p>
        </w:tc>
      </w:tr>
      <w:tr w:rsidR="00CC18AA" w:rsidRPr="00551E98" w:rsidTr="00CC18AA">
        <w:trPr>
          <w:trHeight w:val="300"/>
        </w:trPr>
        <w:tc>
          <w:tcPr>
            <w:tcW w:w="1542" w:type="pct"/>
            <w:vMerge/>
            <w:shd w:val="clear" w:color="auto" w:fill="auto"/>
            <w:noWrap/>
            <w:hideMark/>
          </w:tcPr>
          <w:p w:rsidR="00551E98" w:rsidRPr="00CC18AA" w:rsidRDefault="00551E98" w:rsidP="00CC18AA">
            <w:pPr>
              <w:spacing w:before="60" w:after="60"/>
              <w:jc w:val="center"/>
              <w:rPr>
                <w:rFonts w:cs="Arial"/>
                <w:bCs/>
                <w:color w:val="000000"/>
                <w:szCs w:val="20"/>
                <w:lang w:val="en-US" w:eastAsia="en-AU"/>
              </w:rPr>
            </w:pPr>
          </w:p>
        </w:tc>
        <w:tc>
          <w:tcPr>
            <w:tcW w:w="30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iii.</w:t>
            </w:r>
          </w:p>
        </w:tc>
        <w:tc>
          <w:tcPr>
            <w:tcW w:w="1789" w:type="pct"/>
            <w:shd w:val="clear" w:color="auto" w:fill="auto"/>
            <w:noWrap/>
            <w:hideMark/>
          </w:tcPr>
          <w:p w:rsidR="00551E98" w:rsidRPr="00CC18AA" w:rsidRDefault="00551E98" w:rsidP="00CC18AA">
            <w:pPr>
              <w:spacing w:before="60" w:after="60"/>
              <w:rPr>
                <w:rFonts w:cs="Arial"/>
                <w:color w:val="000000"/>
                <w:szCs w:val="20"/>
                <w:lang w:val="en-US" w:eastAsia="en-AU"/>
              </w:rPr>
            </w:pPr>
            <w:r w:rsidRPr="00CC18AA">
              <w:rPr>
                <w:rFonts w:cs="Arial"/>
                <w:color w:val="000000"/>
                <w:szCs w:val="20"/>
                <w:lang w:val="en-US" w:eastAsia="en-AU"/>
              </w:rPr>
              <w:t>Richness</w:t>
            </w:r>
          </w:p>
        </w:tc>
        <w:tc>
          <w:tcPr>
            <w:tcW w:w="77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t>
            </w:r>
          </w:p>
        </w:tc>
        <w:tc>
          <w:tcPr>
            <w:tcW w:w="594"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t>
            </w:r>
          </w:p>
        </w:tc>
      </w:tr>
      <w:tr w:rsidR="00CC18AA" w:rsidRPr="00551E98" w:rsidTr="00CC18AA">
        <w:trPr>
          <w:trHeight w:val="300"/>
        </w:trPr>
        <w:tc>
          <w:tcPr>
            <w:tcW w:w="1542" w:type="pct"/>
            <w:vMerge/>
            <w:shd w:val="clear" w:color="auto" w:fill="auto"/>
            <w:noWrap/>
            <w:hideMark/>
          </w:tcPr>
          <w:p w:rsidR="00551E98" w:rsidRPr="00CC18AA" w:rsidRDefault="00551E98" w:rsidP="00CC18AA">
            <w:pPr>
              <w:spacing w:before="60" w:after="60"/>
              <w:jc w:val="center"/>
              <w:rPr>
                <w:rFonts w:cs="Arial"/>
                <w:bCs/>
                <w:color w:val="000000"/>
                <w:szCs w:val="20"/>
                <w:lang w:val="en-US" w:eastAsia="en-AU"/>
              </w:rPr>
            </w:pPr>
          </w:p>
        </w:tc>
        <w:tc>
          <w:tcPr>
            <w:tcW w:w="30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iv.</w:t>
            </w:r>
          </w:p>
        </w:tc>
        <w:tc>
          <w:tcPr>
            <w:tcW w:w="1789" w:type="pct"/>
            <w:shd w:val="clear" w:color="auto" w:fill="auto"/>
            <w:noWrap/>
            <w:hideMark/>
          </w:tcPr>
          <w:p w:rsidR="00551E98" w:rsidRPr="00CC18AA" w:rsidRDefault="00551E98" w:rsidP="00CC18AA">
            <w:pPr>
              <w:spacing w:before="60" w:after="60"/>
              <w:rPr>
                <w:rFonts w:cs="Arial"/>
                <w:color w:val="000000"/>
                <w:szCs w:val="20"/>
                <w:lang w:val="en-US" w:eastAsia="en-AU"/>
              </w:rPr>
            </w:pPr>
            <w:r w:rsidRPr="00CC18AA">
              <w:rPr>
                <w:rFonts w:cs="Arial"/>
                <w:color w:val="000000"/>
                <w:szCs w:val="20"/>
                <w:lang w:val="en-US" w:eastAsia="en-AU"/>
              </w:rPr>
              <w:t>community presence-absence</w:t>
            </w:r>
          </w:p>
        </w:tc>
        <w:tc>
          <w:tcPr>
            <w:tcW w:w="77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t>
            </w:r>
          </w:p>
        </w:tc>
        <w:tc>
          <w:tcPr>
            <w:tcW w:w="594"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t>
            </w:r>
          </w:p>
        </w:tc>
      </w:tr>
      <w:tr w:rsidR="00CC18AA" w:rsidRPr="00551E98" w:rsidTr="00CC18AA">
        <w:trPr>
          <w:trHeight w:val="300"/>
        </w:trPr>
        <w:tc>
          <w:tcPr>
            <w:tcW w:w="1542" w:type="pct"/>
            <w:vMerge/>
            <w:shd w:val="clear" w:color="auto" w:fill="auto"/>
            <w:noWrap/>
            <w:hideMark/>
          </w:tcPr>
          <w:p w:rsidR="00551E98" w:rsidRPr="00CC18AA" w:rsidRDefault="00551E98" w:rsidP="00CC18AA">
            <w:pPr>
              <w:spacing w:before="60" w:after="60"/>
              <w:jc w:val="center"/>
              <w:rPr>
                <w:rFonts w:cs="Arial"/>
                <w:bCs/>
                <w:color w:val="000000"/>
                <w:szCs w:val="20"/>
                <w:lang w:val="en-US" w:eastAsia="en-AU"/>
              </w:rPr>
            </w:pPr>
          </w:p>
        </w:tc>
        <w:tc>
          <w:tcPr>
            <w:tcW w:w="30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v.</w:t>
            </w:r>
          </w:p>
        </w:tc>
        <w:tc>
          <w:tcPr>
            <w:tcW w:w="1789" w:type="pct"/>
            <w:shd w:val="clear" w:color="auto" w:fill="auto"/>
            <w:noWrap/>
            <w:hideMark/>
          </w:tcPr>
          <w:p w:rsidR="00551E98" w:rsidRPr="00CC18AA" w:rsidRDefault="00551E98" w:rsidP="00CC18AA">
            <w:pPr>
              <w:spacing w:before="60" w:after="60"/>
              <w:rPr>
                <w:rFonts w:cs="Arial"/>
                <w:color w:val="000000"/>
                <w:szCs w:val="20"/>
                <w:lang w:val="en-US" w:eastAsia="en-AU"/>
              </w:rPr>
            </w:pPr>
            <w:r w:rsidRPr="00CC18AA">
              <w:rPr>
                <w:rFonts w:cs="Arial"/>
                <w:color w:val="000000"/>
                <w:szCs w:val="20"/>
                <w:lang w:val="en-US" w:eastAsia="en-AU"/>
              </w:rPr>
              <w:t>community abundance (square-root)</w:t>
            </w:r>
          </w:p>
        </w:tc>
        <w:tc>
          <w:tcPr>
            <w:tcW w:w="77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t>
            </w:r>
          </w:p>
        </w:tc>
        <w:tc>
          <w:tcPr>
            <w:tcW w:w="594"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t>
            </w:r>
          </w:p>
        </w:tc>
      </w:tr>
    </w:tbl>
    <w:p w:rsidR="0050355C" w:rsidRDefault="0050355C" w:rsidP="0050355C">
      <w:pPr>
        <w:sectPr w:rsidR="0050355C" w:rsidSect="00625CF5">
          <w:headerReference w:type="default" r:id="rId54"/>
          <w:type w:val="nextColumn"/>
          <w:pgSz w:w="11906" w:h="16838"/>
          <w:pgMar w:top="1134" w:right="1219" w:bottom="1276" w:left="1480" w:header="709" w:footer="289" w:gutter="0"/>
          <w:pgNumType w:start="1" w:chapStyle="6"/>
          <w:cols w:space="708"/>
          <w:docGrid w:linePitch="360"/>
        </w:sectPr>
      </w:pPr>
    </w:p>
    <w:p w:rsidR="009F3BFA" w:rsidRDefault="009F3BFA" w:rsidP="009F3BFA">
      <w:pPr>
        <w:pStyle w:val="Caption"/>
        <w:keepNext/>
      </w:pPr>
      <w:bookmarkStart w:id="42" w:name="_Ref458883041"/>
      <w:r>
        <w:t xml:space="preserve">Table </w:t>
      </w:r>
      <w:fldSimple w:instr=" STYLEREF 6 \s ">
        <w:r w:rsidR="005D5925">
          <w:rPr>
            <w:noProof/>
          </w:rPr>
          <w:t>D</w:t>
        </w:r>
      </w:fldSimple>
      <w:r w:rsidR="005D4453">
        <w:noBreakHyphen/>
      </w:r>
      <w:fldSimple w:instr=" SEQ Table \* ARABIC \s 6 ">
        <w:r w:rsidR="005D5925">
          <w:rPr>
            <w:noProof/>
          </w:rPr>
          <w:t>2</w:t>
        </w:r>
      </w:fldSimple>
      <w:bookmarkEnd w:id="42"/>
      <w:r>
        <w:t xml:space="preserve"> </w:t>
      </w:r>
      <w:r w:rsidRPr="00810C7C">
        <w:t>Location of sites on the Gwydir River Selected Area for microinvertebrate surveys.</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225"/>
        <w:gridCol w:w="1920"/>
        <w:gridCol w:w="990"/>
        <w:gridCol w:w="1222"/>
        <w:gridCol w:w="1202"/>
        <w:gridCol w:w="891"/>
        <w:gridCol w:w="877"/>
        <w:gridCol w:w="1024"/>
        <w:gridCol w:w="877"/>
        <w:gridCol w:w="1541"/>
        <w:gridCol w:w="942"/>
        <w:gridCol w:w="1428"/>
      </w:tblGrid>
      <w:tr w:rsidR="00CC18AA" w:rsidRPr="00551E98" w:rsidTr="00CC18AA">
        <w:trPr>
          <w:trHeight w:val="300"/>
        </w:trPr>
        <w:tc>
          <w:tcPr>
            <w:tcW w:w="433" w:type="pct"/>
            <w:vMerge w:val="restart"/>
            <w:shd w:val="clear" w:color="auto" w:fill="D9D9D9"/>
            <w:noWrap/>
            <w:vAlign w:val="center"/>
            <w:hideMark/>
          </w:tcPr>
          <w:p w:rsidR="00551E98" w:rsidRPr="00CC18AA" w:rsidRDefault="00551E98" w:rsidP="00CC18AA">
            <w:pPr>
              <w:spacing w:before="60" w:after="60"/>
              <w:jc w:val="center"/>
              <w:rPr>
                <w:rFonts w:cs="Arial"/>
                <w:bCs/>
                <w:color w:val="000000"/>
                <w:szCs w:val="20"/>
                <w:lang w:val="en-US" w:eastAsia="en-AU"/>
              </w:rPr>
            </w:pPr>
            <w:r w:rsidRPr="00CC18AA">
              <w:rPr>
                <w:rFonts w:cs="Arial"/>
                <w:bCs/>
                <w:color w:val="000000"/>
                <w:szCs w:val="20"/>
                <w:lang w:val="en-US" w:eastAsia="en-AU"/>
              </w:rPr>
              <w:t>Ecosystem</w:t>
            </w:r>
          </w:p>
        </w:tc>
        <w:tc>
          <w:tcPr>
            <w:tcW w:w="679" w:type="pct"/>
            <w:vMerge w:val="restart"/>
            <w:shd w:val="clear" w:color="auto" w:fill="D9D9D9"/>
            <w:noWrap/>
            <w:vAlign w:val="center"/>
            <w:hideMark/>
          </w:tcPr>
          <w:p w:rsidR="00551E98" w:rsidRPr="00CC18AA" w:rsidRDefault="00551E98" w:rsidP="00CC18AA">
            <w:pPr>
              <w:spacing w:before="60" w:after="60"/>
              <w:jc w:val="center"/>
              <w:rPr>
                <w:rFonts w:cs="Arial"/>
                <w:bCs/>
                <w:color w:val="000000"/>
                <w:szCs w:val="20"/>
                <w:lang w:val="en-US" w:eastAsia="en-AU"/>
              </w:rPr>
            </w:pPr>
            <w:r w:rsidRPr="00CC18AA">
              <w:rPr>
                <w:rFonts w:cs="Arial"/>
                <w:bCs/>
                <w:color w:val="000000"/>
                <w:szCs w:val="20"/>
                <w:lang w:val="en-US" w:eastAsia="en-AU"/>
              </w:rPr>
              <w:t>Sampling Zone</w:t>
            </w:r>
          </w:p>
        </w:tc>
        <w:tc>
          <w:tcPr>
            <w:tcW w:w="350" w:type="pct"/>
            <w:vMerge w:val="restart"/>
            <w:shd w:val="clear" w:color="auto" w:fill="D9D9D9"/>
            <w:noWrap/>
            <w:vAlign w:val="center"/>
            <w:hideMark/>
          </w:tcPr>
          <w:p w:rsidR="00551E98" w:rsidRPr="00CC18AA" w:rsidRDefault="00551E98" w:rsidP="00CC18AA">
            <w:pPr>
              <w:spacing w:before="60" w:after="60"/>
              <w:jc w:val="center"/>
              <w:rPr>
                <w:rFonts w:cs="Arial"/>
                <w:bCs/>
                <w:color w:val="000000"/>
                <w:szCs w:val="20"/>
                <w:lang w:val="en-US" w:eastAsia="en-AU"/>
              </w:rPr>
            </w:pPr>
            <w:r w:rsidRPr="00CC18AA">
              <w:rPr>
                <w:rFonts w:cs="Arial"/>
                <w:bCs/>
                <w:color w:val="000000"/>
                <w:szCs w:val="20"/>
                <w:lang w:val="en-US" w:eastAsia="en-AU"/>
              </w:rPr>
              <w:t>Site</w:t>
            </w:r>
          </w:p>
        </w:tc>
        <w:tc>
          <w:tcPr>
            <w:tcW w:w="432" w:type="pct"/>
            <w:vMerge w:val="restart"/>
            <w:shd w:val="clear" w:color="auto" w:fill="D9D9D9"/>
            <w:noWrap/>
            <w:vAlign w:val="center"/>
            <w:hideMark/>
          </w:tcPr>
          <w:p w:rsidR="00551E98" w:rsidRPr="00CC18AA" w:rsidRDefault="00551E98" w:rsidP="00CC18AA">
            <w:pPr>
              <w:spacing w:before="60" w:after="60"/>
              <w:jc w:val="center"/>
              <w:rPr>
                <w:rFonts w:cs="Arial"/>
                <w:bCs/>
                <w:color w:val="000000"/>
                <w:szCs w:val="20"/>
                <w:lang w:val="en-US" w:eastAsia="en-AU"/>
              </w:rPr>
            </w:pPr>
            <w:r w:rsidRPr="00CC18AA">
              <w:rPr>
                <w:rFonts w:cs="Arial"/>
                <w:bCs/>
                <w:color w:val="000000"/>
                <w:szCs w:val="20"/>
                <w:lang w:val="en-US" w:eastAsia="en-AU"/>
              </w:rPr>
              <w:t>Latitude</w:t>
            </w:r>
          </w:p>
        </w:tc>
        <w:tc>
          <w:tcPr>
            <w:tcW w:w="425" w:type="pct"/>
            <w:vMerge w:val="restart"/>
            <w:shd w:val="clear" w:color="auto" w:fill="D9D9D9"/>
            <w:noWrap/>
            <w:vAlign w:val="center"/>
            <w:hideMark/>
          </w:tcPr>
          <w:p w:rsidR="00551E98" w:rsidRPr="00CC18AA" w:rsidRDefault="00551E98" w:rsidP="00CC18AA">
            <w:pPr>
              <w:spacing w:before="60" w:after="60"/>
              <w:jc w:val="center"/>
              <w:rPr>
                <w:rFonts w:cs="Arial"/>
                <w:bCs/>
                <w:color w:val="000000"/>
                <w:szCs w:val="20"/>
                <w:lang w:val="en-US" w:eastAsia="en-AU"/>
              </w:rPr>
            </w:pPr>
            <w:r w:rsidRPr="00CC18AA">
              <w:rPr>
                <w:rFonts w:cs="Arial"/>
                <w:bCs/>
                <w:color w:val="000000"/>
                <w:szCs w:val="20"/>
                <w:lang w:val="en-US" w:eastAsia="en-AU"/>
              </w:rPr>
              <w:t>Longitude</w:t>
            </w:r>
          </w:p>
        </w:tc>
        <w:tc>
          <w:tcPr>
            <w:tcW w:w="1297" w:type="pct"/>
            <w:gridSpan w:val="4"/>
            <w:shd w:val="clear" w:color="auto" w:fill="D9D9D9"/>
            <w:noWrap/>
            <w:vAlign w:val="center"/>
            <w:hideMark/>
          </w:tcPr>
          <w:p w:rsidR="00551E98" w:rsidRPr="00CC18AA" w:rsidRDefault="00551E98" w:rsidP="00CC18AA">
            <w:pPr>
              <w:spacing w:before="60" w:after="60"/>
              <w:jc w:val="center"/>
              <w:rPr>
                <w:rFonts w:cs="Arial"/>
                <w:bCs/>
                <w:color w:val="000000"/>
                <w:szCs w:val="20"/>
                <w:lang w:val="en-US" w:eastAsia="en-AU"/>
              </w:rPr>
            </w:pPr>
            <w:r w:rsidRPr="00CC18AA">
              <w:rPr>
                <w:rFonts w:cs="Arial"/>
                <w:bCs/>
                <w:color w:val="000000"/>
                <w:szCs w:val="20"/>
                <w:lang w:val="en-US" w:eastAsia="en-AU"/>
              </w:rPr>
              <w:t>Inundation</w:t>
            </w:r>
          </w:p>
        </w:tc>
        <w:tc>
          <w:tcPr>
            <w:tcW w:w="1383" w:type="pct"/>
            <w:gridSpan w:val="3"/>
            <w:shd w:val="clear" w:color="auto" w:fill="D9D9D9"/>
            <w:noWrap/>
            <w:vAlign w:val="center"/>
            <w:hideMark/>
          </w:tcPr>
          <w:p w:rsidR="00551E98" w:rsidRPr="00CC18AA" w:rsidRDefault="00551E98" w:rsidP="00CC18AA">
            <w:pPr>
              <w:spacing w:before="60" w:after="60"/>
              <w:jc w:val="center"/>
              <w:rPr>
                <w:rFonts w:cs="Arial"/>
                <w:bCs/>
                <w:color w:val="000000"/>
                <w:szCs w:val="20"/>
                <w:lang w:val="en-US" w:eastAsia="en-AU"/>
              </w:rPr>
            </w:pPr>
            <w:r w:rsidRPr="00CC18AA">
              <w:rPr>
                <w:rFonts w:cs="Arial"/>
                <w:bCs/>
                <w:color w:val="000000"/>
                <w:szCs w:val="20"/>
                <w:lang w:val="en-US" w:eastAsia="en-AU"/>
              </w:rPr>
              <w:t>Indicators</w:t>
            </w:r>
          </w:p>
        </w:tc>
      </w:tr>
      <w:tr w:rsidR="00CC18AA" w:rsidRPr="00551E98" w:rsidTr="00CC18AA">
        <w:trPr>
          <w:trHeight w:val="610"/>
        </w:trPr>
        <w:tc>
          <w:tcPr>
            <w:tcW w:w="433" w:type="pct"/>
            <w:vMerge/>
            <w:tcBorders>
              <w:bottom w:val="single" w:sz="4" w:space="0" w:color="auto"/>
            </w:tcBorders>
            <w:shd w:val="clear" w:color="auto" w:fill="auto"/>
            <w:vAlign w:val="center"/>
            <w:hideMark/>
          </w:tcPr>
          <w:p w:rsidR="00551E98" w:rsidRPr="00CC18AA" w:rsidRDefault="00551E98" w:rsidP="00CC18AA">
            <w:pPr>
              <w:spacing w:before="60" w:after="60"/>
              <w:jc w:val="center"/>
              <w:rPr>
                <w:rFonts w:cs="Arial"/>
                <w:bCs/>
                <w:color w:val="000000"/>
                <w:szCs w:val="20"/>
                <w:lang w:val="en-US" w:eastAsia="en-AU"/>
              </w:rPr>
            </w:pPr>
          </w:p>
        </w:tc>
        <w:tc>
          <w:tcPr>
            <w:tcW w:w="679" w:type="pct"/>
            <w:vMerge/>
            <w:tcBorders>
              <w:bottom w:val="single" w:sz="4" w:space="0" w:color="auto"/>
            </w:tcBorders>
            <w:shd w:val="clear" w:color="auto" w:fill="auto"/>
            <w:vAlign w:val="center"/>
            <w:hideMark/>
          </w:tcPr>
          <w:p w:rsidR="00551E98" w:rsidRPr="00CC18AA" w:rsidRDefault="00551E98" w:rsidP="00CC18AA">
            <w:pPr>
              <w:spacing w:before="60" w:after="60"/>
              <w:jc w:val="center"/>
              <w:rPr>
                <w:rFonts w:cs="Arial"/>
                <w:color w:val="000000"/>
                <w:szCs w:val="20"/>
                <w:lang w:val="en-US" w:eastAsia="en-AU"/>
              </w:rPr>
            </w:pPr>
          </w:p>
        </w:tc>
        <w:tc>
          <w:tcPr>
            <w:tcW w:w="350" w:type="pct"/>
            <w:vMerge/>
            <w:tcBorders>
              <w:bottom w:val="single" w:sz="4" w:space="0" w:color="auto"/>
            </w:tcBorders>
            <w:shd w:val="clear" w:color="auto" w:fill="auto"/>
            <w:vAlign w:val="center"/>
            <w:hideMark/>
          </w:tcPr>
          <w:p w:rsidR="00551E98" w:rsidRPr="00CC18AA" w:rsidRDefault="00551E98" w:rsidP="00CC18AA">
            <w:pPr>
              <w:spacing w:before="60" w:after="60"/>
              <w:jc w:val="center"/>
              <w:rPr>
                <w:rFonts w:cs="Arial"/>
                <w:color w:val="000000"/>
                <w:szCs w:val="20"/>
                <w:lang w:val="en-US" w:eastAsia="en-AU"/>
              </w:rPr>
            </w:pPr>
          </w:p>
        </w:tc>
        <w:tc>
          <w:tcPr>
            <w:tcW w:w="432" w:type="pct"/>
            <w:vMerge/>
            <w:tcBorders>
              <w:bottom w:val="single" w:sz="4" w:space="0" w:color="auto"/>
            </w:tcBorders>
            <w:shd w:val="clear" w:color="auto" w:fill="auto"/>
            <w:vAlign w:val="center"/>
            <w:hideMark/>
          </w:tcPr>
          <w:p w:rsidR="00551E98" w:rsidRPr="00CC18AA" w:rsidRDefault="00551E98" w:rsidP="00CC18AA">
            <w:pPr>
              <w:spacing w:before="60" w:after="60"/>
              <w:jc w:val="center"/>
              <w:rPr>
                <w:rFonts w:cs="Arial"/>
                <w:color w:val="000000"/>
                <w:szCs w:val="20"/>
                <w:lang w:val="en-US" w:eastAsia="en-AU"/>
              </w:rPr>
            </w:pPr>
          </w:p>
        </w:tc>
        <w:tc>
          <w:tcPr>
            <w:tcW w:w="425" w:type="pct"/>
            <w:vMerge/>
            <w:tcBorders>
              <w:bottom w:val="single" w:sz="4" w:space="0" w:color="auto"/>
            </w:tcBorders>
            <w:shd w:val="clear" w:color="auto" w:fill="auto"/>
            <w:vAlign w:val="center"/>
            <w:hideMark/>
          </w:tcPr>
          <w:p w:rsidR="00551E98" w:rsidRPr="00CC18AA" w:rsidRDefault="00551E98" w:rsidP="00CC18AA">
            <w:pPr>
              <w:spacing w:before="60" w:after="60"/>
              <w:jc w:val="center"/>
              <w:rPr>
                <w:rFonts w:cs="Arial"/>
                <w:color w:val="000000"/>
                <w:szCs w:val="20"/>
                <w:lang w:val="en-US" w:eastAsia="en-AU"/>
              </w:rPr>
            </w:pPr>
          </w:p>
        </w:tc>
        <w:tc>
          <w:tcPr>
            <w:tcW w:w="315" w:type="pct"/>
            <w:tcBorders>
              <w:bottom w:val="single" w:sz="4" w:space="0" w:color="auto"/>
            </w:tcBorders>
            <w:shd w:val="clear" w:color="auto" w:fill="D9D9D9"/>
            <w:noWrap/>
            <w:vAlign w:val="center"/>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Sep-15</w:t>
            </w:r>
          </w:p>
        </w:tc>
        <w:tc>
          <w:tcPr>
            <w:tcW w:w="310" w:type="pct"/>
            <w:tcBorders>
              <w:bottom w:val="single" w:sz="4" w:space="0" w:color="auto"/>
            </w:tcBorders>
            <w:shd w:val="clear" w:color="auto" w:fill="D9D9D9"/>
            <w:noWrap/>
            <w:vAlign w:val="center"/>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Feb-16</w:t>
            </w:r>
          </w:p>
        </w:tc>
        <w:tc>
          <w:tcPr>
            <w:tcW w:w="362" w:type="pct"/>
            <w:tcBorders>
              <w:bottom w:val="single" w:sz="4" w:space="0" w:color="auto"/>
            </w:tcBorders>
            <w:shd w:val="clear" w:color="auto" w:fill="D9D9D9"/>
            <w:noWrap/>
            <w:vAlign w:val="center"/>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Mar-16</w:t>
            </w:r>
          </w:p>
        </w:tc>
        <w:tc>
          <w:tcPr>
            <w:tcW w:w="310" w:type="pct"/>
            <w:tcBorders>
              <w:bottom w:val="single" w:sz="4" w:space="0" w:color="auto"/>
            </w:tcBorders>
            <w:shd w:val="clear" w:color="auto" w:fill="D9D9D9"/>
            <w:noWrap/>
            <w:vAlign w:val="center"/>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Apr-16</w:t>
            </w:r>
          </w:p>
        </w:tc>
        <w:tc>
          <w:tcPr>
            <w:tcW w:w="545" w:type="pct"/>
            <w:tcBorders>
              <w:bottom w:val="single" w:sz="4" w:space="0" w:color="auto"/>
            </w:tcBorders>
            <w:shd w:val="clear" w:color="auto" w:fill="D9D9D9"/>
            <w:vAlign w:val="center"/>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Water quality and nutrients</w:t>
            </w:r>
          </w:p>
        </w:tc>
        <w:tc>
          <w:tcPr>
            <w:tcW w:w="333" w:type="pct"/>
            <w:tcBorders>
              <w:bottom w:val="single" w:sz="4" w:space="0" w:color="auto"/>
            </w:tcBorders>
            <w:shd w:val="clear" w:color="auto" w:fill="D9D9D9"/>
            <w:vAlign w:val="center"/>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Meta-bolism</w:t>
            </w:r>
          </w:p>
        </w:tc>
        <w:tc>
          <w:tcPr>
            <w:tcW w:w="505" w:type="pct"/>
            <w:tcBorders>
              <w:bottom w:val="single" w:sz="4" w:space="0" w:color="auto"/>
            </w:tcBorders>
            <w:shd w:val="clear" w:color="auto" w:fill="D9D9D9"/>
            <w:vAlign w:val="center"/>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Micro-invertebrate</w:t>
            </w:r>
          </w:p>
        </w:tc>
      </w:tr>
      <w:tr w:rsidR="00CC18AA" w:rsidRPr="00551E98" w:rsidTr="00CC18AA">
        <w:trPr>
          <w:trHeight w:val="300"/>
        </w:trPr>
        <w:tc>
          <w:tcPr>
            <w:tcW w:w="433" w:type="pct"/>
            <w:vMerge w:val="restart"/>
            <w:shd w:val="clear" w:color="auto" w:fill="auto"/>
            <w:noWrap/>
            <w:vAlign w:val="center"/>
            <w:hideMark/>
          </w:tcPr>
          <w:p w:rsidR="00551E98" w:rsidRPr="00CC18AA" w:rsidRDefault="00551E98" w:rsidP="00CC18AA">
            <w:pPr>
              <w:spacing w:before="60" w:after="60"/>
              <w:jc w:val="center"/>
              <w:rPr>
                <w:rFonts w:cs="Arial"/>
                <w:bCs/>
                <w:color w:val="000000"/>
                <w:szCs w:val="20"/>
                <w:lang w:val="en-US" w:eastAsia="en-AU"/>
              </w:rPr>
            </w:pPr>
            <w:r w:rsidRPr="00CC18AA">
              <w:rPr>
                <w:rFonts w:cs="Arial"/>
                <w:bCs/>
                <w:color w:val="000000"/>
                <w:szCs w:val="20"/>
                <w:lang w:val="en-US" w:eastAsia="en-AU"/>
              </w:rPr>
              <w:t>Wetland</w:t>
            </w:r>
          </w:p>
        </w:tc>
        <w:tc>
          <w:tcPr>
            <w:tcW w:w="679" w:type="pct"/>
            <w:vMerge w:val="restart"/>
            <w:shd w:val="clear" w:color="auto" w:fill="auto"/>
            <w:noWrap/>
            <w:vAlign w:val="center"/>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Gingham Wetland</w:t>
            </w:r>
          </w:p>
        </w:tc>
        <w:tc>
          <w:tcPr>
            <w:tcW w:w="35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BUNOW</w:t>
            </w:r>
          </w:p>
        </w:tc>
        <w:tc>
          <w:tcPr>
            <w:tcW w:w="432" w:type="pct"/>
            <w:shd w:val="clear" w:color="auto" w:fill="auto"/>
            <w:vAlign w:val="center"/>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rPr>
              <w:t>731410</w:t>
            </w:r>
          </w:p>
        </w:tc>
        <w:tc>
          <w:tcPr>
            <w:tcW w:w="425" w:type="pct"/>
            <w:shd w:val="clear" w:color="auto" w:fill="auto"/>
            <w:vAlign w:val="center"/>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rPr>
              <w:t>6759165</w:t>
            </w:r>
          </w:p>
        </w:tc>
        <w:tc>
          <w:tcPr>
            <w:tcW w:w="31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31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362"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31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545" w:type="pct"/>
            <w:shd w:val="clear" w:color="auto" w:fill="auto"/>
            <w:noWrap/>
            <w:hideMark/>
          </w:tcPr>
          <w:p w:rsidR="00551E98" w:rsidRPr="00CC18AA" w:rsidRDefault="00551E98" w:rsidP="00CC18AA">
            <w:pPr>
              <w:spacing w:before="60" w:after="60"/>
              <w:ind w:left="720" w:hanging="720"/>
              <w:jc w:val="center"/>
              <w:rPr>
                <w:rFonts w:cs="Arial"/>
                <w:color w:val="000000"/>
                <w:szCs w:val="20"/>
                <w:lang w:val="en-US" w:eastAsia="en-AU"/>
              </w:rPr>
            </w:pPr>
            <w:r w:rsidRPr="00CC18AA">
              <w:rPr>
                <w:rFonts w:cs="Arial"/>
                <w:color w:val="000000"/>
                <w:szCs w:val="20"/>
                <w:lang w:val="en-US" w:eastAsia="en-AU"/>
              </w:rPr>
              <w:sym w:font="Wingdings" w:char="F0FC"/>
            </w:r>
          </w:p>
        </w:tc>
        <w:tc>
          <w:tcPr>
            <w:tcW w:w="333"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sym w:font="Wingdings" w:char="F0FC"/>
            </w:r>
          </w:p>
        </w:tc>
        <w:tc>
          <w:tcPr>
            <w:tcW w:w="50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sym w:font="Wingdings" w:char="F0FC"/>
            </w:r>
          </w:p>
        </w:tc>
      </w:tr>
      <w:tr w:rsidR="00CC18AA" w:rsidRPr="00551E98" w:rsidTr="00CC18AA">
        <w:trPr>
          <w:trHeight w:val="300"/>
        </w:trPr>
        <w:tc>
          <w:tcPr>
            <w:tcW w:w="433" w:type="pct"/>
            <w:vMerge/>
            <w:shd w:val="clear" w:color="auto" w:fill="auto"/>
            <w:vAlign w:val="center"/>
            <w:hideMark/>
          </w:tcPr>
          <w:p w:rsidR="00551E98" w:rsidRPr="00CC18AA" w:rsidRDefault="00551E98" w:rsidP="00CC18AA">
            <w:pPr>
              <w:spacing w:before="60" w:after="60"/>
              <w:jc w:val="center"/>
              <w:rPr>
                <w:rFonts w:cs="Arial"/>
                <w:bCs/>
                <w:color w:val="000000"/>
                <w:szCs w:val="20"/>
                <w:lang w:val="en-US" w:eastAsia="en-AU"/>
              </w:rPr>
            </w:pPr>
          </w:p>
        </w:tc>
        <w:tc>
          <w:tcPr>
            <w:tcW w:w="679" w:type="pct"/>
            <w:vMerge/>
            <w:shd w:val="clear" w:color="auto" w:fill="auto"/>
            <w:vAlign w:val="center"/>
            <w:hideMark/>
          </w:tcPr>
          <w:p w:rsidR="00551E98" w:rsidRPr="00CC18AA" w:rsidRDefault="00551E98" w:rsidP="00CC18AA">
            <w:pPr>
              <w:spacing w:before="60" w:after="60"/>
              <w:jc w:val="center"/>
              <w:rPr>
                <w:rFonts w:cs="Arial"/>
                <w:color w:val="000000"/>
                <w:szCs w:val="20"/>
                <w:lang w:val="en-US" w:eastAsia="en-AU"/>
              </w:rPr>
            </w:pPr>
          </w:p>
        </w:tc>
        <w:tc>
          <w:tcPr>
            <w:tcW w:w="35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BUNWC</w:t>
            </w:r>
          </w:p>
        </w:tc>
        <w:tc>
          <w:tcPr>
            <w:tcW w:w="432" w:type="pct"/>
            <w:shd w:val="clear" w:color="auto" w:fill="auto"/>
            <w:vAlign w:val="center"/>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rPr>
              <w:t>731567</w:t>
            </w:r>
          </w:p>
        </w:tc>
        <w:tc>
          <w:tcPr>
            <w:tcW w:w="425" w:type="pct"/>
            <w:shd w:val="clear" w:color="auto" w:fill="auto"/>
            <w:vAlign w:val="center"/>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rPr>
              <w:t>6759220</w:t>
            </w:r>
          </w:p>
        </w:tc>
        <w:tc>
          <w:tcPr>
            <w:tcW w:w="31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31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362"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31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Dry</w:t>
            </w:r>
          </w:p>
        </w:tc>
        <w:tc>
          <w:tcPr>
            <w:tcW w:w="54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sym w:font="Wingdings" w:char="F0FC"/>
            </w:r>
          </w:p>
        </w:tc>
        <w:tc>
          <w:tcPr>
            <w:tcW w:w="333"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sym w:font="Wingdings" w:char="F0FC"/>
            </w:r>
          </w:p>
        </w:tc>
        <w:tc>
          <w:tcPr>
            <w:tcW w:w="50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sym w:font="Wingdings" w:char="F0FC"/>
            </w:r>
          </w:p>
        </w:tc>
      </w:tr>
      <w:tr w:rsidR="00CC18AA" w:rsidRPr="00551E98" w:rsidTr="00CC18AA">
        <w:trPr>
          <w:trHeight w:val="300"/>
        </w:trPr>
        <w:tc>
          <w:tcPr>
            <w:tcW w:w="433" w:type="pct"/>
            <w:vMerge/>
            <w:shd w:val="clear" w:color="auto" w:fill="auto"/>
            <w:vAlign w:val="center"/>
            <w:hideMark/>
          </w:tcPr>
          <w:p w:rsidR="00551E98" w:rsidRPr="00CC18AA" w:rsidRDefault="00551E98" w:rsidP="00CC18AA">
            <w:pPr>
              <w:spacing w:before="60" w:after="60"/>
              <w:jc w:val="center"/>
              <w:rPr>
                <w:rFonts w:cs="Arial"/>
                <w:bCs/>
                <w:color w:val="000000"/>
                <w:szCs w:val="20"/>
                <w:lang w:val="en-US" w:eastAsia="en-AU"/>
              </w:rPr>
            </w:pPr>
          </w:p>
        </w:tc>
        <w:tc>
          <w:tcPr>
            <w:tcW w:w="679" w:type="pct"/>
            <w:vMerge/>
            <w:shd w:val="clear" w:color="auto" w:fill="auto"/>
            <w:vAlign w:val="center"/>
            <w:hideMark/>
          </w:tcPr>
          <w:p w:rsidR="00551E98" w:rsidRPr="00CC18AA" w:rsidRDefault="00551E98" w:rsidP="00CC18AA">
            <w:pPr>
              <w:spacing w:before="60" w:after="60"/>
              <w:jc w:val="center"/>
              <w:rPr>
                <w:rFonts w:cs="Arial"/>
                <w:color w:val="000000"/>
                <w:szCs w:val="20"/>
                <w:lang w:val="en-US" w:eastAsia="en-AU"/>
              </w:rPr>
            </w:pPr>
          </w:p>
        </w:tc>
        <w:tc>
          <w:tcPr>
            <w:tcW w:w="35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GINOW</w:t>
            </w:r>
          </w:p>
        </w:tc>
        <w:tc>
          <w:tcPr>
            <w:tcW w:w="432" w:type="pct"/>
            <w:shd w:val="clear" w:color="auto" w:fill="auto"/>
            <w:vAlign w:val="center"/>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rPr>
              <w:t>724103</w:t>
            </w:r>
          </w:p>
        </w:tc>
        <w:tc>
          <w:tcPr>
            <w:tcW w:w="425" w:type="pct"/>
            <w:shd w:val="clear" w:color="auto" w:fill="auto"/>
            <w:vAlign w:val="center"/>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rPr>
              <w:t>6762962</w:t>
            </w:r>
          </w:p>
        </w:tc>
        <w:tc>
          <w:tcPr>
            <w:tcW w:w="31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31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362"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31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54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sym w:font="Wingdings" w:char="F0FC"/>
            </w:r>
          </w:p>
        </w:tc>
        <w:tc>
          <w:tcPr>
            <w:tcW w:w="333"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sym w:font="Wingdings" w:char="F0FC"/>
            </w:r>
          </w:p>
        </w:tc>
        <w:tc>
          <w:tcPr>
            <w:tcW w:w="50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p>
        </w:tc>
      </w:tr>
      <w:tr w:rsidR="00CC18AA" w:rsidRPr="00551E98" w:rsidTr="00CC18AA">
        <w:trPr>
          <w:trHeight w:val="300"/>
        </w:trPr>
        <w:tc>
          <w:tcPr>
            <w:tcW w:w="433" w:type="pct"/>
            <w:vMerge w:val="restart"/>
            <w:shd w:val="clear" w:color="auto" w:fill="auto"/>
            <w:noWrap/>
            <w:vAlign w:val="center"/>
            <w:hideMark/>
          </w:tcPr>
          <w:p w:rsidR="00551E98" w:rsidRPr="00CC18AA" w:rsidRDefault="00551E98" w:rsidP="00CC18AA">
            <w:pPr>
              <w:spacing w:before="60" w:after="60"/>
              <w:jc w:val="center"/>
              <w:rPr>
                <w:rFonts w:cs="Arial"/>
                <w:bCs/>
                <w:color w:val="000000"/>
                <w:szCs w:val="20"/>
                <w:lang w:val="en-US" w:eastAsia="en-AU"/>
              </w:rPr>
            </w:pPr>
            <w:r w:rsidRPr="00CC18AA">
              <w:rPr>
                <w:rFonts w:cs="Arial"/>
                <w:bCs/>
                <w:color w:val="000000"/>
                <w:szCs w:val="20"/>
                <w:lang w:val="en-US" w:eastAsia="en-AU"/>
              </w:rPr>
              <w:t>River</w:t>
            </w:r>
          </w:p>
        </w:tc>
        <w:tc>
          <w:tcPr>
            <w:tcW w:w="679" w:type="pct"/>
            <w:vMerge w:val="restart"/>
            <w:shd w:val="clear" w:color="auto" w:fill="auto"/>
            <w:noWrap/>
            <w:vAlign w:val="center"/>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Gwydir River</w:t>
            </w:r>
          </w:p>
        </w:tc>
        <w:tc>
          <w:tcPr>
            <w:tcW w:w="35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GW1</w:t>
            </w:r>
          </w:p>
        </w:tc>
        <w:tc>
          <w:tcPr>
            <w:tcW w:w="432" w:type="pct"/>
            <w:shd w:val="clear" w:color="auto" w:fill="auto"/>
            <w:noWrap/>
            <w:vAlign w:val="center"/>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rPr>
              <w:t>803980</w:t>
            </w:r>
          </w:p>
        </w:tc>
        <w:tc>
          <w:tcPr>
            <w:tcW w:w="425" w:type="pct"/>
            <w:shd w:val="clear" w:color="auto" w:fill="auto"/>
            <w:noWrap/>
            <w:vAlign w:val="center"/>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rPr>
              <w:t>6735027</w:t>
            </w:r>
          </w:p>
        </w:tc>
        <w:tc>
          <w:tcPr>
            <w:tcW w:w="31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31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362"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31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54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sym w:font="Wingdings" w:char="F0FC"/>
            </w:r>
          </w:p>
        </w:tc>
        <w:tc>
          <w:tcPr>
            <w:tcW w:w="333" w:type="pct"/>
            <w:shd w:val="clear" w:color="auto" w:fill="auto"/>
            <w:noWrap/>
          </w:tcPr>
          <w:p w:rsidR="00551E98" w:rsidRPr="00CC18AA" w:rsidRDefault="00551E98" w:rsidP="00CC18AA">
            <w:pPr>
              <w:spacing w:before="60" w:after="60"/>
              <w:jc w:val="center"/>
              <w:rPr>
                <w:rFonts w:cs="Arial"/>
                <w:color w:val="000000"/>
                <w:szCs w:val="20"/>
                <w:lang w:val="en-US" w:eastAsia="en-AU"/>
              </w:rPr>
            </w:pPr>
          </w:p>
        </w:tc>
        <w:tc>
          <w:tcPr>
            <w:tcW w:w="505" w:type="pct"/>
            <w:shd w:val="clear" w:color="auto" w:fill="auto"/>
            <w:noWrap/>
          </w:tcPr>
          <w:p w:rsidR="00551E98" w:rsidRPr="00CC18AA" w:rsidRDefault="00551E98" w:rsidP="00CC18AA">
            <w:pPr>
              <w:spacing w:before="60" w:after="60"/>
              <w:jc w:val="center"/>
              <w:rPr>
                <w:rFonts w:cs="Arial"/>
                <w:color w:val="000000"/>
                <w:szCs w:val="20"/>
                <w:lang w:val="en-US" w:eastAsia="en-AU"/>
              </w:rPr>
            </w:pPr>
          </w:p>
        </w:tc>
      </w:tr>
      <w:tr w:rsidR="00CC18AA" w:rsidRPr="00551E98" w:rsidTr="00CC18AA">
        <w:trPr>
          <w:trHeight w:val="300"/>
        </w:trPr>
        <w:tc>
          <w:tcPr>
            <w:tcW w:w="433" w:type="pct"/>
            <w:vMerge/>
            <w:shd w:val="clear" w:color="auto" w:fill="auto"/>
            <w:vAlign w:val="center"/>
            <w:hideMark/>
          </w:tcPr>
          <w:p w:rsidR="00551E98" w:rsidRPr="00CC18AA" w:rsidRDefault="00551E98" w:rsidP="00CC18AA">
            <w:pPr>
              <w:spacing w:before="60" w:after="60"/>
              <w:jc w:val="center"/>
              <w:rPr>
                <w:rFonts w:cs="Arial"/>
                <w:bCs/>
                <w:color w:val="000000"/>
                <w:szCs w:val="20"/>
                <w:lang w:val="en-US" w:eastAsia="en-AU"/>
              </w:rPr>
            </w:pPr>
          </w:p>
        </w:tc>
        <w:tc>
          <w:tcPr>
            <w:tcW w:w="679" w:type="pct"/>
            <w:vMerge/>
            <w:shd w:val="clear" w:color="auto" w:fill="auto"/>
            <w:vAlign w:val="center"/>
            <w:hideMark/>
          </w:tcPr>
          <w:p w:rsidR="00551E98" w:rsidRPr="00CC18AA" w:rsidRDefault="00551E98" w:rsidP="00CC18AA">
            <w:pPr>
              <w:spacing w:before="60" w:after="60"/>
              <w:jc w:val="center"/>
              <w:rPr>
                <w:rFonts w:cs="Arial"/>
                <w:color w:val="000000"/>
                <w:szCs w:val="20"/>
                <w:lang w:val="en-US" w:eastAsia="en-AU"/>
              </w:rPr>
            </w:pPr>
          </w:p>
        </w:tc>
        <w:tc>
          <w:tcPr>
            <w:tcW w:w="35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GW2</w:t>
            </w:r>
          </w:p>
        </w:tc>
        <w:tc>
          <w:tcPr>
            <w:tcW w:w="432" w:type="pct"/>
            <w:shd w:val="clear" w:color="auto" w:fill="auto"/>
            <w:vAlign w:val="center"/>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rPr>
              <w:t>791299</w:t>
            </w:r>
          </w:p>
        </w:tc>
        <w:tc>
          <w:tcPr>
            <w:tcW w:w="425" w:type="pct"/>
            <w:shd w:val="clear" w:color="auto" w:fill="auto"/>
            <w:vAlign w:val="center"/>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rPr>
              <w:t>6740442</w:t>
            </w:r>
          </w:p>
        </w:tc>
        <w:tc>
          <w:tcPr>
            <w:tcW w:w="31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31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362"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31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54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sym w:font="Wingdings" w:char="F0FC"/>
            </w:r>
          </w:p>
        </w:tc>
        <w:tc>
          <w:tcPr>
            <w:tcW w:w="333"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sym w:font="Wingdings" w:char="F0FC"/>
            </w:r>
          </w:p>
        </w:tc>
        <w:tc>
          <w:tcPr>
            <w:tcW w:w="50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sym w:font="Wingdings" w:char="F0FC"/>
            </w:r>
          </w:p>
        </w:tc>
      </w:tr>
      <w:tr w:rsidR="00CC18AA" w:rsidRPr="00551E98" w:rsidTr="00CC18AA">
        <w:trPr>
          <w:trHeight w:val="300"/>
        </w:trPr>
        <w:tc>
          <w:tcPr>
            <w:tcW w:w="433" w:type="pct"/>
            <w:vMerge/>
            <w:shd w:val="clear" w:color="auto" w:fill="auto"/>
            <w:vAlign w:val="center"/>
            <w:hideMark/>
          </w:tcPr>
          <w:p w:rsidR="00551E98" w:rsidRPr="00CC18AA" w:rsidRDefault="00551E98" w:rsidP="00CC18AA">
            <w:pPr>
              <w:spacing w:before="60" w:after="60"/>
              <w:jc w:val="center"/>
              <w:rPr>
                <w:rFonts w:cs="Arial"/>
                <w:bCs/>
                <w:color w:val="000000"/>
                <w:szCs w:val="20"/>
                <w:lang w:val="en-US" w:eastAsia="en-AU"/>
              </w:rPr>
            </w:pPr>
          </w:p>
        </w:tc>
        <w:tc>
          <w:tcPr>
            <w:tcW w:w="679" w:type="pct"/>
            <w:vMerge/>
            <w:shd w:val="clear" w:color="auto" w:fill="auto"/>
            <w:vAlign w:val="center"/>
            <w:hideMark/>
          </w:tcPr>
          <w:p w:rsidR="00551E98" w:rsidRPr="00CC18AA" w:rsidRDefault="00551E98" w:rsidP="00CC18AA">
            <w:pPr>
              <w:spacing w:before="60" w:after="60"/>
              <w:jc w:val="center"/>
              <w:rPr>
                <w:rFonts w:cs="Arial"/>
                <w:color w:val="000000"/>
                <w:szCs w:val="20"/>
                <w:lang w:val="en-US" w:eastAsia="en-AU"/>
              </w:rPr>
            </w:pPr>
          </w:p>
        </w:tc>
        <w:tc>
          <w:tcPr>
            <w:tcW w:w="35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GW3</w:t>
            </w:r>
          </w:p>
        </w:tc>
        <w:tc>
          <w:tcPr>
            <w:tcW w:w="432" w:type="pct"/>
            <w:shd w:val="clear" w:color="auto" w:fill="auto"/>
            <w:vAlign w:val="center"/>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rPr>
              <w:t>783417</w:t>
            </w:r>
          </w:p>
        </w:tc>
        <w:tc>
          <w:tcPr>
            <w:tcW w:w="425" w:type="pct"/>
            <w:shd w:val="clear" w:color="auto" w:fill="auto"/>
            <w:vAlign w:val="center"/>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rPr>
              <w:t>6743136</w:t>
            </w:r>
          </w:p>
        </w:tc>
        <w:tc>
          <w:tcPr>
            <w:tcW w:w="31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31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362"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31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54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sym w:font="Wingdings" w:char="F0FC"/>
            </w:r>
          </w:p>
        </w:tc>
        <w:tc>
          <w:tcPr>
            <w:tcW w:w="333"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sym w:font="Wingdings" w:char="F0FC"/>
            </w:r>
          </w:p>
        </w:tc>
        <w:tc>
          <w:tcPr>
            <w:tcW w:w="50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sym w:font="Wingdings" w:char="F0FC"/>
            </w:r>
          </w:p>
        </w:tc>
      </w:tr>
      <w:tr w:rsidR="00CC18AA" w:rsidRPr="00551E98" w:rsidTr="00CC18AA">
        <w:trPr>
          <w:trHeight w:val="300"/>
        </w:trPr>
        <w:tc>
          <w:tcPr>
            <w:tcW w:w="433" w:type="pct"/>
            <w:vMerge/>
            <w:shd w:val="clear" w:color="auto" w:fill="auto"/>
            <w:vAlign w:val="center"/>
            <w:hideMark/>
          </w:tcPr>
          <w:p w:rsidR="00551E98" w:rsidRPr="00CC18AA" w:rsidRDefault="00551E98" w:rsidP="00CC18AA">
            <w:pPr>
              <w:spacing w:before="60" w:after="60"/>
              <w:jc w:val="center"/>
              <w:rPr>
                <w:rFonts w:cs="Arial"/>
                <w:bCs/>
                <w:color w:val="000000"/>
                <w:szCs w:val="20"/>
                <w:lang w:val="en-US" w:eastAsia="en-AU"/>
              </w:rPr>
            </w:pPr>
          </w:p>
        </w:tc>
        <w:tc>
          <w:tcPr>
            <w:tcW w:w="679" w:type="pct"/>
            <w:vMerge/>
            <w:shd w:val="clear" w:color="auto" w:fill="auto"/>
            <w:vAlign w:val="center"/>
            <w:hideMark/>
          </w:tcPr>
          <w:p w:rsidR="00551E98" w:rsidRPr="00CC18AA" w:rsidRDefault="00551E98" w:rsidP="00CC18AA">
            <w:pPr>
              <w:spacing w:before="60" w:after="60"/>
              <w:jc w:val="center"/>
              <w:rPr>
                <w:rFonts w:cs="Arial"/>
                <w:color w:val="000000"/>
                <w:szCs w:val="20"/>
                <w:lang w:val="en-US" w:eastAsia="en-AU"/>
              </w:rPr>
            </w:pPr>
          </w:p>
        </w:tc>
        <w:tc>
          <w:tcPr>
            <w:tcW w:w="35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GW4</w:t>
            </w:r>
          </w:p>
        </w:tc>
        <w:tc>
          <w:tcPr>
            <w:tcW w:w="432" w:type="pct"/>
            <w:shd w:val="clear" w:color="auto" w:fill="auto"/>
            <w:vAlign w:val="center"/>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rPr>
              <w:t>775598</w:t>
            </w:r>
          </w:p>
        </w:tc>
        <w:tc>
          <w:tcPr>
            <w:tcW w:w="425" w:type="pct"/>
            <w:shd w:val="clear" w:color="auto" w:fill="auto"/>
            <w:vAlign w:val="center"/>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rPr>
              <w:t>6741492</w:t>
            </w:r>
          </w:p>
        </w:tc>
        <w:tc>
          <w:tcPr>
            <w:tcW w:w="31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31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362"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31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54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sym w:font="Wingdings" w:char="F0FC"/>
            </w:r>
          </w:p>
        </w:tc>
        <w:tc>
          <w:tcPr>
            <w:tcW w:w="333"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sym w:font="Wingdings" w:char="F0FC"/>
            </w:r>
          </w:p>
        </w:tc>
        <w:tc>
          <w:tcPr>
            <w:tcW w:w="50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sym w:font="Wingdings" w:char="F0FC"/>
            </w:r>
          </w:p>
        </w:tc>
      </w:tr>
      <w:tr w:rsidR="00CC18AA" w:rsidRPr="00551E98" w:rsidTr="00CC18AA">
        <w:trPr>
          <w:trHeight w:val="300"/>
        </w:trPr>
        <w:tc>
          <w:tcPr>
            <w:tcW w:w="433" w:type="pct"/>
            <w:vMerge/>
            <w:shd w:val="clear" w:color="auto" w:fill="auto"/>
            <w:vAlign w:val="center"/>
            <w:hideMark/>
          </w:tcPr>
          <w:p w:rsidR="00551E98" w:rsidRPr="00CC18AA" w:rsidRDefault="00551E98" w:rsidP="00CC18AA">
            <w:pPr>
              <w:spacing w:before="60" w:after="60"/>
              <w:jc w:val="center"/>
              <w:rPr>
                <w:rFonts w:cs="Arial"/>
                <w:bCs/>
                <w:color w:val="000000"/>
                <w:szCs w:val="20"/>
                <w:lang w:val="en-US" w:eastAsia="en-AU"/>
              </w:rPr>
            </w:pPr>
          </w:p>
        </w:tc>
        <w:tc>
          <w:tcPr>
            <w:tcW w:w="679" w:type="pct"/>
            <w:vMerge/>
            <w:shd w:val="clear" w:color="auto" w:fill="auto"/>
            <w:vAlign w:val="center"/>
            <w:hideMark/>
          </w:tcPr>
          <w:p w:rsidR="00551E98" w:rsidRPr="00CC18AA" w:rsidRDefault="00551E98" w:rsidP="00CC18AA">
            <w:pPr>
              <w:spacing w:before="60" w:after="60"/>
              <w:jc w:val="center"/>
              <w:rPr>
                <w:rFonts w:cs="Arial"/>
                <w:color w:val="000000"/>
                <w:szCs w:val="20"/>
                <w:lang w:val="en-US" w:eastAsia="en-AU"/>
              </w:rPr>
            </w:pPr>
          </w:p>
        </w:tc>
        <w:tc>
          <w:tcPr>
            <w:tcW w:w="35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GW5</w:t>
            </w:r>
          </w:p>
        </w:tc>
        <w:tc>
          <w:tcPr>
            <w:tcW w:w="432" w:type="pct"/>
            <w:shd w:val="clear" w:color="auto" w:fill="auto"/>
            <w:noWrap/>
            <w:vAlign w:val="center"/>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rPr>
              <w:t>747063</w:t>
            </w:r>
          </w:p>
        </w:tc>
        <w:tc>
          <w:tcPr>
            <w:tcW w:w="425" w:type="pct"/>
            <w:shd w:val="clear" w:color="auto" w:fill="auto"/>
            <w:vAlign w:val="center"/>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rPr>
              <w:t>6745337</w:t>
            </w:r>
          </w:p>
        </w:tc>
        <w:tc>
          <w:tcPr>
            <w:tcW w:w="31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31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362"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31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Dry</w:t>
            </w:r>
          </w:p>
        </w:tc>
        <w:tc>
          <w:tcPr>
            <w:tcW w:w="54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sym w:font="Wingdings" w:char="F0FC"/>
            </w:r>
          </w:p>
        </w:tc>
        <w:tc>
          <w:tcPr>
            <w:tcW w:w="333" w:type="pct"/>
            <w:shd w:val="clear" w:color="auto" w:fill="auto"/>
            <w:noWrap/>
          </w:tcPr>
          <w:p w:rsidR="00551E98" w:rsidRPr="00CC18AA" w:rsidRDefault="00551E98" w:rsidP="00CC18AA">
            <w:pPr>
              <w:spacing w:before="60" w:after="60"/>
              <w:jc w:val="center"/>
              <w:rPr>
                <w:rFonts w:cs="Arial"/>
                <w:color w:val="000000"/>
                <w:szCs w:val="20"/>
                <w:lang w:val="en-US" w:eastAsia="en-AU"/>
              </w:rPr>
            </w:pPr>
          </w:p>
        </w:tc>
        <w:tc>
          <w:tcPr>
            <w:tcW w:w="505" w:type="pct"/>
            <w:shd w:val="clear" w:color="auto" w:fill="auto"/>
            <w:noWrap/>
          </w:tcPr>
          <w:p w:rsidR="00551E98" w:rsidRPr="00CC18AA" w:rsidRDefault="00551E98" w:rsidP="00CC18AA">
            <w:pPr>
              <w:spacing w:before="60" w:after="60"/>
              <w:jc w:val="center"/>
              <w:rPr>
                <w:rFonts w:cs="Arial"/>
                <w:color w:val="000000"/>
                <w:szCs w:val="20"/>
                <w:lang w:val="en-US" w:eastAsia="en-AU"/>
              </w:rPr>
            </w:pPr>
          </w:p>
        </w:tc>
      </w:tr>
      <w:tr w:rsidR="00CC18AA" w:rsidRPr="00551E98" w:rsidTr="00CC18AA">
        <w:trPr>
          <w:trHeight w:val="300"/>
        </w:trPr>
        <w:tc>
          <w:tcPr>
            <w:tcW w:w="433" w:type="pct"/>
            <w:vMerge/>
            <w:shd w:val="clear" w:color="auto" w:fill="auto"/>
            <w:vAlign w:val="center"/>
            <w:hideMark/>
          </w:tcPr>
          <w:p w:rsidR="00551E98" w:rsidRPr="00CC18AA" w:rsidRDefault="00551E98" w:rsidP="00CC18AA">
            <w:pPr>
              <w:spacing w:before="60" w:after="60"/>
              <w:jc w:val="center"/>
              <w:rPr>
                <w:rFonts w:cs="Arial"/>
                <w:bCs/>
                <w:color w:val="000000"/>
                <w:szCs w:val="20"/>
                <w:lang w:val="en-US" w:eastAsia="en-AU"/>
              </w:rPr>
            </w:pPr>
          </w:p>
        </w:tc>
        <w:tc>
          <w:tcPr>
            <w:tcW w:w="679" w:type="pct"/>
            <w:vMerge/>
            <w:shd w:val="clear" w:color="auto" w:fill="auto"/>
            <w:vAlign w:val="center"/>
            <w:hideMark/>
          </w:tcPr>
          <w:p w:rsidR="00551E98" w:rsidRPr="00CC18AA" w:rsidRDefault="00551E98" w:rsidP="00CC18AA">
            <w:pPr>
              <w:spacing w:before="60" w:after="60"/>
              <w:jc w:val="center"/>
              <w:rPr>
                <w:rFonts w:cs="Arial"/>
                <w:color w:val="000000"/>
                <w:szCs w:val="20"/>
                <w:lang w:val="en-US" w:eastAsia="en-AU"/>
              </w:rPr>
            </w:pPr>
          </w:p>
        </w:tc>
        <w:tc>
          <w:tcPr>
            <w:tcW w:w="35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GW6</w:t>
            </w:r>
          </w:p>
        </w:tc>
        <w:tc>
          <w:tcPr>
            <w:tcW w:w="432" w:type="pct"/>
            <w:shd w:val="clear" w:color="auto" w:fill="auto"/>
            <w:noWrap/>
            <w:vAlign w:val="center"/>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rPr>
              <w:t>735918</w:t>
            </w:r>
          </w:p>
        </w:tc>
        <w:tc>
          <w:tcPr>
            <w:tcW w:w="425" w:type="pct"/>
            <w:shd w:val="clear" w:color="auto" w:fill="auto"/>
            <w:vAlign w:val="center"/>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rPr>
              <w:t>6751398</w:t>
            </w:r>
          </w:p>
        </w:tc>
        <w:tc>
          <w:tcPr>
            <w:tcW w:w="31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31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362"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31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Dry</w:t>
            </w:r>
          </w:p>
        </w:tc>
        <w:tc>
          <w:tcPr>
            <w:tcW w:w="54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sym w:font="Wingdings" w:char="F0FC"/>
            </w:r>
          </w:p>
        </w:tc>
        <w:tc>
          <w:tcPr>
            <w:tcW w:w="333" w:type="pct"/>
            <w:shd w:val="clear" w:color="auto" w:fill="auto"/>
            <w:noWrap/>
          </w:tcPr>
          <w:p w:rsidR="00551E98" w:rsidRPr="00CC18AA" w:rsidRDefault="00551E98" w:rsidP="00CC18AA">
            <w:pPr>
              <w:spacing w:before="60" w:after="60"/>
              <w:jc w:val="center"/>
              <w:rPr>
                <w:rFonts w:cs="Arial"/>
                <w:color w:val="000000"/>
                <w:szCs w:val="20"/>
                <w:lang w:val="en-US" w:eastAsia="en-AU"/>
              </w:rPr>
            </w:pPr>
          </w:p>
        </w:tc>
        <w:tc>
          <w:tcPr>
            <w:tcW w:w="505" w:type="pct"/>
            <w:shd w:val="clear" w:color="auto" w:fill="auto"/>
            <w:noWrap/>
          </w:tcPr>
          <w:p w:rsidR="00551E98" w:rsidRPr="00CC18AA" w:rsidRDefault="00551E98" w:rsidP="00CC18AA">
            <w:pPr>
              <w:spacing w:before="60" w:after="60"/>
              <w:jc w:val="center"/>
              <w:rPr>
                <w:rFonts w:cs="Arial"/>
                <w:color w:val="000000"/>
                <w:szCs w:val="20"/>
                <w:lang w:val="en-US" w:eastAsia="en-AU"/>
              </w:rPr>
            </w:pPr>
          </w:p>
        </w:tc>
      </w:tr>
      <w:tr w:rsidR="00CC18AA" w:rsidRPr="00551E98" w:rsidTr="00CC18AA">
        <w:trPr>
          <w:trHeight w:val="300"/>
        </w:trPr>
        <w:tc>
          <w:tcPr>
            <w:tcW w:w="433" w:type="pct"/>
            <w:vMerge/>
            <w:shd w:val="clear" w:color="auto" w:fill="auto"/>
            <w:vAlign w:val="center"/>
            <w:hideMark/>
          </w:tcPr>
          <w:p w:rsidR="00551E98" w:rsidRPr="00CC18AA" w:rsidRDefault="00551E98" w:rsidP="00CC18AA">
            <w:pPr>
              <w:spacing w:before="60" w:after="60"/>
              <w:jc w:val="center"/>
              <w:rPr>
                <w:rFonts w:cs="Arial"/>
                <w:bCs/>
                <w:color w:val="000000"/>
                <w:szCs w:val="20"/>
                <w:lang w:val="en-US" w:eastAsia="en-AU"/>
              </w:rPr>
            </w:pPr>
          </w:p>
        </w:tc>
        <w:tc>
          <w:tcPr>
            <w:tcW w:w="679" w:type="pct"/>
            <w:vMerge w:val="restart"/>
            <w:shd w:val="clear" w:color="auto" w:fill="auto"/>
            <w:noWrap/>
            <w:vAlign w:val="center"/>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Mehi River</w:t>
            </w:r>
          </w:p>
        </w:tc>
        <w:tc>
          <w:tcPr>
            <w:tcW w:w="35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ME1</w:t>
            </w:r>
          </w:p>
        </w:tc>
        <w:tc>
          <w:tcPr>
            <w:tcW w:w="432" w:type="pct"/>
            <w:shd w:val="clear" w:color="auto" w:fill="auto"/>
            <w:vAlign w:val="center"/>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rPr>
              <w:t>793235</w:t>
            </w:r>
          </w:p>
        </w:tc>
        <w:tc>
          <w:tcPr>
            <w:tcW w:w="425" w:type="pct"/>
            <w:shd w:val="clear" w:color="auto" w:fill="auto"/>
            <w:vAlign w:val="center"/>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rPr>
              <w:t>6736492</w:t>
            </w:r>
          </w:p>
        </w:tc>
        <w:tc>
          <w:tcPr>
            <w:tcW w:w="31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31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362"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31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54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sym w:font="Wingdings" w:char="F0FC"/>
            </w:r>
          </w:p>
        </w:tc>
        <w:tc>
          <w:tcPr>
            <w:tcW w:w="333" w:type="pct"/>
            <w:shd w:val="clear" w:color="auto" w:fill="auto"/>
            <w:noWrap/>
          </w:tcPr>
          <w:p w:rsidR="00551E98" w:rsidRPr="00CC18AA" w:rsidRDefault="00551E98" w:rsidP="00CC18AA">
            <w:pPr>
              <w:spacing w:before="60" w:after="60"/>
              <w:jc w:val="center"/>
              <w:rPr>
                <w:rFonts w:cs="Arial"/>
                <w:color w:val="000000"/>
                <w:szCs w:val="20"/>
                <w:lang w:val="en-US" w:eastAsia="en-AU"/>
              </w:rPr>
            </w:pPr>
          </w:p>
        </w:tc>
        <w:tc>
          <w:tcPr>
            <w:tcW w:w="50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sym w:font="Wingdings" w:char="F0FC"/>
            </w:r>
          </w:p>
        </w:tc>
      </w:tr>
      <w:tr w:rsidR="00CC18AA" w:rsidRPr="00551E98" w:rsidTr="00CC18AA">
        <w:trPr>
          <w:trHeight w:val="300"/>
        </w:trPr>
        <w:tc>
          <w:tcPr>
            <w:tcW w:w="433" w:type="pct"/>
            <w:vMerge/>
            <w:shd w:val="clear" w:color="auto" w:fill="auto"/>
            <w:vAlign w:val="center"/>
            <w:hideMark/>
          </w:tcPr>
          <w:p w:rsidR="00551E98" w:rsidRPr="00CC18AA" w:rsidRDefault="00551E98" w:rsidP="00CC18AA">
            <w:pPr>
              <w:spacing w:before="60" w:after="60"/>
              <w:jc w:val="center"/>
              <w:rPr>
                <w:rFonts w:cs="Arial"/>
                <w:bCs/>
                <w:color w:val="000000"/>
                <w:szCs w:val="20"/>
                <w:lang w:val="en-US" w:eastAsia="en-AU"/>
              </w:rPr>
            </w:pPr>
          </w:p>
        </w:tc>
        <w:tc>
          <w:tcPr>
            <w:tcW w:w="679" w:type="pct"/>
            <w:vMerge/>
            <w:shd w:val="clear" w:color="auto" w:fill="auto"/>
            <w:vAlign w:val="center"/>
            <w:hideMark/>
          </w:tcPr>
          <w:p w:rsidR="00551E98" w:rsidRPr="00CC18AA" w:rsidRDefault="00551E98" w:rsidP="00CC18AA">
            <w:pPr>
              <w:spacing w:before="60" w:after="60"/>
              <w:jc w:val="center"/>
              <w:rPr>
                <w:rFonts w:cs="Arial"/>
                <w:color w:val="000000"/>
                <w:szCs w:val="20"/>
                <w:lang w:val="en-US" w:eastAsia="en-AU"/>
              </w:rPr>
            </w:pPr>
          </w:p>
        </w:tc>
        <w:tc>
          <w:tcPr>
            <w:tcW w:w="35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ME2</w:t>
            </w:r>
          </w:p>
        </w:tc>
        <w:tc>
          <w:tcPr>
            <w:tcW w:w="432" w:type="pct"/>
            <w:shd w:val="clear" w:color="auto" w:fill="auto"/>
            <w:vAlign w:val="center"/>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rPr>
              <w:t>753567</w:t>
            </w:r>
          </w:p>
        </w:tc>
        <w:tc>
          <w:tcPr>
            <w:tcW w:w="425" w:type="pct"/>
            <w:shd w:val="clear" w:color="auto" w:fill="auto"/>
            <w:vAlign w:val="center"/>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rPr>
              <w:t>6726597</w:t>
            </w:r>
          </w:p>
        </w:tc>
        <w:tc>
          <w:tcPr>
            <w:tcW w:w="31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31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362"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31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54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sym w:font="Wingdings" w:char="F0FC"/>
            </w:r>
          </w:p>
        </w:tc>
        <w:tc>
          <w:tcPr>
            <w:tcW w:w="333" w:type="pct"/>
            <w:shd w:val="clear" w:color="auto" w:fill="auto"/>
            <w:noWrap/>
          </w:tcPr>
          <w:p w:rsidR="00551E98" w:rsidRPr="00CC18AA" w:rsidRDefault="00551E98" w:rsidP="00CC18AA">
            <w:pPr>
              <w:spacing w:before="60" w:after="60"/>
              <w:jc w:val="center"/>
              <w:rPr>
                <w:rFonts w:cs="Arial"/>
                <w:color w:val="000000"/>
                <w:szCs w:val="20"/>
                <w:lang w:val="en-US" w:eastAsia="en-AU"/>
              </w:rPr>
            </w:pPr>
          </w:p>
        </w:tc>
        <w:tc>
          <w:tcPr>
            <w:tcW w:w="50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sym w:font="Wingdings" w:char="F0FC"/>
            </w:r>
          </w:p>
        </w:tc>
      </w:tr>
      <w:tr w:rsidR="00CC18AA" w:rsidRPr="00551E98" w:rsidTr="00CC18AA">
        <w:trPr>
          <w:trHeight w:val="300"/>
        </w:trPr>
        <w:tc>
          <w:tcPr>
            <w:tcW w:w="433" w:type="pct"/>
            <w:vMerge/>
            <w:shd w:val="clear" w:color="auto" w:fill="auto"/>
            <w:vAlign w:val="center"/>
            <w:hideMark/>
          </w:tcPr>
          <w:p w:rsidR="00551E98" w:rsidRPr="00CC18AA" w:rsidRDefault="00551E98" w:rsidP="00CC18AA">
            <w:pPr>
              <w:spacing w:before="60" w:after="60"/>
              <w:jc w:val="center"/>
              <w:rPr>
                <w:rFonts w:cs="Arial"/>
                <w:bCs/>
                <w:color w:val="000000"/>
                <w:szCs w:val="20"/>
                <w:lang w:val="en-US" w:eastAsia="en-AU"/>
              </w:rPr>
            </w:pPr>
          </w:p>
        </w:tc>
        <w:tc>
          <w:tcPr>
            <w:tcW w:w="679" w:type="pct"/>
            <w:vMerge/>
            <w:shd w:val="clear" w:color="auto" w:fill="auto"/>
            <w:vAlign w:val="center"/>
            <w:hideMark/>
          </w:tcPr>
          <w:p w:rsidR="00551E98" w:rsidRPr="00CC18AA" w:rsidRDefault="00551E98" w:rsidP="00CC18AA">
            <w:pPr>
              <w:spacing w:before="60" w:after="60"/>
              <w:jc w:val="center"/>
              <w:rPr>
                <w:rFonts w:cs="Arial"/>
                <w:color w:val="000000"/>
                <w:szCs w:val="20"/>
                <w:lang w:val="en-US" w:eastAsia="en-AU"/>
              </w:rPr>
            </w:pPr>
          </w:p>
        </w:tc>
        <w:tc>
          <w:tcPr>
            <w:tcW w:w="35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ME3</w:t>
            </w:r>
          </w:p>
        </w:tc>
        <w:tc>
          <w:tcPr>
            <w:tcW w:w="432" w:type="pct"/>
            <w:shd w:val="clear" w:color="auto" w:fill="auto"/>
            <w:vAlign w:val="center"/>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rPr>
              <w:t>719420</w:t>
            </w:r>
          </w:p>
        </w:tc>
        <w:tc>
          <w:tcPr>
            <w:tcW w:w="425" w:type="pct"/>
            <w:shd w:val="clear" w:color="auto" w:fill="auto"/>
            <w:vAlign w:val="center"/>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rPr>
              <w:t>6731644</w:t>
            </w:r>
          </w:p>
        </w:tc>
        <w:tc>
          <w:tcPr>
            <w:tcW w:w="31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31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362"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31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54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sym w:font="Wingdings" w:char="F0FC"/>
            </w:r>
          </w:p>
        </w:tc>
        <w:tc>
          <w:tcPr>
            <w:tcW w:w="333" w:type="pct"/>
            <w:shd w:val="clear" w:color="auto" w:fill="auto"/>
            <w:noWrap/>
          </w:tcPr>
          <w:p w:rsidR="00551E98" w:rsidRPr="00CC18AA" w:rsidRDefault="00551E98" w:rsidP="00CC18AA">
            <w:pPr>
              <w:spacing w:before="60" w:after="60"/>
              <w:jc w:val="center"/>
              <w:rPr>
                <w:rFonts w:cs="Arial"/>
                <w:color w:val="000000"/>
                <w:szCs w:val="20"/>
                <w:lang w:val="en-US" w:eastAsia="en-AU"/>
              </w:rPr>
            </w:pPr>
          </w:p>
        </w:tc>
        <w:tc>
          <w:tcPr>
            <w:tcW w:w="50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sym w:font="Wingdings" w:char="F0FC"/>
            </w:r>
          </w:p>
        </w:tc>
      </w:tr>
      <w:tr w:rsidR="00CC18AA" w:rsidRPr="00551E98" w:rsidTr="00CC18AA">
        <w:trPr>
          <w:trHeight w:val="300"/>
        </w:trPr>
        <w:tc>
          <w:tcPr>
            <w:tcW w:w="433" w:type="pct"/>
            <w:vMerge/>
            <w:shd w:val="clear" w:color="auto" w:fill="auto"/>
            <w:vAlign w:val="center"/>
            <w:hideMark/>
          </w:tcPr>
          <w:p w:rsidR="00551E98" w:rsidRPr="00CC18AA" w:rsidRDefault="00551E98" w:rsidP="00CC18AA">
            <w:pPr>
              <w:spacing w:before="60" w:after="60"/>
              <w:jc w:val="center"/>
              <w:rPr>
                <w:rFonts w:cs="Arial"/>
                <w:bCs/>
                <w:color w:val="000000"/>
                <w:szCs w:val="20"/>
                <w:lang w:val="en-US" w:eastAsia="en-AU"/>
              </w:rPr>
            </w:pPr>
          </w:p>
        </w:tc>
        <w:tc>
          <w:tcPr>
            <w:tcW w:w="679" w:type="pct"/>
            <w:vMerge w:val="restart"/>
            <w:shd w:val="clear" w:color="auto" w:fill="auto"/>
            <w:noWrap/>
            <w:vAlign w:val="center"/>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Moomin Creek</w:t>
            </w:r>
          </w:p>
        </w:tc>
        <w:tc>
          <w:tcPr>
            <w:tcW w:w="35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MO1</w:t>
            </w:r>
          </w:p>
        </w:tc>
        <w:tc>
          <w:tcPr>
            <w:tcW w:w="432" w:type="pct"/>
            <w:shd w:val="clear" w:color="auto" w:fill="auto"/>
            <w:vAlign w:val="center"/>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rPr>
              <w:t>753679</w:t>
            </w:r>
          </w:p>
        </w:tc>
        <w:tc>
          <w:tcPr>
            <w:tcW w:w="425" w:type="pct"/>
            <w:shd w:val="clear" w:color="auto" w:fill="auto"/>
            <w:vAlign w:val="center"/>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rPr>
              <w:t>6721789</w:t>
            </w:r>
          </w:p>
        </w:tc>
        <w:tc>
          <w:tcPr>
            <w:tcW w:w="31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31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362"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31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54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sym w:font="Wingdings" w:char="F0FC"/>
            </w:r>
          </w:p>
        </w:tc>
        <w:tc>
          <w:tcPr>
            <w:tcW w:w="333" w:type="pct"/>
            <w:shd w:val="clear" w:color="auto" w:fill="auto"/>
            <w:noWrap/>
          </w:tcPr>
          <w:p w:rsidR="00551E98" w:rsidRPr="00CC18AA" w:rsidRDefault="00551E98" w:rsidP="00CC18AA">
            <w:pPr>
              <w:spacing w:before="60" w:after="60"/>
              <w:jc w:val="center"/>
              <w:rPr>
                <w:rFonts w:cs="Arial"/>
                <w:color w:val="000000"/>
                <w:szCs w:val="20"/>
                <w:lang w:val="en-US" w:eastAsia="en-AU"/>
              </w:rPr>
            </w:pPr>
          </w:p>
        </w:tc>
        <w:tc>
          <w:tcPr>
            <w:tcW w:w="50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sym w:font="Wingdings" w:char="F0FC"/>
            </w:r>
          </w:p>
        </w:tc>
      </w:tr>
      <w:tr w:rsidR="00CC18AA" w:rsidRPr="00551E98" w:rsidTr="00CC18AA">
        <w:trPr>
          <w:trHeight w:val="300"/>
        </w:trPr>
        <w:tc>
          <w:tcPr>
            <w:tcW w:w="433" w:type="pct"/>
            <w:vMerge/>
            <w:shd w:val="clear" w:color="auto" w:fill="auto"/>
            <w:hideMark/>
          </w:tcPr>
          <w:p w:rsidR="00551E98" w:rsidRPr="00CC18AA" w:rsidRDefault="00551E98" w:rsidP="00CC18AA">
            <w:pPr>
              <w:spacing w:before="60" w:after="60"/>
              <w:rPr>
                <w:rFonts w:cs="Arial"/>
                <w:bCs/>
                <w:color w:val="000000"/>
                <w:szCs w:val="20"/>
                <w:lang w:val="en-US" w:eastAsia="en-AU"/>
              </w:rPr>
            </w:pPr>
          </w:p>
        </w:tc>
        <w:tc>
          <w:tcPr>
            <w:tcW w:w="679" w:type="pct"/>
            <w:vMerge/>
            <w:shd w:val="clear" w:color="auto" w:fill="auto"/>
            <w:hideMark/>
          </w:tcPr>
          <w:p w:rsidR="00551E98" w:rsidRPr="00CC18AA" w:rsidRDefault="00551E98" w:rsidP="00CC18AA">
            <w:pPr>
              <w:spacing w:before="60" w:after="60"/>
              <w:rPr>
                <w:rFonts w:cs="Arial"/>
                <w:color w:val="000000"/>
                <w:szCs w:val="20"/>
                <w:lang w:val="en-US" w:eastAsia="en-AU"/>
              </w:rPr>
            </w:pPr>
          </w:p>
        </w:tc>
        <w:tc>
          <w:tcPr>
            <w:tcW w:w="35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MO2</w:t>
            </w:r>
          </w:p>
        </w:tc>
        <w:tc>
          <w:tcPr>
            <w:tcW w:w="432" w:type="pct"/>
            <w:shd w:val="clear" w:color="auto" w:fill="auto"/>
            <w:vAlign w:val="center"/>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rPr>
              <w:t>740017</w:t>
            </w:r>
          </w:p>
        </w:tc>
        <w:tc>
          <w:tcPr>
            <w:tcW w:w="425" w:type="pct"/>
            <w:shd w:val="clear" w:color="auto" w:fill="auto"/>
            <w:vAlign w:val="center"/>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rPr>
              <w:t>6712591</w:t>
            </w:r>
          </w:p>
        </w:tc>
        <w:tc>
          <w:tcPr>
            <w:tcW w:w="31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31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362"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31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54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sym w:font="Wingdings" w:char="F0FC"/>
            </w:r>
          </w:p>
        </w:tc>
        <w:tc>
          <w:tcPr>
            <w:tcW w:w="333" w:type="pct"/>
            <w:shd w:val="clear" w:color="auto" w:fill="auto"/>
            <w:noWrap/>
          </w:tcPr>
          <w:p w:rsidR="00551E98" w:rsidRPr="00CC18AA" w:rsidRDefault="00551E98" w:rsidP="00CC18AA">
            <w:pPr>
              <w:spacing w:before="60" w:after="60"/>
              <w:jc w:val="center"/>
              <w:rPr>
                <w:rFonts w:cs="Arial"/>
                <w:color w:val="000000"/>
                <w:szCs w:val="20"/>
                <w:lang w:val="en-US" w:eastAsia="en-AU"/>
              </w:rPr>
            </w:pPr>
          </w:p>
        </w:tc>
        <w:tc>
          <w:tcPr>
            <w:tcW w:w="50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sym w:font="Wingdings" w:char="F0FC"/>
            </w:r>
          </w:p>
        </w:tc>
      </w:tr>
      <w:tr w:rsidR="00CC18AA" w:rsidRPr="00551E98" w:rsidTr="00CC18AA">
        <w:trPr>
          <w:trHeight w:val="300"/>
        </w:trPr>
        <w:tc>
          <w:tcPr>
            <w:tcW w:w="433" w:type="pct"/>
            <w:vMerge/>
            <w:shd w:val="clear" w:color="auto" w:fill="auto"/>
            <w:hideMark/>
          </w:tcPr>
          <w:p w:rsidR="00551E98" w:rsidRPr="00CC18AA" w:rsidRDefault="00551E98" w:rsidP="00CC18AA">
            <w:pPr>
              <w:spacing w:before="60" w:after="60"/>
              <w:rPr>
                <w:rFonts w:cs="Arial"/>
                <w:bCs/>
                <w:color w:val="000000"/>
                <w:szCs w:val="20"/>
                <w:lang w:val="en-US" w:eastAsia="en-AU"/>
              </w:rPr>
            </w:pPr>
          </w:p>
        </w:tc>
        <w:tc>
          <w:tcPr>
            <w:tcW w:w="679" w:type="pct"/>
            <w:vMerge/>
            <w:shd w:val="clear" w:color="auto" w:fill="auto"/>
            <w:hideMark/>
          </w:tcPr>
          <w:p w:rsidR="00551E98" w:rsidRPr="00CC18AA" w:rsidRDefault="00551E98" w:rsidP="00CC18AA">
            <w:pPr>
              <w:spacing w:before="60" w:after="60"/>
              <w:rPr>
                <w:rFonts w:cs="Arial"/>
                <w:color w:val="000000"/>
                <w:szCs w:val="20"/>
                <w:lang w:val="en-US" w:eastAsia="en-AU"/>
              </w:rPr>
            </w:pPr>
          </w:p>
        </w:tc>
        <w:tc>
          <w:tcPr>
            <w:tcW w:w="35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MO3</w:t>
            </w:r>
          </w:p>
        </w:tc>
        <w:tc>
          <w:tcPr>
            <w:tcW w:w="432" w:type="pct"/>
            <w:shd w:val="clear" w:color="auto" w:fill="auto"/>
            <w:vAlign w:val="center"/>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rPr>
              <w:t>708808</w:t>
            </w:r>
          </w:p>
        </w:tc>
        <w:tc>
          <w:tcPr>
            <w:tcW w:w="425" w:type="pct"/>
            <w:shd w:val="clear" w:color="auto" w:fill="auto"/>
            <w:vAlign w:val="center"/>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rPr>
              <w:t>6714077</w:t>
            </w:r>
          </w:p>
        </w:tc>
        <w:tc>
          <w:tcPr>
            <w:tcW w:w="31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31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362"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310"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54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sym w:font="Wingdings" w:char="F0FC"/>
            </w:r>
          </w:p>
        </w:tc>
        <w:tc>
          <w:tcPr>
            <w:tcW w:w="333" w:type="pct"/>
            <w:shd w:val="clear" w:color="auto" w:fill="auto"/>
            <w:noWrap/>
          </w:tcPr>
          <w:p w:rsidR="00551E98" w:rsidRPr="00CC18AA" w:rsidRDefault="00551E98" w:rsidP="00CC18AA">
            <w:pPr>
              <w:spacing w:before="60" w:after="60"/>
              <w:jc w:val="center"/>
              <w:rPr>
                <w:rFonts w:cs="Arial"/>
                <w:color w:val="000000"/>
                <w:szCs w:val="20"/>
                <w:lang w:val="en-US" w:eastAsia="en-AU"/>
              </w:rPr>
            </w:pPr>
          </w:p>
        </w:tc>
        <w:tc>
          <w:tcPr>
            <w:tcW w:w="505" w:type="pct"/>
            <w:shd w:val="clear" w:color="auto" w:fill="auto"/>
            <w:noWrap/>
            <w:hideMark/>
          </w:tcPr>
          <w:p w:rsidR="00551E98" w:rsidRPr="00CC18AA" w:rsidRDefault="00551E98" w:rsidP="00CC18AA">
            <w:pPr>
              <w:spacing w:before="60" w:after="60"/>
              <w:jc w:val="center"/>
              <w:rPr>
                <w:rFonts w:cs="Arial"/>
                <w:color w:val="000000"/>
                <w:szCs w:val="20"/>
                <w:lang w:val="en-US" w:eastAsia="en-AU"/>
              </w:rPr>
            </w:pPr>
            <w:r w:rsidRPr="00CC18AA">
              <w:rPr>
                <w:rFonts w:cs="Arial"/>
                <w:color w:val="000000"/>
                <w:szCs w:val="20"/>
                <w:lang w:val="en-US" w:eastAsia="en-AU"/>
              </w:rPr>
              <w:sym w:font="Wingdings" w:char="F0FC"/>
            </w:r>
          </w:p>
        </w:tc>
      </w:tr>
    </w:tbl>
    <w:p w:rsidR="00BC6562" w:rsidRDefault="004176FF" w:rsidP="00625CF5">
      <w:pPr>
        <w:keepNext/>
        <w:spacing w:after="0" w:line="240" w:lineRule="auto"/>
        <w:jc w:val="left"/>
      </w:pPr>
      <w:r>
        <w:rPr>
          <w:noProof/>
          <w:lang w:eastAsia="en-AU"/>
        </w:rPr>
        <mc:AlternateContent>
          <mc:Choice Requires="wps">
            <w:drawing>
              <wp:anchor distT="0" distB="0" distL="114300" distR="114300" simplePos="0" relativeHeight="251669504" behindDoc="0" locked="0" layoutInCell="1" allowOverlap="1">
                <wp:simplePos x="0" y="0"/>
                <wp:positionH relativeFrom="column">
                  <wp:posOffset>6031865</wp:posOffset>
                </wp:positionH>
                <wp:positionV relativeFrom="paragraph">
                  <wp:posOffset>4843145</wp:posOffset>
                </wp:positionV>
                <wp:extent cx="1135380" cy="200025"/>
                <wp:effectExtent l="0" t="0" r="7620" b="9525"/>
                <wp:wrapNone/>
                <wp:docPr id="2112" name="Text Box 2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5380" cy="200025"/>
                        </a:xfrm>
                        <a:prstGeom prst="rect">
                          <a:avLst/>
                        </a:prstGeom>
                        <a:solidFill>
                          <a:sysClr val="window" lastClr="FFFFFF"/>
                        </a:solidFill>
                        <a:ln w="6350">
                          <a:noFill/>
                        </a:ln>
                        <a:effectLst/>
                      </wps:spPr>
                      <wps:txbx>
                        <w:txbxContent>
                          <w:p w:rsidR="00EA54D5" w:rsidRPr="00CC18AA" w:rsidRDefault="00EA54D5">
                            <w:pPr>
                              <w:rPr>
                                <w:b/>
                                <w:color w:val="595959"/>
                                <w:sz w:val="16"/>
                                <w:szCs w:val="16"/>
                              </w:rPr>
                            </w:pPr>
                            <w:r w:rsidRPr="00CC18AA">
                              <w:rPr>
                                <w:b/>
                                <w:color w:val="595959"/>
                                <w:sz w:val="16"/>
                                <w:szCs w:val="16"/>
                              </w:rPr>
                              <w:t>River and Creeks</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2" o:spid="_x0000_s1032" type="#_x0000_t202" style="position:absolute;margin-left:474.95pt;margin-top:381.35pt;width:89.4pt;height: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" fillcolor="window" stroked="f" strokeweight=".5pt">
                <v:path arrowok="t"/>
                <v:textbox inset="1mm,0,1mm,0">
                  <w:txbxContent>
                    <w:p w:rsidR="00EA54D5" w:rsidRPr="00CC18AA" w:rsidRDefault="00EA54D5">
                      <w:pPr>
                        <w:rPr>
                          <w:b/>
                          <w:color w:val="595959"/>
                          <w:sz w:val="16"/>
                          <w:szCs w:val="16"/>
                        </w:rPr>
                      </w:pPr>
                      <w:r w:rsidRPr="00CC18AA">
                        <w:rPr>
                          <w:b/>
                          <w:color w:val="595959"/>
                          <w:sz w:val="16"/>
                          <w:szCs w:val="16"/>
                        </w:rPr>
                        <w:t>River and Creeks</w:t>
                      </w:r>
                    </w:p>
                  </w:txbxContent>
                </v:textbox>
              </v:shape>
            </w:pict>
          </mc:Fallback>
        </mc:AlternateContent>
      </w:r>
      <w:r w:rsidRPr="008F5E11">
        <w:rPr>
          <w:noProof/>
          <w:lang w:eastAsia="en-AU"/>
        </w:rPr>
        <w:drawing>
          <wp:inline distT="0" distB="0" distL="0" distR="0">
            <wp:extent cx="7858125" cy="5562600"/>
            <wp:effectExtent l="0" t="0" r="9525" b="0"/>
            <wp:docPr id="26" name="Picture 334" descr="Y:\14ARMNRM-0001 Stage 2 LTIM Gwydir\Maps\Final report maps 2015-2016\Fig I-1 Microinvert 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Y:\14ARMNRM-0001 Stage 2 LTIM Gwydir\Maps\Final report maps 2015-2016\Fig I-1 Microinvert sites.jpg"/>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7858125" cy="5562600"/>
                    </a:xfrm>
                    <a:prstGeom prst="rect">
                      <a:avLst/>
                    </a:prstGeom>
                    <a:noFill/>
                    <a:ln>
                      <a:noFill/>
                    </a:ln>
                  </pic:spPr>
                </pic:pic>
              </a:graphicData>
            </a:graphic>
          </wp:inline>
        </w:drawing>
      </w:r>
    </w:p>
    <w:p w:rsidR="009F3BFA" w:rsidRDefault="00BC6562" w:rsidP="00625CF5">
      <w:pPr>
        <w:pStyle w:val="Caption"/>
        <w:spacing w:before="240"/>
        <w:jc w:val="left"/>
        <w:rPr>
          <w:highlight w:val="yellow"/>
        </w:rPr>
        <w:sectPr w:rsidR="009F3BFA" w:rsidSect="00625CF5">
          <w:headerReference w:type="default" r:id="rId56"/>
          <w:footerReference w:type="default" r:id="rId57"/>
          <w:type w:val="nextColumn"/>
          <w:pgSz w:w="16838" w:h="11899" w:orient="landscape"/>
          <w:pgMar w:top="1508" w:right="1219" w:bottom="1134" w:left="1480" w:header="811" w:footer="170" w:gutter="0"/>
          <w:pgNumType w:start="4" w:chapStyle="6"/>
          <w:cols w:space="708"/>
          <w:docGrid w:linePitch="360"/>
        </w:sectPr>
      </w:pPr>
      <w:bookmarkStart w:id="43" w:name="_Ref458697777"/>
      <w:r>
        <w:t xml:space="preserve">Figure </w:t>
      </w:r>
      <w:fldSimple w:instr=" STYLEREF 6 \s ">
        <w:r w:rsidR="00673DAF">
          <w:rPr>
            <w:noProof/>
          </w:rPr>
          <w:t>D</w:t>
        </w:r>
      </w:fldSimple>
      <w:r w:rsidR="00673DAF">
        <w:noBreakHyphen/>
      </w:r>
      <w:fldSimple w:instr=" SEQ Figure \* ARABIC \s 6 ">
        <w:r w:rsidR="00673DAF">
          <w:rPr>
            <w:noProof/>
          </w:rPr>
          <w:t>2</w:t>
        </w:r>
      </w:fldSimple>
      <w:bookmarkEnd w:id="43"/>
      <w:r>
        <w:t xml:space="preserve"> Location of sites sampled for the Microinvertebrate indicator</w:t>
      </w:r>
      <w:r w:rsidR="00F00C5A">
        <w:t xml:space="preserve">. See Table D-2 for site codes. </w:t>
      </w:r>
    </w:p>
    <w:p w:rsidR="00227B17" w:rsidRDefault="004176FF" w:rsidP="00227B17">
      <w:pPr>
        <w:keepNext/>
        <w:spacing w:line="240" w:lineRule="auto"/>
        <w:jc w:val="center"/>
      </w:pPr>
      <w:r w:rsidRPr="008F5E11">
        <w:rPr>
          <w:noProof/>
          <w:lang w:eastAsia="en-AU"/>
        </w:rPr>
        <w:drawing>
          <wp:inline distT="0" distB="0" distL="0" distR="0">
            <wp:extent cx="5038725" cy="3781425"/>
            <wp:effectExtent l="19050" t="19050" r="28575" b="28575"/>
            <wp:docPr id="27" name="Picture 317" descr="N:\Projects\15ARM\2427 Gwydir LTIM Stage 2 - Year 2\Fieldwork\Photo's\Gwydir photos_2016_02\P1060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N:\Projects\15ARM\2427 Gwydir LTIM Stage 2 - Year 2\Fieldwork\Photo's\Gwydir photos_2016_02\P1060383.JPG"/>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5038725" cy="3781425"/>
                    </a:xfrm>
                    <a:prstGeom prst="rect">
                      <a:avLst/>
                    </a:prstGeom>
                    <a:noFill/>
                    <a:ln w="9525" cmpd="sng">
                      <a:solidFill>
                        <a:srgbClr val="A6A6A6"/>
                      </a:solidFill>
                      <a:miter lim="800000"/>
                      <a:headEnd/>
                      <a:tailEnd/>
                    </a:ln>
                    <a:effectLst/>
                  </pic:spPr>
                </pic:pic>
              </a:graphicData>
            </a:graphic>
          </wp:inline>
        </w:drawing>
      </w:r>
      <w:r w:rsidRPr="008F5E11">
        <w:rPr>
          <w:noProof/>
          <w:lang w:eastAsia="en-AU"/>
        </w:rPr>
        <w:drawing>
          <wp:inline distT="0" distB="0" distL="0" distR="0">
            <wp:extent cx="5038725" cy="3781425"/>
            <wp:effectExtent l="19050" t="19050" r="28575" b="28575"/>
            <wp:docPr id="28" name="Picture 318" descr="N:\Projects\15ARM\2427 Gwydir LTIM Stage 2 - Year 2\Fieldwork\Photo's\Gwydir photos_2016_02\P106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N:\Projects\15ARM\2427 Gwydir LTIM Stage 2 - Year 2\Fieldwork\Photo's\Gwydir photos_2016_02\P1060236.JPG"/>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5038725" cy="3781425"/>
                    </a:xfrm>
                    <a:prstGeom prst="rect">
                      <a:avLst/>
                    </a:prstGeom>
                    <a:noFill/>
                    <a:ln w="9525" cmpd="sng">
                      <a:solidFill>
                        <a:srgbClr val="A6A6A6"/>
                      </a:solidFill>
                      <a:miter lim="800000"/>
                      <a:headEnd/>
                      <a:tailEnd/>
                    </a:ln>
                    <a:effectLst/>
                  </pic:spPr>
                </pic:pic>
              </a:graphicData>
            </a:graphic>
          </wp:inline>
        </w:drawing>
      </w:r>
    </w:p>
    <w:p w:rsidR="00227B17" w:rsidRDefault="00227B17" w:rsidP="00227B17">
      <w:pPr>
        <w:pStyle w:val="Caption"/>
      </w:pPr>
      <w:bookmarkStart w:id="44" w:name="_Ref459629462"/>
      <w:r>
        <w:t xml:space="preserve">Figure </w:t>
      </w:r>
      <w:fldSimple w:instr=" STYLEREF 6 \s ">
        <w:r w:rsidR="00673DAF">
          <w:rPr>
            <w:noProof/>
          </w:rPr>
          <w:t>D</w:t>
        </w:r>
      </w:fldSimple>
      <w:r w:rsidR="00673DAF">
        <w:noBreakHyphen/>
      </w:r>
      <w:fldSimple w:instr=" SEQ Figure \* ARABIC \s 6 ">
        <w:r w:rsidR="00673DAF">
          <w:rPr>
            <w:noProof/>
          </w:rPr>
          <w:t>3</w:t>
        </w:r>
      </w:fldSimple>
      <w:bookmarkEnd w:id="44"/>
      <w:r w:rsidR="009E6337">
        <w:t xml:space="preserve"> S</w:t>
      </w:r>
      <w:r>
        <w:t xml:space="preserve">ampling for microinvertebrates in the </w:t>
      </w:r>
      <w:r w:rsidR="009E6337">
        <w:t>Mallowa w</w:t>
      </w:r>
      <w:r>
        <w:t>etlands</w:t>
      </w:r>
      <w:r w:rsidR="009E6337">
        <w:t xml:space="preserve"> (top)</w:t>
      </w:r>
      <w:r>
        <w:t xml:space="preserve"> and </w:t>
      </w:r>
      <w:r w:rsidR="009E6337">
        <w:t>i</w:t>
      </w:r>
      <w:r>
        <w:rPr>
          <w:noProof/>
        </w:rPr>
        <w:t>nstalling light logger</w:t>
      </w:r>
      <w:r w:rsidR="009E6337">
        <w:rPr>
          <w:noProof/>
        </w:rPr>
        <w:t>s</w:t>
      </w:r>
      <w:r>
        <w:rPr>
          <w:noProof/>
        </w:rPr>
        <w:t xml:space="preserve"> for </w:t>
      </w:r>
      <w:r w:rsidR="009E6337">
        <w:rPr>
          <w:noProof/>
        </w:rPr>
        <w:t>m</w:t>
      </w:r>
      <w:r>
        <w:rPr>
          <w:noProof/>
        </w:rPr>
        <w:t>etabolism monitoring at Bunnor bird hide</w:t>
      </w:r>
      <w:r w:rsidR="009E6337">
        <w:rPr>
          <w:noProof/>
        </w:rPr>
        <w:t xml:space="preserve"> in the Gingham watercourse (bottom)</w:t>
      </w:r>
      <w:r w:rsidR="00EF6F00">
        <w:rPr>
          <w:noProof/>
        </w:rPr>
        <w:t>.</w:t>
      </w:r>
    </w:p>
    <w:p w:rsidR="00BC6562" w:rsidRDefault="00227B17" w:rsidP="005F23F1">
      <w:pPr>
        <w:pStyle w:val="Heading8"/>
      </w:pPr>
      <w:r>
        <w:br w:type="page"/>
      </w:r>
      <w:r w:rsidR="00BC6562">
        <w:t>Metabolism statistical methods</w:t>
      </w:r>
    </w:p>
    <w:p w:rsidR="00BC6562" w:rsidRDefault="009C1427" w:rsidP="00BC6562">
      <w:r>
        <w:t xml:space="preserve">A mixed-effects general linear model was used to test hypotheses for differences in metabolism between </w:t>
      </w:r>
      <w:r w:rsidR="007712A6">
        <w:t>time</w:t>
      </w:r>
      <w:r>
        <w:t xml:space="preserve"> (with 4 random levels, Sep-15, Feb-16, Mar-16 and Apr-16) and </w:t>
      </w:r>
      <w:r w:rsidR="007712A6">
        <w:t>zone</w:t>
      </w:r>
      <w:r>
        <w:t xml:space="preserve"> (with 2 fixed levels, Gingham </w:t>
      </w:r>
      <w:r w:rsidR="001C3C04">
        <w:t>watercourse</w:t>
      </w:r>
      <w:r>
        <w:t xml:space="preserve"> and Gwydir River) and </w:t>
      </w:r>
      <w:r w:rsidR="007712A6">
        <w:t>time</w:t>
      </w:r>
      <w:r>
        <w:t xml:space="preserve"> x </w:t>
      </w:r>
      <w:r w:rsidR="007712A6">
        <w:t>zone</w:t>
      </w:r>
      <w:r>
        <w:t xml:space="preserve"> interaction. </w:t>
      </w:r>
      <w:r w:rsidR="00D81812">
        <w:t xml:space="preserve"> </w:t>
      </w:r>
      <w:r>
        <w:t xml:space="preserve">Data were checked for normality using the Shapiro-Wilk test and heterogeneity of variances using the Barelett’s test for comparing between two groups and Levene’s test for comparing more than two groups. </w:t>
      </w:r>
      <w:r w:rsidR="00D81812">
        <w:t xml:space="preserve"> </w:t>
      </w:r>
      <w:r w:rsidRPr="00AF6BE8">
        <w:t xml:space="preserve">The significance level was set at 0.05. Where statistically significant </w:t>
      </w:r>
      <w:r w:rsidR="007D2398">
        <w:t xml:space="preserve">differences </w:t>
      </w:r>
      <w:r w:rsidRPr="00AF6BE8">
        <w:t xml:space="preserve">were detected, post-hoc Tukey’s Honestly Significant Difference comparisons were used to determine the source of the significant differences. </w:t>
      </w:r>
      <w:r w:rsidR="00D81812">
        <w:t xml:space="preserve"> </w:t>
      </w:r>
      <w:r>
        <w:t>The natural log (ln) transformation was applied to GPP and ER data to satisfy the assumptions of approximate normality and homogeneous variances.</w:t>
      </w:r>
    </w:p>
    <w:p w:rsidR="00BC6562" w:rsidRDefault="00BC6562" w:rsidP="00BC6562">
      <w:pPr>
        <w:pStyle w:val="Heading8"/>
      </w:pPr>
      <w:r>
        <w:t>Microinvertebrate statistical methods</w:t>
      </w:r>
    </w:p>
    <w:p w:rsidR="009C1427" w:rsidRDefault="009C1427" w:rsidP="009C1427">
      <w:r>
        <w:t>To describe and summarize the diversit</w:t>
      </w:r>
      <w:r w:rsidR="007712A6">
        <w:t>y of microinvertebrate communities</w:t>
      </w:r>
      <w:r>
        <w:t xml:space="preserve">, taxa richness (S), Shannon Weiner diversity (d) and density (number of individual/L) were calculated in PRIMER v6.1.13 using the DIVERSE function. </w:t>
      </w:r>
    </w:p>
    <w:p w:rsidR="009C1427" w:rsidRDefault="009C1427" w:rsidP="009C1427">
      <w:r>
        <w:t xml:space="preserve">A mixed-effects general linear model was used to test hypotheses for differences in microinvertebrate taxa richness, diversity and density between </w:t>
      </w:r>
      <w:r w:rsidR="007712A6">
        <w:t>habitat</w:t>
      </w:r>
      <w:r>
        <w:t xml:space="preserve"> (with 2 fixed levels, benthic and pelagic), </w:t>
      </w:r>
      <w:r w:rsidR="007712A6">
        <w:t>time</w:t>
      </w:r>
      <w:r>
        <w:t xml:space="preserve"> (with 4 random levels, Sep-15, Feb-16, Mar-16 and Apr-16), </w:t>
      </w:r>
      <w:r w:rsidR="007712A6">
        <w:t>zone</w:t>
      </w:r>
      <w:r>
        <w:t xml:space="preserve"> (with 4 fixed levels, Gingham </w:t>
      </w:r>
      <w:r w:rsidR="001C3C04">
        <w:t>watercourse</w:t>
      </w:r>
      <w:r>
        <w:t xml:space="preserve">, Gwydir River, Mehi River and Moomin Creek) and </w:t>
      </w:r>
      <w:r w:rsidR="007712A6">
        <w:t xml:space="preserve">time </w:t>
      </w:r>
      <w:r>
        <w:t xml:space="preserve">x </w:t>
      </w:r>
      <w:r w:rsidR="007712A6">
        <w:t>zone</w:t>
      </w:r>
      <w:r>
        <w:t xml:space="preserve"> interaction. </w:t>
      </w:r>
      <w:r w:rsidR="007F49F9">
        <w:t xml:space="preserve"> </w:t>
      </w:r>
      <w:r>
        <w:t xml:space="preserve">Data were checked for normality using the Shapiro-Wilk test and heterogeneity of variances using the Barelett’s test for comparing between two groups and Levene’s test for comparing more than two </w:t>
      </w:r>
      <w:r w:rsidRPr="00AF6BE8">
        <w:t xml:space="preserve">groups. </w:t>
      </w:r>
      <w:r w:rsidR="007F49F9">
        <w:t xml:space="preserve"> </w:t>
      </w:r>
      <w:r w:rsidRPr="00AF6BE8">
        <w:t xml:space="preserve">The significance level was set at 0.05. Where statistically significant </w:t>
      </w:r>
      <w:r w:rsidR="006C0AD3">
        <w:t xml:space="preserve">differences </w:t>
      </w:r>
      <w:r w:rsidRPr="00AF6BE8">
        <w:t xml:space="preserve">were detected, post-hoc Tukey’s Honestly Significant Difference comparisons were used to determine the source of the significant differences. </w:t>
      </w:r>
      <w:r w:rsidR="007F49F9">
        <w:t xml:space="preserve"> </w:t>
      </w:r>
      <w:r w:rsidRPr="00AF6BE8">
        <w:t>The natural log (ln) transformation was applied to density and diversity data to satisfy the assumptions of approximate normality and homogeneous variances.</w:t>
      </w:r>
    </w:p>
    <w:p w:rsidR="009C1427" w:rsidRDefault="009C1427" w:rsidP="009C1427">
      <w:r>
        <w:t xml:space="preserve">Permutational multivariate analysis of variance (PERMANOVA) was used to test the difference in the microinvertebrate community composition between </w:t>
      </w:r>
      <w:r w:rsidR="007712A6">
        <w:t>habitat</w:t>
      </w:r>
      <w:r>
        <w:t xml:space="preserve"> (benthic and pelagic) and </w:t>
      </w:r>
      <w:r w:rsidR="007712A6">
        <w:t>ecosystem</w:t>
      </w:r>
      <w:r>
        <w:t xml:space="preserve"> (Wetland and River). </w:t>
      </w:r>
      <w:r w:rsidR="007F49F9">
        <w:t xml:space="preserve"> </w:t>
      </w:r>
      <w:r>
        <w:t xml:space="preserve">Where PERMANOVA results were significant, four datasets by </w:t>
      </w:r>
      <w:r w:rsidR="007712A6">
        <w:t>habitat</w:t>
      </w:r>
      <w:r>
        <w:t xml:space="preserve"> and </w:t>
      </w:r>
      <w:r w:rsidR="007712A6">
        <w:t>ecosystem</w:t>
      </w:r>
      <w:r>
        <w:t xml:space="preserve"> were developed to further explore the effects of </w:t>
      </w:r>
      <w:r w:rsidR="007712A6">
        <w:t>time</w:t>
      </w:r>
      <w:r>
        <w:t>,</w:t>
      </w:r>
      <w:r w:rsidR="007712A6">
        <w:t xml:space="preserve"> zone</w:t>
      </w:r>
      <w:r>
        <w:t xml:space="preserve"> and </w:t>
      </w:r>
      <w:r w:rsidR="007712A6">
        <w:t>time</w:t>
      </w:r>
      <w:r>
        <w:t xml:space="preserve"> x </w:t>
      </w:r>
      <w:r w:rsidR="007712A6">
        <w:t>zone</w:t>
      </w:r>
      <w:r w:rsidR="005911D4">
        <w:t xml:space="preserve"> </w:t>
      </w:r>
      <w:r>
        <w:t>interaction.</w:t>
      </w:r>
      <w:r w:rsidR="007F49F9">
        <w:t xml:space="preserve"> </w:t>
      </w:r>
      <w:r>
        <w:t xml:space="preserve"> Then, PERMANOVA analyses were used to test the hypotheses for differences in microinvertebrate community composition between </w:t>
      </w:r>
      <w:r w:rsidR="007712A6">
        <w:t>time</w:t>
      </w:r>
      <w:r>
        <w:t xml:space="preserve"> (with 4 random levels, Sep-15, Feb-16, Mar-16 and Apr-16), </w:t>
      </w:r>
      <w:r w:rsidR="007712A6">
        <w:t>zone</w:t>
      </w:r>
      <w:r>
        <w:t xml:space="preserve"> (with 4 fixed levels, Gingham </w:t>
      </w:r>
      <w:r w:rsidR="001C3C04">
        <w:t>watercourse</w:t>
      </w:r>
      <w:r>
        <w:t xml:space="preserve">, Gwydir River, Mehi River and Moomin Creek) and </w:t>
      </w:r>
      <w:r w:rsidR="007712A6">
        <w:t>time</w:t>
      </w:r>
      <w:r>
        <w:t xml:space="preserve"> x </w:t>
      </w:r>
      <w:r w:rsidR="007712A6">
        <w:t>zone</w:t>
      </w:r>
      <w:r>
        <w:t xml:space="preserve"> interaction. Up to 999 random permutations estimated the probability of p-values, with levels of significance reported as </w:t>
      </w:r>
      <w:r w:rsidRPr="0020179F">
        <w:t>p&lt;0.05.</w:t>
      </w:r>
    </w:p>
    <w:p w:rsidR="009C1427" w:rsidRDefault="009C1427" w:rsidP="009C1427">
      <w:r>
        <w:t xml:space="preserve">Abundance data were transformed into two datasets </w:t>
      </w:r>
      <w:r w:rsidR="00A93175">
        <w:t>that</w:t>
      </w:r>
      <w:r>
        <w:t xml:space="preserve"> weigh the contributions of common and rare species differently. (1) Presence-absence data represents actual taxa occurrence in a community. (2) Abundance data (square root transformation to stabilize variance and to improve normality</w:t>
      </w:r>
      <w:r w:rsidR="007712A6">
        <w:t xml:space="preserve">; </w:t>
      </w:r>
      <w:r>
        <w:t>Clarke &amp; Warwic</w:t>
      </w:r>
      <w:r w:rsidR="007712A6">
        <w:t>k, 2001</w:t>
      </w:r>
      <w:r>
        <w:t xml:space="preserve">) represents relative proportions of taxa occurrence in a community. </w:t>
      </w:r>
    </w:p>
    <w:p w:rsidR="009C1427" w:rsidRDefault="009C1427" w:rsidP="009C1427">
      <w:r>
        <w:t xml:space="preserve">For each multivariate analysis, a Bray-Curtis dissimilarity matrix was generated by rank correlating the community structure between samples. </w:t>
      </w:r>
      <w:r w:rsidR="007F49F9">
        <w:t xml:space="preserve"> </w:t>
      </w:r>
      <w:r>
        <w:t>Then, nonmetric multidi</w:t>
      </w:r>
      <w:r w:rsidR="006C0AD3">
        <w:t>mensional scaling ordinations (n</w:t>
      </w:r>
      <w:r>
        <w:t>MDS) were used to visualise community patterns and similarity percentages (SIMPER) were used to determine the taxa contributing to th</w:t>
      </w:r>
      <w:r w:rsidR="006C0AD3">
        <w:t xml:space="preserve">e observed community patterns. </w:t>
      </w:r>
      <w:r w:rsidR="007F49F9">
        <w:t xml:space="preserve"> </w:t>
      </w:r>
      <w:proofErr w:type="gramStart"/>
      <w:r w:rsidR="006C0AD3">
        <w:t>n</w:t>
      </w:r>
      <w:r>
        <w:t>MDS</w:t>
      </w:r>
      <w:proofErr w:type="gramEnd"/>
      <w:r>
        <w:t xml:space="preserve"> output with stress values of less than 0.2 were considered appropriate for interpretation (Clark</w:t>
      </w:r>
      <w:r w:rsidR="007F49F9">
        <w:t>e &amp; Warwick</w:t>
      </w:r>
      <w:r>
        <w:t xml:space="preserve"> 2001). </w:t>
      </w:r>
    </w:p>
    <w:p w:rsidR="00BC6562" w:rsidRDefault="009C1427" w:rsidP="009C1427">
      <w:r>
        <w:t>All univariate analyses were performed in SYSTAT v13 (SYSTAT Software Inc</w:t>
      </w:r>
      <w:r w:rsidR="001D4CEC">
        <w:t>.</w:t>
      </w:r>
      <w:r>
        <w:t>, 2009) and multivariate analyses were performed in PRIMER v6.1.13 with the PERMANOVA+ v1.0.3 add-on package (PRIMER-E, 2009).</w:t>
      </w:r>
      <w:r w:rsidR="00BC6562">
        <w:t xml:space="preserve"> </w:t>
      </w:r>
    </w:p>
    <w:p w:rsidR="00F00C5A" w:rsidRDefault="00F00C5A" w:rsidP="00F00C5A">
      <w:pPr>
        <w:pStyle w:val="Heading8"/>
      </w:pPr>
      <w:r>
        <w:t>Wetland scale microinvertebrate density</w:t>
      </w:r>
    </w:p>
    <w:p w:rsidR="00F00C5A" w:rsidRDefault="00F00C5A" w:rsidP="009C1427">
      <w:r>
        <w:t>Wetland scale microinvertebrate densities were calculated for the Gingham watercourse by multiplying the average density observed in each sampling occasion by the estimated volume of water present in the watercourse at the time of sampling.</w:t>
      </w:r>
      <w:r w:rsidR="007F49F9">
        <w:t xml:space="preserve"> </w:t>
      </w:r>
      <w:r>
        <w:t xml:space="preserve"> Volume calculation methods are outlined in </w:t>
      </w:r>
      <w:r w:rsidR="00A93175">
        <w:t>Appendix B.</w:t>
      </w:r>
    </w:p>
    <w:p w:rsidR="00BC6562" w:rsidRDefault="00BC6562" w:rsidP="00BC6562">
      <w:pPr>
        <w:pStyle w:val="Heading7"/>
      </w:pPr>
      <w:r>
        <w:t>Results</w:t>
      </w:r>
    </w:p>
    <w:p w:rsidR="00BC6562" w:rsidRDefault="00BC6562" w:rsidP="00BC6562">
      <w:pPr>
        <w:pStyle w:val="Heading8"/>
      </w:pPr>
      <w:r>
        <w:t>Water nutrients</w:t>
      </w:r>
    </w:p>
    <w:p w:rsidR="009C1427" w:rsidRPr="007B5DC1" w:rsidRDefault="00A93175" w:rsidP="00E23B8D">
      <w:r>
        <w:t>N</w:t>
      </w:r>
      <w:r w:rsidR="009C1427" w:rsidRPr="007B5DC1">
        <w:t xml:space="preserve">utrient and sediment concentrations were highly variable across time and between </w:t>
      </w:r>
      <w:r w:rsidR="009C1427">
        <w:t>zone</w:t>
      </w:r>
      <w:r w:rsidR="009C1427" w:rsidRPr="007B5DC1">
        <w:t xml:space="preserve">s. </w:t>
      </w:r>
      <w:r w:rsidR="007F49F9">
        <w:t xml:space="preserve"> </w:t>
      </w:r>
      <w:r w:rsidR="009C1427" w:rsidRPr="007B5DC1">
        <w:t xml:space="preserve">Total Nitrogen concentrations were remarkably high, with the highest mean of over 6000 µg/L </w:t>
      </w:r>
      <w:r>
        <w:t xml:space="preserve">recorded </w:t>
      </w:r>
      <w:r w:rsidR="009C1427">
        <w:t>in</w:t>
      </w:r>
      <w:r w:rsidR="009C1427" w:rsidRPr="007B5DC1">
        <w:t xml:space="preserve"> the Gingham </w:t>
      </w:r>
      <w:r w:rsidR="001C3C04">
        <w:t>watercourse</w:t>
      </w:r>
      <w:r w:rsidR="009C1427" w:rsidRPr="007B5DC1">
        <w:t xml:space="preserve"> </w:t>
      </w:r>
      <w:r>
        <w:t xml:space="preserve">before the delivery of </w:t>
      </w:r>
      <w:r w:rsidR="006C0AD3">
        <w:t>environmental water</w:t>
      </w:r>
      <w:r>
        <w:t>.</w:t>
      </w:r>
      <w:r w:rsidR="009C1427" w:rsidRPr="007B5DC1">
        <w:t xml:space="preserve"> </w:t>
      </w:r>
      <w:r w:rsidR="007F49F9">
        <w:t xml:space="preserve"> </w:t>
      </w:r>
      <w:r w:rsidR="009C1427" w:rsidRPr="007B5DC1">
        <w:t xml:space="preserve">This </w:t>
      </w:r>
      <w:r w:rsidR="009C1427">
        <w:t>is</w:t>
      </w:r>
      <w:r w:rsidR="009C1427" w:rsidRPr="007B5DC1">
        <w:t xml:space="preserve"> twelve times higher than the ANZECC guideline trigger value (Total Nitrogen at 500 µg/L) </w:t>
      </w:r>
      <w:r w:rsidR="009C1427">
        <w:t>for</w:t>
      </w:r>
      <w:r w:rsidR="009C1427" w:rsidRPr="007B5DC1">
        <w:t xml:space="preserve"> lowland river ecosystem</w:t>
      </w:r>
      <w:r w:rsidR="009C1427">
        <w:t>s</w:t>
      </w:r>
      <w:r w:rsidR="009C1427" w:rsidRPr="007B5DC1">
        <w:t xml:space="preserve">. </w:t>
      </w:r>
      <w:r w:rsidR="007F49F9">
        <w:t xml:space="preserve"> </w:t>
      </w:r>
      <w:r w:rsidR="009C1427" w:rsidRPr="007B5DC1">
        <w:t xml:space="preserve">Total Nitrogen concentrations in the Gingham </w:t>
      </w:r>
      <w:r w:rsidR="001C3C04">
        <w:t>watercourse</w:t>
      </w:r>
      <w:r w:rsidR="009C1427" w:rsidRPr="007B5DC1">
        <w:t xml:space="preserve"> were consistently higher than</w:t>
      </w:r>
      <w:r>
        <w:t xml:space="preserve"> in the</w:t>
      </w:r>
      <w:r w:rsidR="009C1427" w:rsidRPr="007B5DC1">
        <w:t xml:space="preserve"> three River </w:t>
      </w:r>
      <w:r>
        <w:t>channels</w:t>
      </w:r>
      <w:r w:rsidR="009C1427">
        <w:t xml:space="preserve"> (Gwydir, Mehi and Moomin)</w:t>
      </w:r>
      <w:r w:rsidR="009C1427" w:rsidRPr="007B5DC1">
        <w:t xml:space="preserve"> (</w:t>
      </w:r>
      <w:proofErr w:type="gramStart"/>
      <w:r w:rsidR="009C1427" w:rsidRPr="007B5DC1">
        <w:t>F(</w:t>
      </w:r>
      <w:proofErr w:type="gramEnd"/>
      <w:r w:rsidR="009C1427" w:rsidRPr="007B5DC1">
        <w:t>3,38) =10.956, p&lt;0.005,</w:t>
      </w:r>
      <w:r w:rsidR="009C1427">
        <w:t xml:space="preserve"> </w:t>
      </w:r>
      <w:r w:rsidR="003956BA">
        <w:fldChar w:fldCharType="begin"/>
      </w:r>
      <w:r w:rsidR="003956BA">
        <w:instrText xml:space="preserve"> REF _Ref459892470 \h </w:instrText>
      </w:r>
      <w:r w:rsidR="003956BA">
        <w:fldChar w:fldCharType="separate"/>
      </w:r>
      <w:r w:rsidR="005D5925">
        <w:t xml:space="preserve">Figure </w:t>
      </w:r>
      <w:r w:rsidR="005D5925">
        <w:rPr>
          <w:noProof/>
        </w:rPr>
        <w:t>D</w:t>
      </w:r>
      <w:r w:rsidR="005D5925">
        <w:noBreakHyphen/>
      </w:r>
      <w:r w:rsidR="005D5925">
        <w:rPr>
          <w:noProof/>
        </w:rPr>
        <w:t>4</w:t>
      </w:r>
      <w:r w:rsidR="003956BA">
        <w:fldChar w:fldCharType="end"/>
      </w:r>
      <w:r w:rsidR="009C1427">
        <w:t>a</w:t>
      </w:r>
      <w:r w:rsidR="009C1427" w:rsidRPr="007B5DC1">
        <w:t xml:space="preserve">). </w:t>
      </w:r>
      <w:r w:rsidR="007F49F9">
        <w:t xml:space="preserve"> </w:t>
      </w:r>
      <w:r w:rsidR="009C1427" w:rsidRPr="007B5DC1">
        <w:t xml:space="preserve">A consistent temporal </w:t>
      </w:r>
      <w:r w:rsidR="00F40CB8">
        <w:t>pattern</w:t>
      </w:r>
      <w:r w:rsidR="00C044B3">
        <w:t xml:space="preserve"> </w:t>
      </w:r>
      <w:r w:rsidR="009C1427" w:rsidRPr="007B5DC1">
        <w:t xml:space="preserve">was observed across </w:t>
      </w:r>
      <w:r w:rsidR="009C1427">
        <w:t>zone</w:t>
      </w:r>
      <w:r w:rsidR="009C1427" w:rsidRPr="007B5DC1">
        <w:t xml:space="preserve">s with significantly higher Total Nitrogen </w:t>
      </w:r>
      <w:r w:rsidR="009C1427">
        <w:t xml:space="preserve">concentrations </w:t>
      </w:r>
      <w:r>
        <w:t xml:space="preserve">in the first two sample periods </w:t>
      </w:r>
      <w:r w:rsidR="009C1427" w:rsidRPr="007B5DC1">
        <w:t>(</w:t>
      </w:r>
      <w:proofErr w:type="gramStart"/>
      <w:r w:rsidR="009C1427" w:rsidRPr="007B5DC1">
        <w:t>F(</w:t>
      </w:r>
      <w:proofErr w:type="gramEnd"/>
      <w:r w:rsidR="009C1427" w:rsidRPr="007B5DC1">
        <w:t>3</w:t>
      </w:r>
      <w:r w:rsidR="009C1427">
        <w:t>,38) =8.045, p&lt;0.05,</w:t>
      </w:r>
      <w:r w:rsidR="009C1427" w:rsidRPr="009C1427">
        <w:t xml:space="preserve"> </w:t>
      </w:r>
      <w:r w:rsidR="003956BA">
        <w:fldChar w:fldCharType="begin"/>
      </w:r>
      <w:r w:rsidR="003956BA">
        <w:instrText xml:space="preserve"> REF _Ref459892470 \h </w:instrText>
      </w:r>
      <w:r w:rsidR="003956BA">
        <w:fldChar w:fldCharType="separate"/>
      </w:r>
      <w:r w:rsidR="005D5925">
        <w:t xml:space="preserve">Figure </w:t>
      </w:r>
      <w:r w:rsidR="005D5925">
        <w:rPr>
          <w:noProof/>
        </w:rPr>
        <w:t>D</w:t>
      </w:r>
      <w:r w:rsidR="005D5925">
        <w:noBreakHyphen/>
      </w:r>
      <w:r w:rsidR="005D5925">
        <w:rPr>
          <w:noProof/>
        </w:rPr>
        <w:t>4</w:t>
      </w:r>
      <w:r w:rsidR="003956BA">
        <w:fldChar w:fldCharType="end"/>
      </w:r>
      <w:r w:rsidR="009C1427">
        <w:t>a).</w:t>
      </w:r>
    </w:p>
    <w:p w:rsidR="00416FA7" w:rsidRDefault="009C1427" w:rsidP="00E23B8D">
      <w:r w:rsidRPr="007B5DC1">
        <w:t xml:space="preserve">Nitrogen oxide concentrations were generally higher than the ANZECC guideline trigger value (Nitrogen oxide at 40 µg/L). </w:t>
      </w:r>
      <w:r w:rsidR="007F49F9">
        <w:t xml:space="preserve"> </w:t>
      </w:r>
      <w:r w:rsidRPr="007B5DC1">
        <w:t>The highest me</w:t>
      </w:r>
      <w:r w:rsidR="00A93175">
        <w:t>an n</w:t>
      </w:r>
      <w:r w:rsidRPr="007B5DC1">
        <w:t xml:space="preserve">itrogen oxide concentration of over 500 µg/L </w:t>
      </w:r>
      <w:r w:rsidR="00A93175">
        <w:t>recorded in</w:t>
      </w:r>
      <w:r w:rsidRPr="007B5DC1">
        <w:t xml:space="preserve"> the Gingham </w:t>
      </w:r>
      <w:r w:rsidR="001C3C04">
        <w:t>watercourse</w:t>
      </w:r>
      <w:r w:rsidRPr="007B5DC1">
        <w:t xml:space="preserve"> and Gwydir </w:t>
      </w:r>
      <w:r>
        <w:t>R</w:t>
      </w:r>
      <w:r w:rsidRPr="007B5DC1">
        <w:t xml:space="preserve">iver </w:t>
      </w:r>
      <w:r w:rsidR="00A93175">
        <w:t>at the beginning of the contraction phase</w:t>
      </w:r>
      <w:r w:rsidRPr="007B5DC1">
        <w:t xml:space="preserve"> was </w:t>
      </w:r>
      <w:r>
        <w:t xml:space="preserve">over </w:t>
      </w:r>
      <w:r w:rsidRPr="007B5DC1">
        <w:t xml:space="preserve">twelve times higher than the ANZECC value. </w:t>
      </w:r>
      <w:r w:rsidR="007F49F9">
        <w:t xml:space="preserve"> </w:t>
      </w:r>
      <w:r w:rsidRPr="007B5DC1">
        <w:t xml:space="preserve">There was a statistically significant interaction between the effects of </w:t>
      </w:r>
      <w:r>
        <w:t>zone</w:t>
      </w:r>
      <w:r w:rsidRPr="007B5DC1">
        <w:t xml:space="preserve"> and time (</w:t>
      </w:r>
      <w:proofErr w:type="gramStart"/>
      <w:r w:rsidRPr="007B5DC1">
        <w:t>F(</w:t>
      </w:r>
      <w:proofErr w:type="gramEnd"/>
      <w:r w:rsidRPr="007B5DC1">
        <w:t xml:space="preserve">12,36) =2.341, p&lt;0.05, </w:t>
      </w:r>
      <w:r w:rsidR="003956BA">
        <w:fldChar w:fldCharType="begin"/>
      </w:r>
      <w:r w:rsidR="003956BA">
        <w:instrText xml:space="preserve"> REF _Ref459892470 \h </w:instrText>
      </w:r>
      <w:r w:rsidR="003956BA">
        <w:fldChar w:fldCharType="separate"/>
      </w:r>
      <w:r w:rsidR="005D5925">
        <w:t xml:space="preserve">Figure </w:t>
      </w:r>
      <w:r w:rsidR="005D5925">
        <w:rPr>
          <w:noProof/>
        </w:rPr>
        <w:t>D</w:t>
      </w:r>
      <w:r w:rsidR="005D5925">
        <w:noBreakHyphen/>
      </w:r>
      <w:r w:rsidR="005D5925">
        <w:rPr>
          <w:noProof/>
        </w:rPr>
        <w:t>4</w:t>
      </w:r>
      <w:r w:rsidR="003956BA">
        <w:fldChar w:fldCharType="end"/>
      </w:r>
      <w:r>
        <w:t>b</w:t>
      </w:r>
      <w:r w:rsidRPr="007B5DC1">
        <w:t xml:space="preserve">). </w:t>
      </w:r>
      <w:r w:rsidR="007F49F9">
        <w:t xml:space="preserve"> </w:t>
      </w:r>
      <w:r w:rsidRPr="007B5DC1">
        <w:t xml:space="preserve">Nitrogen oxide concentrations were </w:t>
      </w:r>
      <w:r w:rsidR="00A93175">
        <w:t>generally</w:t>
      </w:r>
      <w:r w:rsidRPr="007B5DC1">
        <w:t xml:space="preserve"> higher in </w:t>
      </w:r>
      <w:r>
        <w:t>T3</w:t>
      </w:r>
      <w:r w:rsidR="00BC6562" w:rsidRPr="007B5DC1">
        <w:t>.</w:t>
      </w:r>
    </w:p>
    <w:tbl>
      <w:tblPr>
        <w:tblW w:w="0" w:type="auto"/>
        <w:tblLook w:val="04A0" w:firstRow="1" w:lastRow="0" w:firstColumn="1" w:lastColumn="0" w:noHBand="0" w:noVBand="1"/>
      </w:tblPr>
      <w:tblGrid>
        <w:gridCol w:w="4600"/>
        <w:gridCol w:w="4600"/>
      </w:tblGrid>
      <w:tr w:rsidR="00416FA7" w:rsidTr="00CC18AA">
        <w:trPr>
          <w:trHeight w:val="4097"/>
        </w:trPr>
        <w:tc>
          <w:tcPr>
            <w:tcW w:w="4600" w:type="dxa"/>
            <w:shd w:val="clear" w:color="auto" w:fill="auto"/>
            <w:noWrap/>
            <w:vAlign w:val="center"/>
          </w:tcPr>
          <w:p w:rsidR="00416FA7" w:rsidRDefault="004176FF" w:rsidP="00CC18AA">
            <w:pPr>
              <w:spacing w:line="240" w:lineRule="auto"/>
            </w:pPr>
            <w:r w:rsidRPr="008F5E11">
              <w:rPr>
                <w:noProof/>
                <w:lang w:eastAsia="en-AU"/>
              </w:rPr>
              <w:drawing>
                <wp:inline distT="0" distB="0" distL="0" distR="0">
                  <wp:extent cx="2809875" cy="2426970"/>
                  <wp:effectExtent l="0" t="0" r="9525" b="11430"/>
                  <wp:docPr id="29" name="Chart 2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4600" w:type="dxa"/>
            <w:shd w:val="clear" w:color="auto" w:fill="auto"/>
            <w:noWrap/>
            <w:vAlign w:val="center"/>
          </w:tcPr>
          <w:p w:rsidR="00416FA7" w:rsidRDefault="004176FF" w:rsidP="00CC18AA">
            <w:pPr>
              <w:spacing w:line="240" w:lineRule="auto"/>
            </w:pPr>
            <w:r w:rsidRPr="008F5E11">
              <w:rPr>
                <w:noProof/>
                <w:lang w:eastAsia="en-AU"/>
              </w:rPr>
              <w:drawing>
                <wp:inline distT="0" distB="0" distL="0" distR="0">
                  <wp:extent cx="2809875" cy="2466975"/>
                  <wp:effectExtent l="0" t="0" r="9525" b="9525"/>
                  <wp:docPr id="30" name="Chart 2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r w:rsidR="00333F66" w:rsidTr="00CC18AA">
        <w:tc>
          <w:tcPr>
            <w:tcW w:w="9200" w:type="dxa"/>
            <w:gridSpan w:val="2"/>
            <w:shd w:val="clear" w:color="auto" w:fill="auto"/>
            <w:noWrap/>
            <w:vAlign w:val="center"/>
          </w:tcPr>
          <w:p w:rsidR="00333F66" w:rsidRDefault="00333F66" w:rsidP="00333F66">
            <w:pPr>
              <w:pStyle w:val="Caption"/>
            </w:pPr>
            <w:bookmarkStart w:id="45" w:name="_Ref459892470"/>
            <w:r>
              <w:t xml:space="preserve">Figure </w:t>
            </w:r>
            <w:fldSimple w:instr=" STYLEREF 6 \s ">
              <w:r w:rsidR="00673DAF">
                <w:rPr>
                  <w:noProof/>
                </w:rPr>
                <w:t>D</w:t>
              </w:r>
            </w:fldSimple>
            <w:r w:rsidR="00673DAF">
              <w:noBreakHyphen/>
            </w:r>
            <w:fldSimple w:instr=" SEQ Figure \* ARABIC \s 6 ">
              <w:r w:rsidR="00673DAF">
                <w:rPr>
                  <w:noProof/>
                </w:rPr>
                <w:t>4</w:t>
              </w:r>
            </w:fldSimple>
            <w:bookmarkEnd w:id="45"/>
            <w:r>
              <w:t xml:space="preserve"> Mean concentrations </w:t>
            </w:r>
            <w:r w:rsidRPr="00A02E57">
              <w:t>±</w:t>
            </w:r>
            <w:r>
              <w:t xml:space="preserve"> standard deviation (SD) of (a) Total Nitrogen and (b) Nitrate-nitrite</w:t>
            </w:r>
          </w:p>
        </w:tc>
      </w:tr>
    </w:tbl>
    <w:p w:rsidR="00A93175" w:rsidRDefault="00A93175" w:rsidP="00E23B8D"/>
    <w:p w:rsidR="00DB4624" w:rsidRPr="007B5DC1" w:rsidRDefault="009C1427" w:rsidP="00E23B8D">
      <w:r w:rsidRPr="007B5DC1">
        <w:t xml:space="preserve">Total Phosphorus concentrations were </w:t>
      </w:r>
      <w:r w:rsidR="004B36B6">
        <w:t>generally</w:t>
      </w:r>
      <w:r w:rsidRPr="007B5DC1">
        <w:t xml:space="preserve"> higher than the ANZECC guideline trigger value (Total Phosphorus at 50 µg/L) </w:t>
      </w:r>
      <w:r w:rsidR="004B36B6">
        <w:t>for</w:t>
      </w:r>
      <w:r w:rsidRPr="007B5DC1">
        <w:t xml:space="preserve"> lowland river ecosystem.</w:t>
      </w:r>
      <w:r w:rsidR="007F49F9">
        <w:t xml:space="preserve"> </w:t>
      </w:r>
      <w:r w:rsidRPr="007B5DC1">
        <w:t xml:space="preserve"> The highest mean of over 300 µg/L at the Mehi</w:t>
      </w:r>
      <w:r>
        <w:t xml:space="preserve"> River</w:t>
      </w:r>
      <w:r w:rsidRPr="007B5DC1">
        <w:t xml:space="preserve"> and Moomin </w:t>
      </w:r>
      <w:r>
        <w:t>Creek</w:t>
      </w:r>
      <w:r w:rsidRPr="007B5DC1">
        <w:t xml:space="preserve"> in </w:t>
      </w:r>
      <w:r>
        <w:t>T3</w:t>
      </w:r>
      <w:r w:rsidRPr="007B5DC1">
        <w:t xml:space="preserve"> (‘Contraction</w:t>
      </w:r>
      <w:r>
        <w:t xml:space="preserve"> I</w:t>
      </w:r>
      <w:r w:rsidRPr="007B5DC1">
        <w:t>’ phase)</w:t>
      </w:r>
      <w:r>
        <w:t xml:space="preserve"> </w:t>
      </w:r>
      <w:r w:rsidRPr="007B5DC1">
        <w:t xml:space="preserve">was six times higher than the ANZECC guideline trigger value. </w:t>
      </w:r>
      <w:r w:rsidR="007F49F9">
        <w:t xml:space="preserve"> </w:t>
      </w:r>
      <w:r w:rsidRPr="007B5DC1">
        <w:t xml:space="preserve">There was a statistically significant interaction between the effects of </w:t>
      </w:r>
      <w:r>
        <w:t>zone</w:t>
      </w:r>
      <w:r w:rsidRPr="007B5DC1">
        <w:t xml:space="preserve"> and time (</w:t>
      </w:r>
      <w:proofErr w:type="gramStart"/>
      <w:r w:rsidRPr="007B5DC1">
        <w:t>F(</w:t>
      </w:r>
      <w:proofErr w:type="gramEnd"/>
      <w:r w:rsidRPr="007B5DC1">
        <w:t>12,36) =3.307, p&lt;0.005,</w:t>
      </w:r>
      <w:r>
        <w:t xml:space="preserve"> </w:t>
      </w:r>
      <w:r w:rsidR="003956BA">
        <w:fldChar w:fldCharType="begin"/>
      </w:r>
      <w:r w:rsidR="003956BA">
        <w:instrText xml:space="preserve"> REF _Ref459892518 \h </w:instrText>
      </w:r>
      <w:r w:rsidR="003956BA">
        <w:fldChar w:fldCharType="separate"/>
      </w:r>
      <w:r w:rsidR="005D5925">
        <w:t xml:space="preserve">Figure </w:t>
      </w:r>
      <w:r w:rsidR="005D5925">
        <w:rPr>
          <w:noProof/>
        </w:rPr>
        <w:t>D</w:t>
      </w:r>
      <w:r w:rsidR="005D5925">
        <w:noBreakHyphen/>
      </w:r>
      <w:r w:rsidR="005D5925">
        <w:rPr>
          <w:noProof/>
        </w:rPr>
        <w:t>5</w:t>
      </w:r>
      <w:r w:rsidR="003956BA">
        <w:fldChar w:fldCharType="end"/>
      </w:r>
      <w:r>
        <w:t>a</w:t>
      </w:r>
      <w:r w:rsidRPr="007B5DC1">
        <w:t>).</w:t>
      </w:r>
      <w:r w:rsidRPr="00DB2B9C">
        <w:t xml:space="preserve"> </w:t>
      </w:r>
      <w:r w:rsidR="007F49F9">
        <w:t xml:space="preserve"> </w:t>
      </w:r>
      <w:r w:rsidRPr="007B5DC1">
        <w:t xml:space="preserve">Total Phosphorus concentrations were consistently higher in </w:t>
      </w:r>
      <w:r>
        <w:t>T3</w:t>
      </w:r>
      <w:r w:rsidRPr="007B5DC1">
        <w:t xml:space="preserve"> across </w:t>
      </w:r>
      <w:r w:rsidR="004B36B6">
        <w:t>all systems (except the Gwydir River)</w:t>
      </w:r>
    </w:p>
    <w:p w:rsidR="00DB4624" w:rsidRDefault="009C1427" w:rsidP="00E23B8D">
      <w:r w:rsidRPr="007B5DC1">
        <w:t xml:space="preserve">Filterable Reactive Phosphorus concentrations were higher than the ANZECC guideline trigger value (20 µg/L) in most sites and sampling occasions. </w:t>
      </w:r>
      <w:r w:rsidR="007F49F9">
        <w:t xml:space="preserve"> </w:t>
      </w:r>
      <w:r w:rsidRPr="007B5DC1">
        <w:t xml:space="preserve">The highest mean of over 130 µg/L </w:t>
      </w:r>
      <w:r>
        <w:t>was</w:t>
      </w:r>
      <w:r w:rsidRPr="007B5DC1">
        <w:t xml:space="preserve"> six times higher than the ANZECC trigger value </w:t>
      </w:r>
      <w:r>
        <w:t xml:space="preserve">recorded in the </w:t>
      </w:r>
      <w:r w:rsidRPr="007B5DC1">
        <w:t xml:space="preserve">Mehi </w:t>
      </w:r>
      <w:r>
        <w:t>River</w:t>
      </w:r>
      <w:r w:rsidRPr="007B5DC1">
        <w:t xml:space="preserve"> in </w:t>
      </w:r>
      <w:r>
        <w:t>T3</w:t>
      </w:r>
      <w:r w:rsidRPr="007B5DC1">
        <w:t xml:space="preserve">. </w:t>
      </w:r>
      <w:r w:rsidR="007F49F9">
        <w:t xml:space="preserve"> </w:t>
      </w:r>
      <w:r w:rsidRPr="007B5DC1">
        <w:t xml:space="preserve">There was a statistically significant interaction between the effects of </w:t>
      </w:r>
      <w:r>
        <w:t>zone</w:t>
      </w:r>
      <w:r w:rsidRPr="007B5DC1">
        <w:t xml:space="preserve"> and time (</w:t>
      </w:r>
      <w:proofErr w:type="gramStart"/>
      <w:r w:rsidRPr="007B5DC1">
        <w:t>F(</w:t>
      </w:r>
      <w:proofErr w:type="gramEnd"/>
      <w:r w:rsidRPr="007B5DC1">
        <w:t xml:space="preserve">12,35) =2.624, p&lt;0.05, </w:t>
      </w:r>
      <w:r w:rsidR="003956BA">
        <w:fldChar w:fldCharType="begin"/>
      </w:r>
      <w:r w:rsidR="003956BA">
        <w:instrText xml:space="preserve"> REF _Ref459892518 \h </w:instrText>
      </w:r>
      <w:r w:rsidR="003956BA">
        <w:fldChar w:fldCharType="separate"/>
      </w:r>
      <w:r w:rsidR="005D5925">
        <w:t xml:space="preserve">Figure </w:t>
      </w:r>
      <w:r w:rsidR="005D5925">
        <w:rPr>
          <w:noProof/>
        </w:rPr>
        <w:t>D</w:t>
      </w:r>
      <w:r w:rsidR="005D5925">
        <w:noBreakHyphen/>
      </w:r>
      <w:r w:rsidR="005D5925">
        <w:rPr>
          <w:noProof/>
        </w:rPr>
        <w:t>5</w:t>
      </w:r>
      <w:r w:rsidR="003956BA">
        <w:fldChar w:fldCharType="end"/>
      </w:r>
      <w:r>
        <w:t>b</w:t>
      </w:r>
      <w:r w:rsidRPr="007B5DC1">
        <w:t>).</w:t>
      </w:r>
    </w:p>
    <w:tbl>
      <w:tblPr>
        <w:tblW w:w="0" w:type="auto"/>
        <w:tblLook w:val="04A0" w:firstRow="1" w:lastRow="0" w:firstColumn="1" w:lastColumn="0" w:noHBand="0" w:noVBand="1"/>
      </w:tblPr>
      <w:tblGrid>
        <w:gridCol w:w="4572"/>
        <w:gridCol w:w="4628"/>
      </w:tblGrid>
      <w:tr w:rsidR="00416FA7" w:rsidTr="00CC18AA">
        <w:trPr>
          <w:trHeight w:val="4167"/>
        </w:trPr>
        <w:tc>
          <w:tcPr>
            <w:tcW w:w="4600" w:type="dxa"/>
            <w:shd w:val="clear" w:color="auto" w:fill="auto"/>
            <w:noWrap/>
            <w:vAlign w:val="center"/>
          </w:tcPr>
          <w:p w:rsidR="00416FA7" w:rsidRDefault="004176FF" w:rsidP="00CC18AA">
            <w:pPr>
              <w:spacing w:line="240" w:lineRule="auto"/>
              <w:ind w:left="-108"/>
            </w:pPr>
            <w:r w:rsidRPr="008F5E11">
              <w:rPr>
                <w:noProof/>
                <w:lang w:eastAsia="en-AU"/>
              </w:rPr>
              <w:drawing>
                <wp:inline distT="0" distB="0" distL="0" distR="0">
                  <wp:extent cx="2809875" cy="2466975"/>
                  <wp:effectExtent l="0" t="0" r="9525" b="9525"/>
                  <wp:docPr id="31" name="Chart 2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c>
          <w:tcPr>
            <w:tcW w:w="4600" w:type="dxa"/>
            <w:shd w:val="clear" w:color="auto" w:fill="auto"/>
            <w:noWrap/>
            <w:vAlign w:val="center"/>
          </w:tcPr>
          <w:p w:rsidR="00416FA7" w:rsidRDefault="004176FF" w:rsidP="00CC18AA">
            <w:pPr>
              <w:spacing w:line="240" w:lineRule="auto"/>
            </w:pPr>
            <w:r w:rsidRPr="008F5E11">
              <w:rPr>
                <w:noProof/>
                <w:lang w:eastAsia="en-AU"/>
              </w:rPr>
              <w:drawing>
                <wp:inline distT="0" distB="0" distL="0" distR="0">
                  <wp:extent cx="2809875" cy="2466975"/>
                  <wp:effectExtent l="0" t="0" r="9525" b="9525"/>
                  <wp:docPr id="32" name="Chart 28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r w:rsidR="00416FA7" w:rsidTr="00CC18AA">
        <w:tc>
          <w:tcPr>
            <w:tcW w:w="9200" w:type="dxa"/>
            <w:gridSpan w:val="2"/>
            <w:shd w:val="clear" w:color="auto" w:fill="auto"/>
            <w:noWrap/>
            <w:vAlign w:val="center"/>
          </w:tcPr>
          <w:p w:rsidR="00416FA7" w:rsidRDefault="00416FA7" w:rsidP="00416FA7">
            <w:pPr>
              <w:pStyle w:val="Caption"/>
            </w:pPr>
            <w:bookmarkStart w:id="46" w:name="_Ref459892518"/>
            <w:r>
              <w:t xml:space="preserve">Figure </w:t>
            </w:r>
            <w:fldSimple w:instr=" STYLEREF 6 \s ">
              <w:r w:rsidR="00673DAF">
                <w:rPr>
                  <w:noProof/>
                </w:rPr>
                <w:t>D</w:t>
              </w:r>
            </w:fldSimple>
            <w:r w:rsidR="00673DAF">
              <w:noBreakHyphen/>
            </w:r>
            <w:fldSimple w:instr=" SEQ Figure \* ARABIC \s 6 ">
              <w:r w:rsidR="00673DAF">
                <w:rPr>
                  <w:noProof/>
                </w:rPr>
                <w:t>5</w:t>
              </w:r>
            </w:fldSimple>
            <w:bookmarkEnd w:id="46"/>
            <w:r>
              <w:t xml:space="preserve"> </w:t>
            </w:r>
            <w:r w:rsidRPr="00303A75">
              <w:t>Mean concentrations ± standard deviation (SD) of (a) Total Phosphorus and (b) Filterable Reactive Phosphorus</w:t>
            </w:r>
            <w:r>
              <w:t>.</w:t>
            </w:r>
          </w:p>
        </w:tc>
      </w:tr>
    </w:tbl>
    <w:p w:rsidR="00416FA7" w:rsidRPr="007B5DC1" w:rsidRDefault="00416FA7" w:rsidP="00E23B8D"/>
    <w:p w:rsidR="00DB4624" w:rsidRPr="007B5DC1" w:rsidRDefault="00DB4624" w:rsidP="00DB4624">
      <w:r w:rsidRPr="007B5DC1">
        <w:t xml:space="preserve">Dissolved Organic Carbon concentrations ranged from 4.5 µg/mL to 36 µg/mL, with the highest mean of 31.8 µg/mL </w:t>
      </w:r>
      <w:r>
        <w:t>in</w:t>
      </w:r>
      <w:r w:rsidRPr="007B5DC1">
        <w:t xml:space="preserve"> the Gingham </w:t>
      </w:r>
      <w:r w:rsidR="001C3C04">
        <w:t>watercourse</w:t>
      </w:r>
      <w:r w:rsidRPr="007B5DC1">
        <w:t xml:space="preserve"> </w:t>
      </w:r>
      <w:r w:rsidR="007712A6">
        <w:t>when it was contracting to pools</w:t>
      </w:r>
      <w:r w:rsidRPr="007B5DC1">
        <w:t xml:space="preserve">. </w:t>
      </w:r>
      <w:r w:rsidR="007F49F9">
        <w:t xml:space="preserve"> </w:t>
      </w:r>
      <w:r w:rsidRPr="007B5DC1">
        <w:t xml:space="preserve">Dissolved Organic Carbon concentrations in wetland sites were consistently higher than in the </w:t>
      </w:r>
      <w:r>
        <w:t>River</w:t>
      </w:r>
      <w:r w:rsidRPr="007B5DC1">
        <w:t xml:space="preserve"> sites (</w:t>
      </w:r>
      <w:proofErr w:type="gramStart"/>
      <w:r w:rsidRPr="007B5DC1">
        <w:t>F(</w:t>
      </w:r>
      <w:proofErr w:type="gramEnd"/>
      <w:r w:rsidRPr="007B5DC1">
        <w:t>3,38) =30.113, p&lt;0.005,</w:t>
      </w:r>
      <w:r w:rsidR="005940F9">
        <w:t xml:space="preserve"> </w:t>
      </w:r>
      <w:r w:rsidR="003956BA">
        <w:fldChar w:fldCharType="begin"/>
      </w:r>
      <w:r w:rsidR="003956BA">
        <w:instrText xml:space="preserve"> REF _Ref459892541 \h </w:instrText>
      </w:r>
      <w:r w:rsidR="003956BA">
        <w:fldChar w:fldCharType="separate"/>
      </w:r>
      <w:r w:rsidR="005D5925">
        <w:t xml:space="preserve">Figure </w:t>
      </w:r>
      <w:r w:rsidR="005D5925">
        <w:rPr>
          <w:noProof/>
        </w:rPr>
        <w:t>D</w:t>
      </w:r>
      <w:r w:rsidR="005D5925">
        <w:noBreakHyphen/>
      </w:r>
      <w:r w:rsidR="005D5925">
        <w:rPr>
          <w:noProof/>
        </w:rPr>
        <w:t>6</w:t>
      </w:r>
      <w:r w:rsidR="003956BA">
        <w:fldChar w:fldCharType="end"/>
      </w:r>
      <w:r w:rsidR="005940F9">
        <w:t>a</w:t>
      </w:r>
      <w:r w:rsidRPr="007B5DC1">
        <w:t xml:space="preserve">). </w:t>
      </w:r>
      <w:r w:rsidR="007F49F9">
        <w:t xml:space="preserve"> </w:t>
      </w:r>
      <w:r w:rsidRPr="007B5DC1">
        <w:t xml:space="preserve">Dissolved Organic Carbon concentrations were consistently higher in </w:t>
      </w:r>
      <w:r w:rsidR="003B3034">
        <w:t xml:space="preserve">the </w:t>
      </w:r>
      <w:r>
        <w:t>Contraction</w:t>
      </w:r>
      <w:r w:rsidR="003B3034">
        <w:t xml:space="preserve"> </w:t>
      </w:r>
      <w:r>
        <w:t xml:space="preserve">phases </w:t>
      </w:r>
      <w:r w:rsidRPr="007B5DC1">
        <w:t xml:space="preserve">across </w:t>
      </w:r>
      <w:r w:rsidR="003B3034">
        <w:t>all systems</w:t>
      </w:r>
      <w:r w:rsidRPr="007B5DC1">
        <w:t xml:space="preserve"> (</w:t>
      </w:r>
      <w:proofErr w:type="gramStart"/>
      <w:r w:rsidRPr="007B5DC1">
        <w:t>F(</w:t>
      </w:r>
      <w:proofErr w:type="gramEnd"/>
      <w:r w:rsidRPr="007B5DC1">
        <w:t>3,38) =18.009, p&lt;0.005,</w:t>
      </w:r>
      <w:r w:rsidR="005940F9">
        <w:t xml:space="preserve"> </w:t>
      </w:r>
      <w:r w:rsidR="003956BA">
        <w:fldChar w:fldCharType="begin"/>
      </w:r>
      <w:r w:rsidR="003956BA">
        <w:instrText xml:space="preserve"> REF _Ref459892541 \h </w:instrText>
      </w:r>
      <w:r w:rsidR="003956BA">
        <w:fldChar w:fldCharType="separate"/>
      </w:r>
      <w:r w:rsidR="005D5925">
        <w:t xml:space="preserve">Figure </w:t>
      </w:r>
      <w:r w:rsidR="005D5925">
        <w:rPr>
          <w:noProof/>
        </w:rPr>
        <w:t>D</w:t>
      </w:r>
      <w:r w:rsidR="005D5925">
        <w:noBreakHyphen/>
      </w:r>
      <w:r w:rsidR="005D5925">
        <w:rPr>
          <w:noProof/>
        </w:rPr>
        <w:t>6</w:t>
      </w:r>
      <w:r w:rsidR="003956BA">
        <w:fldChar w:fldCharType="end"/>
      </w:r>
      <w:r w:rsidR="005940F9">
        <w:t>a</w:t>
      </w:r>
      <w:r w:rsidRPr="007B5DC1">
        <w:t>).</w:t>
      </w:r>
    </w:p>
    <w:p w:rsidR="00DB4624" w:rsidRDefault="00DB4624" w:rsidP="00DB4624">
      <w:pPr>
        <w:contextualSpacing/>
      </w:pPr>
      <w:r w:rsidRPr="007B5DC1">
        <w:t xml:space="preserve">Total Suspended Solid concentrations were </w:t>
      </w:r>
      <w:r>
        <w:t xml:space="preserve">also high and </w:t>
      </w:r>
      <w:r w:rsidRPr="007B5DC1">
        <w:t xml:space="preserve">generally below 70 mg/L, except </w:t>
      </w:r>
      <w:r>
        <w:t xml:space="preserve">for mean concentrations of </w:t>
      </w:r>
      <w:r w:rsidR="00967F3D">
        <w:t>&gt;95</w:t>
      </w:r>
      <w:r w:rsidRPr="007B5DC1">
        <w:t xml:space="preserve"> mg/L </w:t>
      </w:r>
      <w:r>
        <w:t xml:space="preserve">recorded in the </w:t>
      </w:r>
      <w:r w:rsidRPr="007B5DC1">
        <w:t xml:space="preserve">Gingham </w:t>
      </w:r>
      <w:r w:rsidR="001C3C04">
        <w:t>watercourse</w:t>
      </w:r>
      <w:r w:rsidRPr="007B5DC1">
        <w:t xml:space="preserve"> and </w:t>
      </w:r>
      <w:r>
        <w:t>Moomin Creek</w:t>
      </w:r>
      <w:r w:rsidRPr="007B5DC1">
        <w:t xml:space="preserve"> </w:t>
      </w:r>
      <w:r w:rsidR="003B3034">
        <w:t>as the system dried</w:t>
      </w:r>
      <w:r w:rsidRPr="007B5DC1">
        <w:t xml:space="preserve">. </w:t>
      </w:r>
      <w:r w:rsidR="007F49F9">
        <w:t xml:space="preserve"> </w:t>
      </w:r>
      <w:r w:rsidRPr="007B5DC1">
        <w:t xml:space="preserve">Total Suspended Solid concentrations were significantly higher </w:t>
      </w:r>
      <w:r w:rsidR="003B3034">
        <w:t>at the end of the environmental water period</w:t>
      </w:r>
      <w:r w:rsidRPr="007B5DC1">
        <w:t xml:space="preserve"> (</w:t>
      </w:r>
      <w:proofErr w:type="gramStart"/>
      <w:r w:rsidRPr="007B5DC1">
        <w:t>F(</w:t>
      </w:r>
      <w:proofErr w:type="gramEnd"/>
      <w:r w:rsidRPr="007B5DC1">
        <w:t xml:space="preserve">3,38) =3.907, p&lt;0.05, </w:t>
      </w:r>
      <w:r w:rsidR="003956BA">
        <w:fldChar w:fldCharType="begin"/>
      </w:r>
      <w:r w:rsidR="003956BA">
        <w:instrText xml:space="preserve"> REF _Ref459892541 \h </w:instrText>
      </w:r>
      <w:r w:rsidR="003956BA">
        <w:fldChar w:fldCharType="separate"/>
      </w:r>
      <w:r w:rsidR="005D5925">
        <w:t xml:space="preserve">Figure </w:t>
      </w:r>
      <w:r w:rsidR="005D5925">
        <w:rPr>
          <w:noProof/>
        </w:rPr>
        <w:t>D</w:t>
      </w:r>
      <w:r w:rsidR="005D5925">
        <w:noBreakHyphen/>
      </w:r>
      <w:r w:rsidR="005D5925">
        <w:rPr>
          <w:noProof/>
        </w:rPr>
        <w:t>6</w:t>
      </w:r>
      <w:r w:rsidR="003956BA">
        <w:fldChar w:fldCharType="end"/>
      </w:r>
      <w:r>
        <w:t>b</w:t>
      </w:r>
      <w:r w:rsidRPr="007B5DC1">
        <w:t>).</w:t>
      </w:r>
      <w:r w:rsidRPr="007B5DC1">
        <w:rPr>
          <w:bCs/>
          <w:iCs/>
          <w:spacing w:val="5"/>
        </w:rPr>
        <w:t xml:space="preserve"> </w:t>
      </w:r>
      <w:r w:rsidR="007F49F9">
        <w:rPr>
          <w:bCs/>
          <w:iCs/>
          <w:spacing w:val="5"/>
        </w:rPr>
        <w:t xml:space="preserve"> </w:t>
      </w:r>
      <w:r w:rsidR="003B3034">
        <w:rPr>
          <w:bCs/>
          <w:iCs/>
          <w:spacing w:val="5"/>
        </w:rPr>
        <w:t>N</w:t>
      </w:r>
      <w:r w:rsidRPr="007B5DC1">
        <w:t>o significant spatial pattern</w:t>
      </w:r>
      <w:r>
        <w:t>s</w:t>
      </w:r>
      <w:r w:rsidRPr="007B5DC1">
        <w:t xml:space="preserve"> </w:t>
      </w:r>
      <w:r w:rsidR="003B3034">
        <w:t xml:space="preserve">were </w:t>
      </w:r>
      <w:r w:rsidRPr="007B5DC1">
        <w:t>observed.</w:t>
      </w:r>
    </w:p>
    <w:tbl>
      <w:tblPr>
        <w:tblW w:w="0" w:type="auto"/>
        <w:tblLook w:val="04A0" w:firstRow="1" w:lastRow="0" w:firstColumn="1" w:lastColumn="0" w:noHBand="0" w:noVBand="1"/>
      </w:tblPr>
      <w:tblGrid>
        <w:gridCol w:w="4597"/>
        <w:gridCol w:w="4603"/>
      </w:tblGrid>
      <w:tr w:rsidR="009F26CF" w:rsidTr="005F23F1">
        <w:tc>
          <w:tcPr>
            <w:tcW w:w="4650" w:type="dxa"/>
            <w:shd w:val="clear" w:color="auto" w:fill="auto"/>
            <w:noWrap/>
            <w:vAlign w:val="center"/>
          </w:tcPr>
          <w:p w:rsidR="009F26CF" w:rsidRDefault="003942B6" w:rsidP="00CC18AA">
            <w:pPr>
              <w:spacing w:line="240" w:lineRule="auto"/>
              <w:ind w:left="-108"/>
              <w:contextualSpacing/>
            </w:pPr>
            <w:r>
              <w:br w:type="page"/>
            </w:r>
            <w:r w:rsidR="004176FF" w:rsidRPr="008F5E11">
              <w:rPr>
                <w:noProof/>
                <w:lang w:eastAsia="en-AU"/>
              </w:rPr>
              <w:drawing>
                <wp:inline distT="0" distB="0" distL="0" distR="0">
                  <wp:extent cx="2886075" cy="2657475"/>
                  <wp:effectExtent l="0" t="0" r="0" b="0"/>
                  <wp:docPr id="33" name="Chart 2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c>
          <w:tcPr>
            <w:tcW w:w="4661" w:type="dxa"/>
            <w:shd w:val="clear" w:color="auto" w:fill="auto"/>
            <w:noWrap/>
            <w:vAlign w:val="center"/>
          </w:tcPr>
          <w:p w:rsidR="009F26CF" w:rsidRDefault="004176FF" w:rsidP="00CC18AA">
            <w:pPr>
              <w:spacing w:line="240" w:lineRule="auto"/>
              <w:contextualSpacing/>
            </w:pPr>
            <w:r w:rsidRPr="008F5E11">
              <w:rPr>
                <w:noProof/>
                <w:lang w:eastAsia="en-AU"/>
              </w:rPr>
              <w:drawing>
                <wp:inline distT="0" distB="0" distL="0" distR="0">
                  <wp:extent cx="2819400" cy="2828925"/>
                  <wp:effectExtent l="0" t="0" r="0" b="0"/>
                  <wp:docPr id="34" name="Chart 2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r w:rsidR="009F26CF" w:rsidTr="005F23F1">
        <w:tc>
          <w:tcPr>
            <w:tcW w:w="9311" w:type="dxa"/>
            <w:gridSpan w:val="2"/>
            <w:shd w:val="clear" w:color="auto" w:fill="auto"/>
            <w:noWrap/>
            <w:vAlign w:val="center"/>
          </w:tcPr>
          <w:p w:rsidR="009F26CF" w:rsidRDefault="00416FA7" w:rsidP="00416FA7">
            <w:pPr>
              <w:pStyle w:val="Caption"/>
            </w:pPr>
            <w:bookmarkStart w:id="47" w:name="_Ref459892541"/>
            <w:r>
              <w:t xml:space="preserve">Figure </w:t>
            </w:r>
            <w:fldSimple w:instr=" STYLEREF 6 \s ">
              <w:r w:rsidR="00673DAF">
                <w:rPr>
                  <w:noProof/>
                </w:rPr>
                <w:t>D</w:t>
              </w:r>
            </w:fldSimple>
            <w:r w:rsidR="00673DAF">
              <w:noBreakHyphen/>
            </w:r>
            <w:fldSimple w:instr=" SEQ Figure \* ARABIC \s 6 ">
              <w:r w:rsidR="00673DAF">
                <w:rPr>
                  <w:noProof/>
                </w:rPr>
                <w:t>6</w:t>
              </w:r>
            </w:fldSimple>
            <w:bookmarkEnd w:id="47"/>
            <w:r>
              <w:t xml:space="preserve"> </w:t>
            </w:r>
            <w:r w:rsidRPr="0070369F">
              <w:t>Mean concentrations ± standard deviation (SD) of Dissolved Organic and Total Suspended Solid</w:t>
            </w:r>
          </w:p>
        </w:tc>
      </w:tr>
    </w:tbl>
    <w:p w:rsidR="00DB4624" w:rsidRDefault="00DB4624" w:rsidP="00CD2D1C">
      <w:pPr>
        <w:pStyle w:val="Heading8"/>
      </w:pPr>
      <w:r>
        <w:t>Stream Metabolism</w:t>
      </w:r>
    </w:p>
    <w:p w:rsidR="00DB4624" w:rsidRDefault="00DB4624" w:rsidP="00DB4624">
      <w:r>
        <w:t xml:space="preserve">Chlorophyll </w:t>
      </w:r>
      <w:r w:rsidRPr="00F2390B">
        <w:rPr>
          <w:i/>
        </w:rPr>
        <w:t>a</w:t>
      </w:r>
      <w:r>
        <w:t xml:space="preserve"> concentrations ranged between 1 and 42 µg/L. Moomin Creek had significantly higher (</w:t>
      </w:r>
      <w:proofErr w:type="gramStart"/>
      <w:r>
        <w:t>F(</w:t>
      </w:r>
      <w:proofErr w:type="gramEnd"/>
      <w:r>
        <w:t xml:space="preserve">3,35) =3.006, p&lt;0.05,) chlorophyll </w:t>
      </w:r>
      <w:r w:rsidRPr="00F2390B">
        <w:rPr>
          <w:i/>
        </w:rPr>
        <w:t>a</w:t>
      </w:r>
      <w:r>
        <w:t xml:space="preserve"> concentrations compared with Gwydir River. </w:t>
      </w:r>
      <w:r w:rsidR="007F49F9">
        <w:t xml:space="preserve"> </w:t>
      </w:r>
      <w:r>
        <w:t xml:space="preserve">Chlorophyll </w:t>
      </w:r>
      <w:r w:rsidRPr="003B3034">
        <w:rPr>
          <w:i/>
        </w:rPr>
        <w:t>a</w:t>
      </w:r>
      <w:r>
        <w:t xml:space="preserve"> concentrations were </w:t>
      </w:r>
      <w:r w:rsidR="003B3034">
        <w:t>generally</w:t>
      </w:r>
      <w:r>
        <w:t xml:space="preserve"> higher in T3 and T4 compared with T1 (</w:t>
      </w:r>
      <w:proofErr w:type="gramStart"/>
      <w:r>
        <w:t>F(</w:t>
      </w:r>
      <w:proofErr w:type="gramEnd"/>
      <w:r>
        <w:t>3,35) =3.452, p&lt;0.05,</w:t>
      </w:r>
      <w:r w:rsidR="00F40CB8">
        <w:t xml:space="preserve"> </w:t>
      </w:r>
      <w:r w:rsidR="003956BA">
        <w:fldChar w:fldCharType="begin"/>
      </w:r>
      <w:r w:rsidR="003956BA">
        <w:instrText xml:space="preserve"> REF _Ref459892572 \h </w:instrText>
      </w:r>
      <w:r w:rsidR="003956BA">
        <w:fldChar w:fldCharType="separate"/>
      </w:r>
      <w:r w:rsidR="005D5925">
        <w:t xml:space="preserve">Figure </w:t>
      </w:r>
      <w:r w:rsidR="005D5925">
        <w:rPr>
          <w:noProof/>
        </w:rPr>
        <w:t>D</w:t>
      </w:r>
      <w:r w:rsidR="005D5925">
        <w:noBreakHyphen/>
      </w:r>
      <w:r w:rsidR="005D5925">
        <w:rPr>
          <w:noProof/>
        </w:rPr>
        <w:t>7</w:t>
      </w:r>
      <w:r w:rsidR="003956BA">
        <w:fldChar w:fldCharType="end"/>
      </w:r>
      <w:r>
        <w:t>) and reflected patterns of increased available phosphorus and nitrogen in the water column.</w:t>
      </w:r>
    </w:p>
    <w:p w:rsidR="003942B6" w:rsidRDefault="004176FF" w:rsidP="003942B6">
      <w:pPr>
        <w:keepNext/>
        <w:spacing w:line="240" w:lineRule="auto"/>
        <w:jc w:val="center"/>
      </w:pPr>
      <w:r w:rsidRPr="008F5E11">
        <w:rPr>
          <w:noProof/>
          <w:lang w:eastAsia="en-AU"/>
        </w:rPr>
        <w:drawing>
          <wp:inline distT="0" distB="0" distL="0" distR="0">
            <wp:extent cx="3247390" cy="2686050"/>
            <wp:effectExtent l="0" t="0" r="10160" b="0"/>
            <wp:docPr id="35" name="Chart 21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584342" w:rsidRDefault="003942B6" w:rsidP="009F26CF">
      <w:pPr>
        <w:pStyle w:val="Caption"/>
        <w:spacing w:after="360"/>
        <w:jc w:val="left"/>
      </w:pPr>
      <w:bookmarkStart w:id="48" w:name="_Ref459892572"/>
      <w:r>
        <w:t xml:space="preserve">Figure </w:t>
      </w:r>
      <w:fldSimple w:instr=" STYLEREF 6 \s ">
        <w:r w:rsidR="00673DAF">
          <w:rPr>
            <w:noProof/>
          </w:rPr>
          <w:t>D</w:t>
        </w:r>
      </w:fldSimple>
      <w:r w:rsidR="00673DAF">
        <w:noBreakHyphen/>
      </w:r>
      <w:fldSimple w:instr=" SEQ Figure \* ARABIC \s 6 ">
        <w:r w:rsidR="00673DAF">
          <w:rPr>
            <w:noProof/>
          </w:rPr>
          <w:t>7</w:t>
        </w:r>
      </w:fldSimple>
      <w:bookmarkEnd w:id="48"/>
      <w:r>
        <w:t xml:space="preserve"> </w:t>
      </w:r>
      <w:r w:rsidRPr="00852200">
        <w:t xml:space="preserve">Mean concentrations ± standard deviation (SD) of Chlorophyll </w:t>
      </w:r>
      <w:r w:rsidRPr="00852200">
        <w:rPr>
          <w:i/>
        </w:rPr>
        <w:t>a</w:t>
      </w:r>
      <w:r w:rsidRPr="00852200">
        <w:t>.</w:t>
      </w:r>
    </w:p>
    <w:p w:rsidR="00DB4624" w:rsidRDefault="00DB4624" w:rsidP="00DB4624">
      <w:r>
        <w:t xml:space="preserve">The Gingham </w:t>
      </w:r>
      <w:r w:rsidR="001C3C04">
        <w:t>watercourse</w:t>
      </w:r>
      <w:r>
        <w:t xml:space="preserve"> had significantly higher rates of GPP (</w:t>
      </w:r>
      <w:proofErr w:type="gramStart"/>
      <w:r>
        <w:t>F(</w:t>
      </w:r>
      <w:proofErr w:type="gramEnd"/>
      <w:r>
        <w:t xml:space="preserve">1,42), 27.373, p&lt;0.005, </w:t>
      </w:r>
      <w:r w:rsidR="003956BA">
        <w:fldChar w:fldCharType="begin"/>
      </w:r>
      <w:r w:rsidR="003956BA">
        <w:instrText xml:space="preserve"> REF _Ref459892597 \h </w:instrText>
      </w:r>
      <w:r w:rsidR="003956BA">
        <w:fldChar w:fldCharType="separate"/>
      </w:r>
      <w:r w:rsidR="005D5925">
        <w:t xml:space="preserve">Figure </w:t>
      </w:r>
      <w:r w:rsidR="005D5925">
        <w:rPr>
          <w:noProof/>
        </w:rPr>
        <w:t>D</w:t>
      </w:r>
      <w:r w:rsidR="005D5925">
        <w:noBreakHyphen/>
      </w:r>
      <w:r w:rsidR="005D5925">
        <w:rPr>
          <w:noProof/>
        </w:rPr>
        <w:t>8</w:t>
      </w:r>
      <w:r w:rsidR="003956BA">
        <w:fldChar w:fldCharType="end"/>
      </w:r>
      <w:r>
        <w:t xml:space="preserve">a) and ER (F(1,42),50.888, p&lt;0.005, </w:t>
      </w:r>
      <w:r w:rsidR="003956BA">
        <w:fldChar w:fldCharType="begin"/>
      </w:r>
      <w:r w:rsidR="003956BA">
        <w:instrText xml:space="preserve"> REF _Ref459892597 \h </w:instrText>
      </w:r>
      <w:r w:rsidR="003956BA">
        <w:fldChar w:fldCharType="separate"/>
      </w:r>
      <w:r w:rsidR="005D5925">
        <w:t xml:space="preserve">Figure </w:t>
      </w:r>
      <w:r w:rsidR="005D5925">
        <w:rPr>
          <w:noProof/>
        </w:rPr>
        <w:t>D</w:t>
      </w:r>
      <w:r w:rsidR="005D5925">
        <w:noBreakHyphen/>
      </w:r>
      <w:r w:rsidR="005D5925">
        <w:rPr>
          <w:noProof/>
        </w:rPr>
        <w:t>8</w:t>
      </w:r>
      <w:r w:rsidR="003956BA">
        <w:fldChar w:fldCharType="end"/>
      </w:r>
      <w:r>
        <w:t xml:space="preserve">b) than the Gwydir River. </w:t>
      </w:r>
      <w:r w:rsidR="007F49F9">
        <w:t xml:space="preserve"> </w:t>
      </w:r>
      <w:r>
        <w:t xml:space="preserve">In the Gingham </w:t>
      </w:r>
      <w:r w:rsidR="001C3C04">
        <w:t>watercourse</w:t>
      </w:r>
      <w:r>
        <w:t>, the mean rate of GPP ranged from 1.30 to 36.48 mg O</w:t>
      </w:r>
      <w:r w:rsidRPr="00105B9C">
        <w:rPr>
          <w:vertAlign w:val="subscript"/>
        </w:rPr>
        <w:t>2</w:t>
      </w:r>
      <w:r>
        <w:t>/L/day and rate of mean ER ranged from 5.17 to 39.49</w:t>
      </w:r>
      <w:r w:rsidRPr="0018694F">
        <w:t xml:space="preserve"> </w:t>
      </w:r>
      <w:r>
        <w:t>mg O</w:t>
      </w:r>
      <w:r w:rsidRPr="00105B9C">
        <w:rPr>
          <w:vertAlign w:val="subscript"/>
        </w:rPr>
        <w:t>2</w:t>
      </w:r>
      <w:r>
        <w:t>/L/day.</w:t>
      </w:r>
      <w:r w:rsidR="007F49F9">
        <w:t xml:space="preserve"> </w:t>
      </w:r>
      <w:r>
        <w:t>In the Gwydir River, the mean rate of GPP ranged from 0.63 to 6.05 mg O</w:t>
      </w:r>
      <w:r w:rsidRPr="00105B9C">
        <w:rPr>
          <w:vertAlign w:val="subscript"/>
        </w:rPr>
        <w:t>2</w:t>
      </w:r>
      <w:r>
        <w:t>/L/day and rate of mean ER ranged from 1.33 to 7.00</w:t>
      </w:r>
      <w:r w:rsidRPr="0018694F">
        <w:t xml:space="preserve"> </w:t>
      </w:r>
      <w:r>
        <w:t>mg O</w:t>
      </w:r>
      <w:r w:rsidRPr="00105B9C">
        <w:rPr>
          <w:vertAlign w:val="subscript"/>
        </w:rPr>
        <w:t>2</w:t>
      </w:r>
      <w:r>
        <w:t xml:space="preserve">/L/day. </w:t>
      </w:r>
      <w:r w:rsidR="007F49F9">
        <w:t xml:space="preserve"> </w:t>
      </w:r>
      <w:r>
        <w:t xml:space="preserve">A temporal pattern in rates of GPP and ER were also observed across zones with T3 were significantly higher than T1 and T2 (pairwise p&lt;0.05). </w:t>
      </w:r>
    </w:p>
    <w:p w:rsidR="00DB4624" w:rsidRDefault="003B3034" w:rsidP="00DB4624">
      <w:r>
        <w:t>In all samples (</w:t>
      </w:r>
      <w:r w:rsidR="00DB4624">
        <w:t xml:space="preserve">except BUNOW and GINOW </w:t>
      </w:r>
      <w:r w:rsidR="005D17AB">
        <w:t xml:space="preserve">during </w:t>
      </w:r>
      <w:r w:rsidR="00DB4624">
        <w:t>T4</w:t>
      </w:r>
      <w:r>
        <w:t>)</w:t>
      </w:r>
      <w:r w:rsidR="00DB4624">
        <w:t xml:space="preserve"> the rates of ER were consistently higher than rates of GPP (</w:t>
      </w:r>
      <w:r w:rsidR="003956BA">
        <w:fldChar w:fldCharType="begin"/>
      </w:r>
      <w:r w:rsidR="003956BA">
        <w:instrText xml:space="preserve"> REF _Ref459892597 \h </w:instrText>
      </w:r>
      <w:r w:rsidR="003956BA">
        <w:fldChar w:fldCharType="separate"/>
      </w:r>
      <w:r w:rsidR="005D5925">
        <w:t xml:space="preserve">Figure </w:t>
      </w:r>
      <w:r w:rsidR="005D5925">
        <w:rPr>
          <w:noProof/>
        </w:rPr>
        <w:t>D</w:t>
      </w:r>
      <w:r w:rsidR="005D5925">
        <w:noBreakHyphen/>
      </w:r>
      <w:r w:rsidR="005D5925">
        <w:rPr>
          <w:noProof/>
        </w:rPr>
        <w:t>8</w:t>
      </w:r>
      <w:r w:rsidR="003956BA">
        <w:fldChar w:fldCharType="end"/>
      </w:r>
      <w:r w:rsidR="00DB4624">
        <w:t>c)</w:t>
      </w:r>
      <w:r>
        <w:t xml:space="preserve">, </w:t>
      </w:r>
      <w:r w:rsidR="00DB4624">
        <w:t xml:space="preserve">resulting in </w:t>
      </w:r>
      <w:r>
        <w:t xml:space="preserve">negative </w:t>
      </w:r>
      <w:r w:rsidR="00DB4624">
        <w:t xml:space="preserve">daily respiration exceeding primary production. </w:t>
      </w:r>
      <w:r w:rsidR="007F49F9">
        <w:t xml:space="preserve"> </w:t>
      </w:r>
      <w:r w:rsidR="00DB4624">
        <w:t xml:space="preserve">Most sites were therefore consistently net heterotrophic throughout the period of inundation, despite the often very high rates of GPP. </w:t>
      </w:r>
      <w:r w:rsidR="007F49F9">
        <w:t xml:space="preserve"> </w:t>
      </w:r>
      <w:r w:rsidR="00DB4624">
        <w:t>Rates of NPP were significantly different spatially and temporally throughout the study period (</w:t>
      </w:r>
      <w:proofErr w:type="gramStart"/>
      <w:r w:rsidR="00DB4624">
        <w:t>F(</w:t>
      </w:r>
      <w:proofErr w:type="gramEnd"/>
      <w:r w:rsidR="00DB4624">
        <w:t xml:space="preserve">3,42), 13.779, p&lt;0.005). </w:t>
      </w:r>
      <w:r w:rsidR="007F49F9">
        <w:t xml:space="preserve">  </w:t>
      </w:r>
      <w:r w:rsidR="00DB4624">
        <w:t xml:space="preserve">Rates of NPP in the Gingham </w:t>
      </w:r>
      <w:r w:rsidR="001C3C04">
        <w:t>watercourse</w:t>
      </w:r>
      <w:r>
        <w:t xml:space="preserve"> o</w:t>
      </w:r>
      <w:r w:rsidR="00DB4624">
        <w:t xml:space="preserve">pen </w:t>
      </w:r>
      <w:r>
        <w:t>w</w:t>
      </w:r>
      <w:r w:rsidR="00DB4624">
        <w:t xml:space="preserve">ater habitat (BUNOW and GINOW) at </w:t>
      </w:r>
      <w:r>
        <w:t xml:space="preserve">the end of the study period </w:t>
      </w:r>
      <w:r w:rsidR="00DB4624">
        <w:t>were significant</w:t>
      </w:r>
      <w:r w:rsidR="00A72BEF">
        <w:t>ly</w:t>
      </w:r>
      <w:r w:rsidR="00DB4624">
        <w:t xml:space="preserve"> higher than in the Gingham </w:t>
      </w:r>
      <w:r w:rsidR="001C3C04">
        <w:t>watercourse</w:t>
      </w:r>
      <w:r w:rsidR="00DB4624">
        <w:t xml:space="preserve"> in T2 and T3, and the Gwydir River T2 and T3</w:t>
      </w:r>
      <w:r>
        <w:t xml:space="preserve"> </w:t>
      </w:r>
      <w:r w:rsidR="00DB4624">
        <w:t xml:space="preserve">(pairwise p&lt;0.05). </w:t>
      </w:r>
    </w:p>
    <w:p w:rsidR="006606A6" w:rsidRDefault="006606A6" w:rsidP="00DB4624">
      <w:pPr>
        <w:rPr>
          <w:lang w:eastAsia="en-AU"/>
        </w:rPr>
      </w:pPr>
      <w:r w:rsidRPr="008061E8">
        <w:rPr>
          <w:lang w:eastAsia="en-AU"/>
        </w:rPr>
        <w:t>At the</w:t>
      </w:r>
      <w:r>
        <w:rPr>
          <w:lang w:eastAsia="en-AU"/>
        </w:rPr>
        <w:t xml:space="preserve"> wetland</w:t>
      </w:r>
      <w:r w:rsidRPr="008061E8">
        <w:rPr>
          <w:lang w:eastAsia="en-AU"/>
        </w:rPr>
        <w:t xml:space="preserve"> </w:t>
      </w:r>
      <w:r>
        <w:rPr>
          <w:lang w:eastAsia="en-AU"/>
        </w:rPr>
        <w:t>s</w:t>
      </w:r>
      <w:r w:rsidRPr="008061E8">
        <w:rPr>
          <w:lang w:eastAsia="en-AU"/>
        </w:rPr>
        <w:t xml:space="preserve">cale, rates of GPP and ER were the highest in the </w:t>
      </w:r>
      <w:r>
        <w:rPr>
          <w:lang w:eastAsia="en-AU"/>
        </w:rPr>
        <w:t xml:space="preserve">shallow </w:t>
      </w:r>
      <w:r w:rsidRPr="008061E8">
        <w:rPr>
          <w:lang w:eastAsia="en-AU"/>
        </w:rPr>
        <w:t xml:space="preserve">water couch habitat </w:t>
      </w:r>
      <w:r>
        <w:rPr>
          <w:lang w:eastAsia="en-AU"/>
        </w:rPr>
        <w:t>as water levels receded</w:t>
      </w:r>
      <w:r w:rsidRPr="008061E8">
        <w:rPr>
          <w:lang w:eastAsia="en-AU"/>
        </w:rPr>
        <w:t xml:space="preserve"> </w:t>
      </w:r>
      <w:r>
        <w:rPr>
          <w:lang w:eastAsia="en-AU"/>
        </w:rPr>
        <w:t>(</w:t>
      </w:r>
      <w:r w:rsidRPr="008061E8">
        <w:rPr>
          <w:lang w:eastAsia="en-AU"/>
        </w:rPr>
        <w:t>T3</w:t>
      </w:r>
      <w:r>
        <w:rPr>
          <w:lang w:eastAsia="en-AU"/>
        </w:rPr>
        <w:t xml:space="preserve">; </w:t>
      </w:r>
      <w:r w:rsidR="003956BA">
        <w:rPr>
          <w:lang w:eastAsia="en-AU"/>
        </w:rPr>
        <w:fldChar w:fldCharType="begin"/>
      </w:r>
      <w:r w:rsidR="003956BA">
        <w:rPr>
          <w:lang w:eastAsia="en-AU"/>
        </w:rPr>
        <w:instrText xml:space="preserve"> REF _Ref459892623 \h </w:instrText>
      </w:r>
      <w:r w:rsidR="003956BA">
        <w:rPr>
          <w:lang w:eastAsia="en-AU"/>
        </w:rPr>
      </w:r>
      <w:r w:rsidR="003956BA">
        <w:rPr>
          <w:lang w:eastAsia="en-AU"/>
        </w:rPr>
        <w:fldChar w:fldCharType="separate"/>
      </w:r>
      <w:r w:rsidR="005D5925">
        <w:t xml:space="preserve">Figure </w:t>
      </w:r>
      <w:r w:rsidR="005D5925">
        <w:rPr>
          <w:noProof/>
        </w:rPr>
        <w:t>D</w:t>
      </w:r>
      <w:r w:rsidR="005D5925">
        <w:noBreakHyphen/>
      </w:r>
      <w:r w:rsidR="005D5925">
        <w:rPr>
          <w:noProof/>
        </w:rPr>
        <w:t>9</w:t>
      </w:r>
      <w:r w:rsidR="003956BA">
        <w:rPr>
          <w:lang w:eastAsia="en-AU"/>
        </w:rPr>
        <w:fldChar w:fldCharType="end"/>
      </w:r>
      <w:r>
        <w:rPr>
          <w:lang w:eastAsia="en-AU"/>
        </w:rPr>
        <w:t>)</w:t>
      </w:r>
      <w:r w:rsidRPr="008061E8">
        <w:rPr>
          <w:lang w:eastAsia="en-AU"/>
        </w:rPr>
        <w:t xml:space="preserve">. </w:t>
      </w:r>
      <w:r w:rsidR="007F49F9">
        <w:rPr>
          <w:lang w:eastAsia="en-AU"/>
        </w:rPr>
        <w:t xml:space="preserve"> </w:t>
      </w:r>
      <w:r w:rsidRPr="008061E8">
        <w:rPr>
          <w:lang w:eastAsia="en-AU"/>
        </w:rPr>
        <w:t>Rates of GPP and ER in the open water habitat were similar across sampling occasions. Mean rates of NPP ranged from -507 to 144 mg O</w:t>
      </w:r>
      <w:r w:rsidRPr="008061E8">
        <w:rPr>
          <w:vertAlign w:val="subscript"/>
          <w:lang w:eastAsia="en-AU"/>
        </w:rPr>
        <w:t>2</w:t>
      </w:r>
      <w:r w:rsidRPr="008061E8">
        <w:rPr>
          <w:lang w:eastAsia="en-AU"/>
        </w:rPr>
        <w:t>/m</w:t>
      </w:r>
      <w:r w:rsidRPr="008061E8">
        <w:rPr>
          <w:vertAlign w:val="superscript"/>
          <w:lang w:eastAsia="en-AU"/>
        </w:rPr>
        <w:t>2</w:t>
      </w:r>
      <w:r w:rsidRPr="008061E8">
        <w:rPr>
          <w:lang w:eastAsia="en-AU"/>
        </w:rPr>
        <w:t>/day in all sampling occasions.</w:t>
      </w:r>
    </w:p>
    <w:tbl>
      <w:tblPr>
        <w:tblW w:w="0" w:type="auto"/>
        <w:tblLook w:val="04A0" w:firstRow="1" w:lastRow="0" w:firstColumn="1" w:lastColumn="0" w:noHBand="0" w:noVBand="1"/>
      </w:tblPr>
      <w:tblGrid>
        <w:gridCol w:w="4600"/>
        <w:gridCol w:w="4600"/>
      </w:tblGrid>
      <w:tr w:rsidR="00CB5A5F" w:rsidTr="00CC18AA">
        <w:tc>
          <w:tcPr>
            <w:tcW w:w="4600" w:type="dxa"/>
            <w:shd w:val="clear" w:color="auto" w:fill="auto"/>
            <w:noWrap/>
            <w:vAlign w:val="center"/>
          </w:tcPr>
          <w:p w:rsidR="00CB5A5F" w:rsidRDefault="004176FF" w:rsidP="00CC18AA">
            <w:pPr>
              <w:spacing w:line="240" w:lineRule="auto"/>
            </w:pPr>
            <w:r w:rsidRPr="008F5E11">
              <w:rPr>
                <w:noProof/>
                <w:lang w:eastAsia="en-AU"/>
              </w:rPr>
              <w:drawing>
                <wp:inline distT="0" distB="0" distL="0" distR="0">
                  <wp:extent cx="2722880" cy="2485390"/>
                  <wp:effectExtent l="0" t="0" r="1270" b="10160"/>
                  <wp:docPr id="36" name="Char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c>
          <w:tcPr>
            <w:tcW w:w="4600" w:type="dxa"/>
            <w:vMerge w:val="restart"/>
            <w:shd w:val="clear" w:color="auto" w:fill="auto"/>
            <w:noWrap/>
            <w:vAlign w:val="center"/>
          </w:tcPr>
          <w:p w:rsidR="00CB5A5F" w:rsidRDefault="004176FF" w:rsidP="00CC18AA">
            <w:pPr>
              <w:spacing w:line="240" w:lineRule="auto"/>
              <w:jc w:val="left"/>
            </w:pPr>
            <w:r w:rsidRPr="008F5E11">
              <w:rPr>
                <w:noProof/>
                <w:lang w:eastAsia="en-AU"/>
              </w:rPr>
              <w:drawing>
                <wp:inline distT="0" distB="0" distL="0" distR="0">
                  <wp:extent cx="2731135" cy="2581275"/>
                  <wp:effectExtent l="0" t="0" r="12065" b="9525"/>
                  <wp:docPr id="37" name="Char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r w:rsidR="00CB5A5F" w:rsidTr="00CC18AA">
        <w:tc>
          <w:tcPr>
            <w:tcW w:w="4600" w:type="dxa"/>
            <w:shd w:val="clear" w:color="auto" w:fill="auto"/>
            <w:noWrap/>
            <w:vAlign w:val="center"/>
          </w:tcPr>
          <w:p w:rsidR="00CB5A5F" w:rsidRDefault="004176FF" w:rsidP="00CC18AA">
            <w:pPr>
              <w:keepNext/>
              <w:spacing w:line="240" w:lineRule="auto"/>
            </w:pPr>
            <w:r w:rsidRPr="008F5E11">
              <w:rPr>
                <w:noProof/>
                <w:lang w:eastAsia="en-AU"/>
              </w:rPr>
              <w:drawing>
                <wp:inline distT="0" distB="0" distL="0" distR="0">
                  <wp:extent cx="2724150" cy="2047875"/>
                  <wp:effectExtent l="0" t="0" r="0" b="0"/>
                  <wp:docPr id="38" name="Chart 21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c>
          <w:tcPr>
            <w:tcW w:w="4600" w:type="dxa"/>
            <w:vMerge/>
            <w:shd w:val="clear" w:color="auto" w:fill="auto"/>
            <w:noWrap/>
            <w:vAlign w:val="center"/>
          </w:tcPr>
          <w:p w:rsidR="00CB5A5F" w:rsidRDefault="00CB5A5F" w:rsidP="00DB4624"/>
        </w:tc>
      </w:tr>
      <w:tr w:rsidR="00CB5A5F" w:rsidTr="00CC18AA">
        <w:tc>
          <w:tcPr>
            <w:tcW w:w="9200" w:type="dxa"/>
            <w:gridSpan w:val="2"/>
            <w:shd w:val="clear" w:color="auto" w:fill="auto"/>
            <w:noWrap/>
            <w:vAlign w:val="center"/>
          </w:tcPr>
          <w:p w:rsidR="00CB5A5F" w:rsidRDefault="00CB5A5F" w:rsidP="00CB5A5F">
            <w:pPr>
              <w:pStyle w:val="Caption"/>
            </w:pPr>
            <w:bookmarkStart w:id="49" w:name="_Ref459892597"/>
            <w:r>
              <w:t xml:space="preserve">Figure </w:t>
            </w:r>
            <w:fldSimple w:instr=" STYLEREF 6 \s ">
              <w:r w:rsidR="00673DAF">
                <w:rPr>
                  <w:noProof/>
                </w:rPr>
                <w:t>D</w:t>
              </w:r>
            </w:fldSimple>
            <w:r w:rsidR="00673DAF">
              <w:noBreakHyphen/>
            </w:r>
            <w:fldSimple w:instr=" SEQ Figure \* ARABIC \s 6 ">
              <w:r w:rsidR="00673DAF">
                <w:rPr>
                  <w:noProof/>
                </w:rPr>
                <w:t>8</w:t>
              </w:r>
            </w:fldSimple>
            <w:bookmarkEnd w:id="49"/>
            <w:r>
              <w:t xml:space="preserve"> </w:t>
            </w:r>
            <w:r w:rsidRPr="00DA7D4A">
              <w:t>Mean rates (mg O2/L/day) ± standard deviation (SD) of Gross Primary Production, Ecosystem Respiration and Net Primary Production.</w:t>
            </w:r>
          </w:p>
        </w:tc>
      </w:tr>
    </w:tbl>
    <w:p w:rsidR="003B3034" w:rsidRDefault="003B3034" w:rsidP="00DB4624"/>
    <w:p w:rsidR="003B3034" w:rsidRDefault="003B3034" w:rsidP="00A72BEF">
      <w:pPr>
        <w:rPr>
          <w:lang w:eastAsia="en-AU"/>
        </w:rPr>
      </w:pPr>
    </w:p>
    <w:tbl>
      <w:tblPr>
        <w:tblW w:w="0" w:type="auto"/>
        <w:tblLook w:val="04A0" w:firstRow="1" w:lastRow="0" w:firstColumn="1" w:lastColumn="0" w:noHBand="0" w:noVBand="1"/>
      </w:tblPr>
      <w:tblGrid>
        <w:gridCol w:w="4615"/>
        <w:gridCol w:w="4585"/>
      </w:tblGrid>
      <w:tr w:rsidR="00CB5A5F" w:rsidTr="00CC18AA">
        <w:trPr>
          <w:trHeight w:val="3825"/>
        </w:trPr>
        <w:tc>
          <w:tcPr>
            <w:tcW w:w="4607" w:type="dxa"/>
            <w:shd w:val="clear" w:color="auto" w:fill="auto"/>
            <w:noWrap/>
            <w:vAlign w:val="center"/>
          </w:tcPr>
          <w:p w:rsidR="00CB5A5F" w:rsidRDefault="004176FF" w:rsidP="00CC18AA">
            <w:pPr>
              <w:spacing w:line="240" w:lineRule="auto"/>
            </w:pPr>
            <w:r w:rsidRPr="008F5E11">
              <w:rPr>
                <w:noProof/>
                <w:lang w:eastAsia="en-AU"/>
              </w:rPr>
              <w:drawing>
                <wp:inline distT="0" distB="0" distL="0" distR="0">
                  <wp:extent cx="2867025" cy="2426970"/>
                  <wp:effectExtent l="0" t="0" r="9525" b="11430"/>
                  <wp:docPr id="39" name="Chart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c>
          <w:tcPr>
            <w:tcW w:w="4593" w:type="dxa"/>
            <w:vMerge w:val="restart"/>
            <w:shd w:val="clear" w:color="auto" w:fill="auto"/>
            <w:noWrap/>
            <w:vAlign w:val="center"/>
          </w:tcPr>
          <w:p w:rsidR="00CB5A5F" w:rsidRDefault="004176FF" w:rsidP="00CC18AA">
            <w:pPr>
              <w:spacing w:before="720" w:line="240" w:lineRule="auto"/>
              <w:jc w:val="left"/>
            </w:pPr>
            <w:r w:rsidRPr="008F5E11">
              <w:rPr>
                <w:noProof/>
                <w:lang w:eastAsia="en-AU"/>
              </w:rPr>
              <w:drawing>
                <wp:inline distT="0" distB="0" distL="0" distR="0">
                  <wp:extent cx="2847975" cy="2181225"/>
                  <wp:effectExtent l="0" t="0" r="9525" b="9525"/>
                  <wp:docPr id="40" name="Chart 2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r>
      <w:tr w:rsidR="00CB5A5F" w:rsidTr="00CC18AA">
        <w:tc>
          <w:tcPr>
            <w:tcW w:w="4607" w:type="dxa"/>
            <w:shd w:val="clear" w:color="auto" w:fill="auto"/>
            <w:noWrap/>
            <w:vAlign w:val="center"/>
          </w:tcPr>
          <w:p w:rsidR="00CB5A5F" w:rsidRDefault="004176FF" w:rsidP="00CC18AA">
            <w:pPr>
              <w:keepNext/>
              <w:spacing w:line="240" w:lineRule="auto"/>
            </w:pPr>
            <w:r w:rsidRPr="008F5E11">
              <w:rPr>
                <w:noProof/>
                <w:lang w:eastAsia="en-AU"/>
              </w:rPr>
              <w:drawing>
                <wp:inline distT="0" distB="0" distL="0" distR="0">
                  <wp:extent cx="2867025" cy="2238375"/>
                  <wp:effectExtent l="0" t="0" r="9525" b="9525"/>
                  <wp:docPr id="41" name="Chart 2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c>
          <w:tcPr>
            <w:tcW w:w="4593" w:type="dxa"/>
            <w:vMerge/>
            <w:shd w:val="clear" w:color="auto" w:fill="auto"/>
            <w:noWrap/>
            <w:vAlign w:val="center"/>
          </w:tcPr>
          <w:p w:rsidR="00CB5A5F" w:rsidRDefault="00CB5A5F" w:rsidP="00A72BEF"/>
        </w:tc>
      </w:tr>
      <w:tr w:rsidR="009F26CF" w:rsidTr="00CC18AA">
        <w:tc>
          <w:tcPr>
            <w:tcW w:w="9200" w:type="dxa"/>
            <w:gridSpan w:val="2"/>
            <w:shd w:val="clear" w:color="auto" w:fill="auto"/>
            <w:noWrap/>
            <w:vAlign w:val="center"/>
          </w:tcPr>
          <w:p w:rsidR="009F26CF" w:rsidRPr="009F26CF" w:rsidRDefault="009F26CF" w:rsidP="009F26CF">
            <w:pPr>
              <w:pStyle w:val="Caption"/>
            </w:pPr>
            <w:bookmarkStart w:id="50" w:name="_Ref459892623"/>
            <w:r>
              <w:t xml:space="preserve">Figure </w:t>
            </w:r>
            <w:fldSimple w:instr=" STYLEREF 6 \s ">
              <w:r w:rsidR="00673DAF">
                <w:rPr>
                  <w:noProof/>
                </w:rPr>
                <w:t>D</w:t>
              </w:r>
            </w:fldSimple>
            <w:r w:rsidR="00673DAF">
              <w:noBreakHyphen/>
            </w:r>
            <w:fldSimple w:instr=" SEQ Figure \* ARABIC \s 6 ">
              <w:r w:rsidR="00673DAF">
                <w:rPr>
                  <w:noProof/>
                </w:rPr>
                <w:t>9</w:t>
              </w:r>
            </w:fldSimple>
            <w:bookmarkEnd w:id="50"/>
            <w:r>
              <w:t xml:space="preserve"> </w:t>
            </w:r>
            <w:r w:rsidRPr="00A158FB">
              <w:t xml:space="preserve">Mean wetland scale rates (mg O2/m2/day) ± standard deviation (SD) of Gross Primary Production, Ecosystem Respiration and Net Primary Production in the Gingham </w:t>
            </w:r>
            <w:r>
              <w:t>watercourse</w:t>
            </w:r>
            <w:r w:rsidRPr="00A158FB">
              <w:t>.</w:t>
            </w:r>
          </w:p>
        </w:tc>
      </w:tr>
    </w:tbl>
    <w:p w:rsidR="003B3034" w:rsidRDefault="003B3034" w:rsidP="00A72BEF"/>
    <w:p w:rsidR="00DB4624" w:rsidRDefault="00DB4624" w:rsidP="00CD2D1C">
      <w:pPr>
        <w:pStyle w:val="Heading8"/>
      </w:pPr>
      <w:r>
        <w:t>Microinvertebrate</w:t>
      </w:r>
      <w:r w:rsidR="005D17AB">
        <w:t>s</w:t>
      </w:r>
    </w:p>
    <w:p w:rsidR="009E6337" w:rsidRDefault="005A1726" w:rsidP="00DB4624">
      <w:r>
        <w:t>A</w:t>
      </w:r>
      <w:r w:rsidR="005E7E2D">
        <w:t xml:space="preserve"> total of 42 taxa were identified (from 86</w:t>
      </w:r>
      <w:r w:rsidR="006C0AD3">
        <w:t xml:space="preserve"> samples</w:t>
      </w:r>
      <w:r w:rsidR="009E6337">
        <w:t xml:space="preserve">; </w:t>
      </w:r>
      <w:r w:rsidR="009E6337">
        <w:fldChar w:fldCharType="begin"/>
      </w:r>
      <w:r w:rsidR="009E6337">
        <w:instrText xml:space="preserve"> REF _Ref459630107 \h </w:instrText>
      </w:r>
      <w:r w:rsidR="009E6337">
        <w:fldChar w:fldCharType="separate"/>
      </w:r>
      <w:r w:rsidR="005D5925">
        <w:t xml:space="preserve">Figure </w:t>
      </w:r>
      <w:r w:rsidR="005D5925">
        <w:rPr>
          <w:noProof/>
        </w:rPr>
        <w:t>D</w:t>
      </w:r>
      <w:r w:rsidR="005D5925">
        <w:noBreakHyphen/>
      </w:r>
      <w:r w:rsidR="005D5925">
        <w:rPr>
          <w:noProof/>
        </w:rPr>
        <w:t>10</w:t>
      </w:r>
      <w:r w:rsidR="009E6337">
        <w:fldChar w:fldCharType="end"/>
      </w:r>
      <w:r w:rsidR="009E6337">
        <w:t>)</w:t>
      </w:r>
      <w:r w:rsidR="006C0AD3">
        <w:t xml:space="preserve">. </w:t>
      </w:r>
      <w:r w:rsidR="007F49F9">
        <w:t xml:space="preserve"> </w:t>
      </w:r>
      <w:r w:rsidR="006C0AD3">
        <w:t>The 18 most abundant</w:t>
      </w:r>
      <w:r w:rsidR="005E7E2D">
        <w:t xml:space="preserve"> taxa (&gt;1% in total abundance) comprised 95% of the total abundance with the most abundant taxa the rotifer Order Bdelloida (24% of the total abundance) and Cladoceran nauplii (13% of the total abundance) that </w:t>
      </w:r>
      <w:r>
        <w:t xml:space="preserve">occurred </w:t>
      </w:r>
      <w:r w:rsidR="005E7E2D">
        <w:t>commonly in all sites and sampling occasions.</w:t>
      </w:r>
      <w:r w:rsidR="007F49F9">
        <w:t xml:space="preserve"> </w:t>
      </w:r>
      <w:r w:rsidR="005E7E2D">
        <w:t xml:space="preserve"> The other most abundant taxa in descending order were the rotifer Family Notommatidae (8%), rotifer Family Brachionidae (8%) and rotifer Family Lecanidae (8%).</w:t>
      </w:r>
    </w:p>
    <w:p w:rsidR="009E6337" w:rsidRDefault="009E6337" w:rsidP="00DB4624"/>
    <w:p w:rsidR="009E6337" w:rsidRDefault="009E6337" w:rsidP="00DB4624"/>
    <w:p w:rsidR="009E6337" w:rsidRDefault="004176FF" w:rsidP="009E6337">
      <w:pPr>
        <w:spacing w:line="240" w:lineRule="auto"/>
        <w:jc w:val="center"/>
      </w:pPr>
      <w:r>
        <w:rPr>
          <w:noProof/>
          <w:lang w:eastAsia="en-AU"/>
        </w:rPr>
        <mc:AlternateContent>
          <mc:Choice Requires="wps">
            <w:drawing>
              <wp:anchor distT="0" distB="0" distL="114300" distR="114300" simplePos="0" relativeHeight="251675648" behindDoc="0" locked="0" layoutInCell="1" allowOverlap="1">
                <wp:simplePos x="0" y="0"/>
                <wp:positionH relativeFrom="column">
                  <wp:posOffset>1600200</wp:posOffset>
                </wp:positionH>
                <wp:positionV relativeFrom="paragraph">
                  <wp:posOffset>156845</wp:posOffset>
                </wp:positionV>
                <wp:extent cx="673100" cy="281305"/>
                <wp:effectExtent l="0" t="0" r="0" b="4445"/>
                <wp:wrapNone/>
                <wp:docPr id="2133" name="Text Box 2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0" cy="281305"/>
                        </a:xfrm>
                        <a:prstGeom prst="rect">
                          <a:avLst/>
                        </a:prstGeom>
                        <a:noFill/>
                        <a:ln w="6350">
                          <a:noFill/>
                        </a:ln>
                        <a:effectLst/>
                      </wps:spPr>
                      <wps:txbx>
                        <w:txbxContent>
                          <w:p w:rsidR="00EA54D5" w:rsidRDefault="00EA54D5" w:rsidP="00293DA3">
                            <w:r>
                              <w:t xml:space="preserve">500 </w:t>
                            </w:r>
                            <w:r>
                              <w:rPr>
                                <w:rFonts w:cs="Arial"/>
                              </w:rPr>
                              <w:t>µ</w:t>
                            </w:r>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33" o:spid="_x0000_s1033" type="#_x0000_t202" style="position:absolute;left:0;text-align:left;margin-left:126pt;margin-top:12.35pt;width:53pt;height:22.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" filled="f" stroked="f" strokeweight=".5pt">
                <v:path arrowok="t"/>
                <v:textbox>
                  <w:txbxContent>
                    <w:p w:rsidR="00EA54D5" w:rsidRDefault="00EA54D5" w:rsidP="00293DA3">
                      <w:r>
                        <w:t xml:space="preserve">500 </w:t>
                      </w:r>
                      <w:r>
                        <w:rPr>
                          <w:rFonts w:cs="Arial"/>
                        </w:rPr>
                        <w:t>µ</w:t>
                      </w:r>
                      <w:r>
                        <w:t>m</w:t>
                      </w:r>
                    </w:p>
                  </w:txbxContent>
                </v:textbox>
              </v:shape>
            </w:pict>
          </mc:Fallback>
        </mc:AlternateContent>
      </w:r>
      <w:r>
        <w:rPr>
          <w:noProof/>
          <w:lang w:eastAsia="en-AU"/>
        </w:rPr>
        <mc:AlternateContent>
          <mc:Choice Requires="wps">
            <w:drawing>
              <wp:anchor distT="0" distB="0" distL="114300" distR="114300" simplePos="0" relativeHeight="251674624" behindDoc="0" locked="0" layoutInCell="1" allowOverlap="1">
                <wp:simplePos x="0" y="0"/>
                <wp:positionH relativeFrom="column">
                  <wp:posOffset>435610</wp:posOffset>
                </wp:positionH>
                <wp:positionV relativeFrom="paragraph">
                  <wp:posOffset>146685</wp:posOffset>
                </wp:positionV>
                <wp:extent cx="241300" cy="281305"/>
                <wp:effectExtent l="0" t="0" r="0" b="4445"/>
                <wp:wrapNone/>
                <wp:docPr id="2132" name="Text Box 2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81305"/>
                        </a:xfrm>
                        <a:prstGeom prst="rect">
                          <a:avLst/>
                        </a:prstGeom>
                        <a:noFill/>
                        <a:ln w="6350">
                          <a:noFill/>
                        </a:ln>
                        <a:effectLst/>
                      </wps:spPr>
                      <wps:txbx>
                        <w:txbxContent>
                          <w:p w:rsidR="00EA54D5" w:rsidRDefault="00EA54D5">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32" o:spid="_x0000_s1034" type="#_x0000_t202" style="position:absolute;left:0;text-align:left;margin-left:34.3pt;margin-top:11.55pt;width:19pt;height:22.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" filled="f" stroked="f" strokeweight=".5pt">
                <v:path arrowok="t"/>
                <v:textbox>
                  <w:txbxContent>
                    <w:p w:rsidR="00EA54D5" w:rsidRDefault="00EA54D5">
                      <w:r>
                        <w:t>0</w:t>
                      </w:r>
                    </w:p>
                  </w:txbxContent>
                </v:textbox>
              </v:shape>
            </w:pict>
          </mc:Fallback>
        </mc:AlternateContent>
      </w:r>
      <w:r>
        <w:rPr>
          <w:noProof/>
          <w:lang w:eastAsia="en-AU"/>
        </w:rPr>
        <mc:AlternateContent>
          <mc:Choice Requires="wpg">
            <w:drawing>
              <wp:anchor distT="0" distB="0" distL="114300" distR="114300" simplePos="0" relativeHeight="251673600" behindDoc="0" locked="0" layoutInCell="1" allowOverlap="1">
                <wp:simplePos x="0" y="0"/>
                <wp:positionH relativeFrom="column">
                  <wp:posOffset>556260</wp:posOffset>
                </wp:positionH>
                <wp:positionV relativeFrom="paragraph">
                  <wp:posOffset>368300</wp:posOffset>
                </wp:positionV>
                <wp:extent cx="1256030" cy="110490"/>
                <wp:effectExtent l="0" t="0" r="20320" b="41910"/>
                <wp:wrapNone/>
                <wp:docPr id="2131" name="Group 2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6030" cy="110490"/>
                          <a:chOff x="0" y="0"/>
                          <a:chExt cx="1256044" cy="110533"/>
                        </a:xfrm>
                      </wpg:grpSpPr>
                      <wps:wsp>
                        <wps:cNvPr id="2127" name="Straight Connector 2127"/>
                        <wps:cNvCnPr/>
                        <wps:spPr>
                          <a:xfrm>
                            <a:off x="0" y="100484"/>
                            <a:ext cx="1256002" cy="10049"/>
                          </a:xfrm>
                          <a:prstGeom prst="line">
                            <a:avLst/>
                          </a:prstGeom>
                          <a:noFill/>
                          <a:ln w="9525" cap="flat" cmpd="sng" algn="ctr">
                            <a:solidFill>
                              <a:sysClr val="windowText" lastClr="000000"/>
                            </a:solidFill>
                            <a:prstDash val="solid"/>
                          </a:ln>
                          <a:effectLst/>
                        </wps:spPr>
                        <wps:bodyPr/>
                      </wps:wsp>
                      <wps:wsp>
                        <wps:cNvPr id="2128" name="Straight Connector 2128"/>
                        <wps:cNvCnPr/>
                        <wps:spPr>
                          <a:xfrm>
                            <a:off x="0" y="0"/>
                            <a:ext cx="0" cy="100330"/>
                          </a:xfrm>
                          <a:prstGeom prst="line">
                            <a:avLst/>
                          </a:prstGeom>
                          <a:noFill/>
                          <a:ln w="9525" cap="flat" cmpd="sng" algn="ctr">
                            <a:solidFill>
                              <a:sysClr val="windowText" lastClr="000000"/>
                            </a:solidFill>
                            <a:prstDash val="solid"/>
                          </a:ln>
                          <a:effectLst/>
                        </wps:spPr>
                        <wps:bodyPr/>
                      </wps:wsp>
                      <wps:wsp>
                        <wps:cNvPr id="2129" name="Straight Connector 2129"/>
                        <wps:cNvCnPr/>
                        <wps:spPr>
                          <a:xfrm>
                            <a:off x="1256044" y="10048"/>
                            <a:ext cx="0" cy="100484"/>
                          </a:xfrm>
                          <a:prstGeom prst="line">
                            <a:avLst/>
                          </a:prstGeom>
                          <a:noFill/>
                          <a:ln w="9525"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0209650A" id="Group 2131" o:spid="_x0000_s1026" style="position:absolute;margin-left:43.8pt;margin-top:29pt;width:98.9pt;height:8.7pt;z-index:251673600" coordsize="12560,1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">
                <v:line id="Straight Connector 2127" o:spid="_x0000_s1027" style="position:absolute;visibility:visible;mso-wrap-style:square" from="0,1004" to="12560,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TyFscAAADdAAAADwAAAGRycy9kb3ducmV2LnhtbESPT2vCQBTE70K/w/IKvUizMYiV1FVE&#10;KvSoaZEeH9mXPzb7Ns1uk9hP3xUEj8PM/IZZbUbTiJ46V1tWMItiEMS51TWXCj4/9s9LEM4ja2ws&#10;k4ILOdisHyYrTLUd+Eh95ksRIOxSVFB536ZSurwigy6yLXHwCtsZ9EF2pdQdDgFuGpnE8UIarDks&#10;VNjSrqL8O/s1CsrdefrzlZ3/5n7xtrT7+eF0KrZKPT2O21cQnkZ/D9/a71pBMkte4PomPAG5/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FPIWxwAAAN0AAAAPAAAAAAAA&#10;AAAAAAAAAKECAABkcnMvZG93bnJldi54bWxQSwUGAAAAAAQABAD5AAAAlQMAAAAA&#10;" strokecolor="windowText"/>
                <v:line id="Straight Connector 2128" o:spid="_x0000_s1028" style="position:absolute;visibility:visible;mso-wrap-style:square" from="0,0" to="0,1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tmZMEAAADdAAAADwAAAGRycy9kb3ducmV2LnhtbERPTYvCMBC9L/gfwgheFk0tIlKNIqLg&#10;0a0iHodmbKvNpDZR6/56cxA8Pt73bNGaSjyocaVlBcNBBII4s7rkXMFhv+lPQDiPrLGyTApe5GAx&#10;7/zMMNH2yX/0SH0uQgi7BBUU3teJlC4ryKAb2Jo4cGfbGPQBNrnUDT5DuKlkHEVjabDk0FBgTauC&#10;smt6Nwry1eX3dkov/yM/Xk/sZrQ7Hs9LpXrddjkF4an1X/HHvdUK4mEc5oY34QnI+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i2ZkwQAAAN0AAAAPAAAAAAAAAAAAAAAA&#10;AKECAABkcnMvZG93bnJldi54bWxQSwUGAAAAAAQABAD5AAAAjwMAAAAA&#10;" strokecolor="windowText"/>
                <v:line id="Straight Connector 2129" o:spid="_x0000_s1029" style="position:absolute;visibility:visible;mso-wrap-style:square" from="12560,100" to="12560,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fD/8cAAADdAAAADwAAAGRycy9kb3ducmV2LnhtbESPT2vCQBTE70K/w/IKvUizMYjY1FVE&#10;KvSoaZEeH9mXPzb7Ns1uk9hP3xUEj8PM/IZZbUbTiJ46V1tWMItiEMS51TWXCj4/9s9LEM4ja2ws&#10;k4ILOdisHyYrTLUd+Eh95ksRIOxSVFB536ZSurwigy6yLXHwCtsZ9EF2pdQdDgFuGpnE8UIarDks&#10;VNjSrqL8O/s1CsrdefrzlZ3/5n7xtrT7+eF0KrZKPT2O21cQnkZ/D9/a71pBMkte4PomPAG5/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x8P/xwAAAN0AAAAPAAAAAAAA&#10;AAAAAAAAAKECAABkcnMvZG93bnJldi54bWxQSwUGAAAAAAQABAD5AAAAlQMAAAAA&#10;" strokecolor="windowText"/>
              </v:group>
            </w:pict>
          </mc:Fallback>
        </mc:AlternateContent>
      </w:r>
      <w:r w:rsidRPr="008F5E11">
        <w:rPr>
          <w:noProof/>
          <w:lang w:eastAsia="en-AU"/>
        </w:rPr>
        <w:drawing>
          <wp:inline distT="0" distB="0" distL="0" distR="0">
            <wp:extent cx="5038725" cy="3781425"/>
            <wp:effectExtent l="19050" t="19050" r="28575" b="28575"/>
            <wp:docPr id="42" name="Picture 319" descr="N:\Projects\15ARM\2427 Gwydir LTIM Stage 2 - Year 2\Indicators\Indicators (Y2)\Macroinvertebrates\Iris bug pics\brach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N:\Projects\15ARM\2427 Gwydir LTIM Stage 2 - Year 2\Indicators\Indicators (Y2)\Macroinvertebrates\Iris bug pics\brachi.TIF"/>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5038725" cy="3781425"/>
                    </a:xfrm>
                    <a:prstGeom prst="rect">
                      <a:avLst/>
                    </a:prstGeom>
                    <a:noFill/>
                    <a:ln w="9525" cmpd="sng">
                      <a:solidFill>
                        <a:srgbClr val="7F7F7F"/>
                      </a:solidFill>
                      <a:miter lim="800000"/>
                      <a:headEnd/>
                      <a:tailEnd/>
                    </a:ln>
                    <a:effectLst/>
                  </pic:spPr>
                </pic:pic>
              </a:graphicData>
            </a:graphic>
          </wp:inline>
        </w:drawing>
      </w:r>
    </w:p>
    <w:p w:rsidR="009E6337" w:rsidRDefault="004176FF" w:rsidP="009E6337">
      <w:pPr>
        <w:keepNext/>
        <w:spacing w:line="240" w:lineRule="auto"/>
        <w:jc w:val="center"/>
      </w:pPr>
      <w:r>
        <w:rPr>
          <w:noProof/>
          <w:lang w:eastAsia="en-AU"/>
        </w:rPr>
        <mc:AlternateContent>
          <mc:Choice Requires="wpg">
            <w:drawing>
              <wp:anchor distT="0" distB="0" distL="114300" distR="114300" simplePos="0" relativeHeight="251676672" behindDoc="0" locked="0" layoutInCell="1" allowOverlap="1">
                <wp:simplePos x="0" y="0"/>
                <wp:positionH relativeFrom="column">
                  <wp:posOffset>537845</wp:posOffset>
                </wp:positionH>
                <wp:positionV relativeFrom="paragraph">
                  <wp:posOffset>239395</wp:posOffset>
                </wp:positionV>
                <wp:extent cx="1256030" cy="110490"/>
                <wp:effectExtent l="0" t="0" r="20320" b="41910"/>
                <wp:wrapNone/>
                <wp:docPr id="2134" name="Group 2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6030" cy="110490"/>
                          <a:chOff x="0" y="0"/>
                          <a:chExt cx="1256044" cy="110533"/>
                        </a:xfrm>
                      </wpg:grpSpPr>
                      <wps:wsp>
                        <wps:cNvPr id="2135" name="Straight Connector 2135"/>
                        <wps:cNvCnPr/>
                        <wps:spPr>
                          <a:xfrm>
                            <a:off x="0" y="100484"/>
                            <a:ext cx="1256002" cy="10049"/>
                          </a:xfrm>
                          <a:prstGeom prst="line">
                            <a:avLst/>
                          </a:prstGeom>
                          <a:noFill/>
                          <a:ln w="9525" cap="flat" cmpd="sng" algn="ctr">
                            <a:solidFill>
                              <a:sysClr val="windowText" lastClr="000000"/>
                            </a:solidFill>
                            <a:prstDash val="solid"/>
                          </a:ln>
                          <a:effectLst/>
                        </wps:spPr>
                        <wps:bodyPr/>
                      </wps:wsp>
                      <wps:wsp>
                        <wps:cNvPr id="2136" name="Straight Connector 2136"/>
                        <wps:cNvCnPr/>
                        <wps:spPr>
                          <a:xfrm>
                            <a:off x="0" y="0"/>
                            <a:ext cx="0" cy="100330"/>
                          </a:xfrm>
                          <a:prstGeom prst="line">
                            <a:avLst/>
                          </a:prstGeom>
                          <a:noFill/>
                          <a:ln w="9525" cap="flat" cmpd="sng" algn="ctr">
                            <a:solidFill>
                              <a:sysClr val="windowText" lastClr="000000"/>
                            </a:solidFill>
                            <a:prstDash val="solid"/>
                          </a:ln>
                          <a:effectLst/>
                        </wps:spPr>
                        <wps:bodyPr/>
                      </wps:wsp>
                      <wps:wsp>
                        <wps:cNvPr id="1026" name="Straight Connector 1026"/>
                        <wps:cNvCnPr/>
                        <wps:spPr>
                          <a:xfrm>
                            <a:off x="1256044" y="10048"/>
                            <a:ext cx="0" cy="100484"/>
                          </a:xfrm>
                          <a:prstGeom prst="line">
                            <a:avLst/>
                          </a:prstGeom>
                          <a:noFill/>
                          <a:ln w="9525"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356775C5" id="Group 2134" o:spid="_x0000_s1026" style="position:absolute;margin-left:42.35pt;margin-top:18.85pt;width:98.9pt;height:8.7pt;z-index:251676672" coordsize="12560,1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">
                <v:line id="Straight Connector 2135" o:spid="_x0000_s1027" style="position:absolute;visibility:visible;mso-wrap-style:square" from="0,1004" to="12560,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NfJ8YAAADdAAAADwAAAGRycy9kb3ducmV2LnhtbESPT4vCMBTE74LfITxhL7Km/kW6RhFZ&#10;weNaF9njo3m21ealNlHrfnojCB6HmfkNM1s0phRXql1hWUG/F4EgTq0uOFPwu1t/TkE4j6yxtEwK&#10;7uRgMW+3Zhhre+MtXROfiQBhF6OC3PsqltKlORl0PVsRB+9ga4M+yDqTusZbgJtSDqJoIg0WHBZy&#10;rGiVU3pKLkZBtjp2z3/J8X/kJ99Tux797PeHpVIfnWb5BcJT49/hV3ujFQz6wzE834Qn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TXyfGAAAA3QAAAA8AAAAAAAAA&#10;AAAAAAAAoQIAAGRycy9kb3ducmV2LnhtbFBLBQYAAAAABAAEAPkAAACUAwAAAAA=&#10;" strokecolor="windowText"/>
                <v:line id="Straight Connector 2136" o:spid="_x0000_s1028" style="position:absolute;visibility:visible;mso-wrap-style:square" from="0,0" to="0,1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BUMYAAADdAAAADwAAAGRycy9kb3ducmV2LnhtbESPT4vCMBTE7wv7HcJb8CJr6h+KVKOI&#10;rOBRq8geH82zrTYv3SZq9dMbQdjjMDO/Yabz1lTiSo0rLSvo9yIQxJnVJecK9rvV9xiE88gaK8uk&#10;4E4O5rPPjykm2t54S9fU5yJA2CWooPC+TqR0WUEGXc/WxME72sagD7LJpW7wFuCmkoMoiqXBksNC&#10;gTUtC8rO6cUoyJen7t9venqMfPwztqvR5nA4LpTqfLWLCQhPrf8Pv9trrWDQH8bwehOegJ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BwVDGAAAA3QAAAA8AAAAAAAAA&#10;AAAAAAAAoQIAAGRycy9kb3ducmV2LnhtbFBLBQYAAAAABAAEAPkAAACUAwAAAAA=&#10;" strokecolor="windowText"/>
                <v:line id="Straight Connector 1026" o:spid="_x0000_s1029" style="position:absolute;visibility:visible;mso-wrap-style:square" from="12560,100" to="12560,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MlAcIAAADdAAAADwAAAGRycy9kb3ducmV2LnhtbERPTYvCMBC9L/gfwgheFk0VKVKNIqLg&#10;0a2LeByasa02k9pErfvrjSDsbR7vc2aL1lTiTo0rLSsYDiIQxJnVJecKfveb/gSE88gaK8uk4EkO&#10;FvPO1wwTbR/8Q/fU5yKEsEtQQeF9nUjpsoIMuoGtiQN3so1BH2CTS93gI4SbSo6iKJYGSw4NBda0&#10;Kii7pDejIF+dv6/H9Pw39vF6Yjfj3eFwWirV67bLKQhPrf8Xf9xbHeZHoxje34QT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9MlAcIAAADdAAAADwAAAAAAAAAAAAAA&#10;AAChAgAAZHJzL2Rvd25yZXYueG1sUEsFBgAAAAAEAAQA+QAAAJADAAAAAA==&#10;" strokecolor="windowText"/>
              </v:group>
            </w:pict>
          </mc:Fallback>
        </mc:AlternateContent>
      </w:r>
      <w:r>
        <w:rPr>
          <w:noProof/>
          <w:lang w:eastAsia="en-AU"/>
        </w:rPr>
        <mc:AlternateContent>
          <mc:Choice Requires="wps">
            <w:drawing>
              <wp:anchor distT="0" distB="0" distL="114300" distR="114300" simplePos="0" relativeHeight="251677696" behindDoc="0" locked="0" layoutInCell="1" allowOverlap="1">
                <wp:simplePos x="0" y="0"/>
                <wp:positionH relativeFrom="column">
                  <wp:posOffset>414020</wp:posOffset>
                </wp:positionH>
                <wp:positionV relativeFrom="paragraph">
                  <wp:posOffset>20320</wp:posOffset>
                </wp:positionV>
                <wp:extent cx="241300" cy="281305"/>
                <wp:effectExtent l="0" t="0" r="0" b="4445"/>
                <wp:wrapNone/>
                <wp:docPr id="1029"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81305"/>
                        </a:xfrm>
                        <a:prstGeom prst="rect">
                          <a:avLst/>
                        </a:prstGeom>
                        <a:noFill/>
                        <a:ln w="6350">
                          <a:noFill/>
                        </a:ln>
                        <a:effectLst/>
                      </wps:spPr>
                      <wps:txbx>
                        <w:txbxContent>
                          <w:p w:rsidR="00EA54D5" w:rsidRDefault="00EA54D5" w:rsidP="002F658F">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9" o:spid="_x0000_s1035" type="#_x0000_t202" style="position:absolute;left:0;text-align:left;margin-left:32.6pt;margin-top:1.6pt;width:19pt;height:22.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" filled="f" stroked="f" strokeweight=".5pt">
                <v:path arrowok="t"/>
                <v:textbox>
                  <w:txbxContent>
                    <w:p w:rsidR="00EA54D5" w:rsidRDefault="00EA54D5" w:rsidP="002F658F">
                      <w:r>
                        <w:t>0</w:t>
                      </w:r>
                    </w:p>
                  </w:txbxContent>
                </v:textbox>
              </v:shape>
            </w:pict>
          </mc:Fallback>
        </mc:AlternateContent>
      </w:r>
      <w:r>
        <w:rPr>
          <w:noProof/>
          <w:lang w:eastAsia="en-AU"/>
        </w:rPr>
        <mc:AlternateContent>
          <mc:Choice Requires="wps">
            <w:drawing>
              <wp:anchor distT="0" distB="0" distL="114300" distR="114300" simplePos="0" relativeHeight="251678720" behindDoc="0" locked="0" layoutInCell="1" allowOverlap="1">
                <wp:simplePos x="0" y="0"/>
                <wp:positionH relativeFrom="column">
                  <wp:posOffset>1578610</wp:posOffset>
                </wp:positionH>
                <wp:positionV relativeFrom="paragraph">
                  <wp:posOffset>29845</wp:posOffset>
                </wp:positionV>
                <wp:extent cx="673100" cy="281305"/>
                <wp:effectExtent l="0" t="0" r="0" b="4445"/>
                <wp:wrapNone/>
                <wp:docPr id="1033"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0" cy="281305"/>
                        </a:xfrm>
                        <a:prstGeom prst="rect">
                          <a:avLst/>
                        </a:prstGeom>
                        <a:noFill/>
                        <a:ln w="6350">
                          <a:noFill/>
                        </a:ln>
                        <a:effectLst/>
                      </wps:spPr>
                      <wps:txbx>
                        <w:txbxContent>
                          <w:p w:rsidR="00EA54D5" w:rsidRDefault="00EA54D5" w:rsidP="002F658F">
                            <w:r>
                              <w:t>3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3" o:spid="_x0000_s1036" type="#_x0000_t202" style="position:absolute;left:0;text-align:left;margin-left:124.3pt;margin-top:2.35pt;width:53pt;height:22.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" filled="f" stroked="f" strokeweight=".5pt">
                <v:path arrowok="t"/>
                <v:textbox>
                  <w:txbxContent>
                    <w:p w:rsidR="00EA54D5" w:rsidRDefault="00EA54D5" w:rsidP="002F658F">
                      <w:r>
                        <w:t>3 mm</w:t>
                      </w:r>
                    </w:p>
                  </w:txbxContent>
                </v:textbox>
              </v:shape>
            </w:pict>
          </mc:Fallback>
        </mc:AlternateContent>
      </w:r>
      <w:r w:rsidRPr="008F5E11">
        <w:rPr>
          <w:noProof/>
          <w:lang w:eastAsia="en-AU"/>
        </w:rPr>
        <w:drawing>
          <wp:inline distT="0" distB="0" distL="0" distR="0">
            <wp:extent cx="5038725" cy="3781425"/>
            <wp:effectExtent l="19050" t="19050" r="28575" b="28575"/>
            <wp:docPr id="43" name="Picture 322" descr="N:\Projects\15ARM\2427 Gwydir LTIM Stage 2 - Year 2\Indicators\Indicators (Y2)\Macroinvertebrates\Iris bug pics\Macrothricida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N:\Projects\15ARM\2427 Gwydir LTIM Stage 2 - Year 2\Indicators\Indicators (Y2)\Macroinvertebrates\Iris bug pics\Macrothricidae2.TIF"/>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5038725" cy="3781425"/>
                    </a:xfrm>
                    <a:prstGeom prst="rect">
                      <a:avLst/>
                    </a:prstGeom>
                    <a:noFill/>
                    <a:ln w="9525" cmpd="sng">
                      <a:solidFill>
                        <a:srgbClr val="7F7F7F"/>
                      </a:solidFill>
                      <a:miter lim="800000"/>
                      <a:headEnd/>
                      <a:tailEnd/>
                    </a:ln>
                    <a:effectLst/>
                  </pic:spPr>
                </pic:pic>
              </a:graphicData>
            </a:graphic>
          </wp:inline>
        </w:drawing>
      </w:r>
    </w:p>
    <w:p w:rsidR="009E6337" w:rsidRDefault="009E6337" w:rsidP="009E6337">
      <w:pPr>
        <w:pStyle w:val="Caption"/>
      </w:pPr>
      <w:bookmarkStart w:id="51" w:name="_Ref459630107"/>
      <w:r>
        <w:t xml:space="preserve">Figure </w:t>
      </w:r>
      <w:fldSimple w:instr=" STYLEREF 6 \s ">
        <w:r w:rsidR="00673DAF">
          <w:rPr>
            <w:noProof/>
          </w:rPr>
          <w:t>D</w:t>
        </w:r>
      </w:fldSimple>
      <w:r w:rsidR="00673DAF">
        <w:noBreakHyphen/>
      </w:r>
      <w:fldSimple w:instr=" SEQ Figure \* ARABIC \s 6 ">
        <w:r w:rsidR="00673DAF">
          <w:rPr>
            <w:noProof/>
          </w:rPr>
          <w:t>10</w:t>
        </w:r>
      </w:fldSimple>
      <w:bookmarkEnd w:id="51"/>
      <w:r>
        <w:t xml:space="preserve"> Microinvertebrates sampled in 2015-16. Brachionidae (top) and Macrothricidae (bottom)</w:t>
      </w:r>
    </w:p>
    <w:p w:rsidR="00DB4624" w:rsidRDefault="005E7E2D" w:rsidP="005F23F1">
      <w:pPr>
        <w:pStyle w:val="Heading9"/>
      </w:pPr>
      <w:r>
        <w:br w:type="page"/>
      </w:r>
      <w:r w:rsidR="00DB4624">
        <w:t>Density</w:t>
      </w:r>
    </w:p>
    <w:p w:rsidR="00DB4624" w:rsidRDefault="00DB4624" w:rsidP="00DB4624">
      <w:pPr>
        <w:rPr>
          <w:lang w:eastAsia="en-AU"/>
        </w:rPr>
      </w:pPr>
      <w:r>
        <w:t>Microinvertebrate densities in benthic habitat</w:t>
      </w:r>
      <w:r w:rsidR="005A1726">
        <w:t>s</w:t>
      </w:r>
      <w:r>
        <w:t xml:space="preserve"> ranged from 114/L to 45120/L and were significantly higher than those in the pelagic habitat (ranged from 9/L to 3504/L) (</w:t>
      </w:r>
      <w:proofErr w:type="gramStart"/>
      <w:r>
        <w:t>F(</w:t>
      </w:r>
      <w:proofErr w:type="gramEnd"/>
      <w:r>
        <w:t>1,69), 209.275, p&lt;0.005,</w:t>
      </w:r>
      <w:r w:rsidR="005E7E2D">
        <w:t xml:space="preserve"> </w:t>
      </w:r>
      <w:r w:rsidR="007F49F9">
        <w:fldChar w:fldCharType="begin"/>
      </w:r>
      <w:r w:rsidR="007F49F9">
        <w:instrText xml:space="preserve"> REF _Ref459888322 \h </w:instrText>
      </w:r>
      <w:r w:rsidR="007F49F9">
        <w:fldChar w:fldCharType="separate"/>
      </w:r>
      <w:r w:rsidR="005D5925">
        <w:t xml:space="preserve">Figure </w:t>
      </w:r>
      <w:r w:rsidR="005D5925">
        <w:rPr>
          <w:noProof/>
        </w:rPr>
        <w:t>D</w:t>
      </w:r>
      <w:r w:rsidR="005D5925">
        <w:noBreakHyphen/>
      </w:r>
      <w:r w:rsidR="005D5925">
        <w:rPr>
          <w:noProof/>
        </w:rPr>
        <w:t>11</w:t>
      </w:r>
      <w:r w:rsidR="007F49F9">
        <w:fldChar w:fldCharType="end"/>
      </w:r>
      <w:r>
        <w:t xml:space="preserve">) across all sites and times. </w:t>
      </w:r>
      <w:r w:rsidR="007F49F9">
        <w:t xml:space="preserve"> </w:t>
      </w:r>
      <w:r>
        <w:t xml:space="preserve">In benthic samples, there </w:t>
      </w:r>
      <w:r w:rsidR="005A1726">
        <w:t>was significant temporal change</w:t>
      </w:r>
      <w:r w:rsidR="005E7E2D">
        <w:t xml:space="preserve"> (</w:t>
      </w:r>
      <w:proofErr w:type="gramStart"/>
      <w:r w:rsidR="005E7E2D">
        <w:t>F(</w:t>
      </w:r>
      <w:proofErr w:type="gramEnd"/>
      <w:r w:rsidR="005E7E2D">
        <w:t xml:space="preserve">3,27), 4.161, p&lt;0.05).  </w:t>
      </w:r>
      <w:r>
        <w:t>T4 had significant</w:t>
      </w:r>
      <w:r w:rsidR="005E7E2D">
        <w:t>ly</w:t>
      </w:r>
      <w:r>
        <w:t xml:space="preserve"> higher densities than T1 and T2 across all sites. In pelagic samples, there was significant </w:t>
      </w:r>
      <w:r w:rsidR="001E06DF">
        <w:t>time</w:t>
      </w:r>
      <w:r>
        <w:t xml:space="preserve"> x </w:t>
      </w:r>
      <w:r w:rsidR="001E06DF">
        <w:t xml:space="preserve">zone </w:t>
      </w:r>
      <w:r>
        <w:t>interaction (</w:t>
      </w:r>
      <w:proofErr w:type="gramStart"/>
      <w:r>
        <w:t>F(</w:t>
      </w:r>
      <w:proofErr w:type="gramEnd"/>
      <w:r>
        <w:t xml:space="preserve">9,27), 5.218, p&gt;0.005). </w:t>
      </w:r>
      <w:r w:rsidR="007F49F9">
        <w:t xml:space="preserve"> </w:t>
      </w:r>
      <w:r>
        <w:t xml:space="preserve">Microinvertebrate densities in the Gingham </w:t>
      </w:r>
      <w:r w:rsidR="001C3C04">
        <w:t>watercourse</w:t>
      </w:r>
      <w:r>
        <w:t xml:space="preserve"> </w:t>
      </w:r>
      <w:r w:rsidR="001E06DF">
        <w:t>in the last two sample periods</w:t>
      </w:r>
      <w:r>
        <w:t xml:space="preserve"> were significantly higher than that in Gwydir River at T1 and T2, Mehi River at T2 and Moomin Creek at T2 in pairwise tests (p&lt;0.05). </w:t>
      </w:r>
      <w:r w:rsidR="007F49F9">
        <w:t xml:space="preserve"> </w:t>
      </w:r>
      <w:r>
        <w:t>Within the Gwydir River, T3 and T4 had significantly higher densities than T1 and T2 in pairwise test (p&lt;0.05).</w:t>
      </w:r>
      <w:r w:rsidR="005E7E2D">
        <w:t xml:space="preserve"> </w:t>
      </w:r>
      <w:r w:rsidR="007F49F9">
        <w:t xml:space="preserve"> </w:t>
      </w:r>
      <w:r w:rsidR="005E7E2D" w:rsidRPr="00654D98">
        <w:rPr>
          <w:lang w:eastAsia="en-AU"/>
        </w:rPr>
        <w:t xml:space="preserve">At the </w:t>
      </w:r>
      <w:r w:rsidR="00911153">
        <w:rPr>
          <w:lang w:eastAsia="en-AU"/>
        </w:rPr>
        <w:t>whole-of-wetland</w:t>
      </w:r>
      <w:r w:rsidR="005E7E2D">
        <w:rPr>
          <w:lang w:eastAsia="en-AU"/>
        </w:rPr>
        <w:t xml:space="preserve"> </w:t>
      </w:r>
      <w:r w:rsidR="005E7E2D" w:rsidRPr="00654D98">
        <w:rPr>
          <w:lang w:eastAsia="en-AU"/>
        </w:rPr>
        <w:t>scale</w:t>
      </w:r>
      <w:r w:rsidR="00911153">
        <w:rPr>
          <w:lang w:eastAsia="en-AU"/>
        </w:rPr>
        <w:t xml:space="preserve"> for the Gingham watercourse</w:t>
      </w:r>
      <w:r w:rsidR="005E7E2D" w:rsidRPr="00654D98">
        <w:rPr>
          <w:lang w:eastAsia="en-AU"/>
        </w:rPr>
        <w:t xml:space="preserve">, microinvertebrate </w:t>
      </w:r>
      <w:r w:rsidR="00911153">
        <w:rPr>
          <w:lang w:eastAsia="en-AU"/>
        </w:rPr>
        <w:t>abundance</w:t>
      </w:r>
      <w:r w:rsidR="005E7E2D" w:rsidRPr="00654D98">
        <w:rPr>
          <w:lang w:eastAsia="en-AU"/>
        </w:rPr>
        <w:t xml:space="preserve"> peaked in benthic communi</w:t>
      </w:r>
      <w:r w:rsidR="00911153">
        <w:rPr>
          <w:lang w:eastAsia="en-AU"/>
        </w:rPr>
        <w:t>ties during T2</w:t>
      </w:r>
      <w:r w:rsidR="005E7E2D">
        <w:rPr>
          <w:lang w:eastAsia="en-AU"/>
        </w:rPr>
        <w:t xml:space="preserve"> sampling</w:t>
      </w:r>
      <w:r w:rsidR="00911153">
        <w:rPr>
          <w:lang w:eastAsia="en-AU"/>
        </w:rPr>
        <w:t>, whereas abundance peaked in T4 for pelagic communities</w:t>
      </w:r>
      <w:r w:rsidR="005E7E2D">
        <w:rPr>
          <w:lang w:eastAsia="en-AU"/>
        </w:rPr>
        <w:t xml:space="preserve"> (</w:t>
      </w:r>
      <w:r w:rsidR="007F49F9">
        <w:rPr>
          <w:lang w:eastAsia="en-AU"/>
        </w:rPr>
        <w:fldChar w:fldCharType="begin"/>
      </w:r>
      <w:r w:rsidR="007F49F9">
        <w:rPr>
          <w:lang w:eastAsia="en-AU"/>
        </w:rPr>
        <w:instrText xml:space="preserve"> REF _Ref459888339 \h </w:instrText>
      </w:r>
      <w:r w:rsidR="007F49F9">
        <w:rPr>
          <w:lang w:eastAsia="en-AU"/>
        </w:rPr>
      </w:r>
      <w:r w:rsidR="007F49F9">
        <w:rPr>
          <w:lang w:eastAsia="en-AU"/>
        </w:rPr>
        <w:fldChar w:fldCharType="separate"/>
      </w:r>
      <w:r w:rsidR="005D5925">
        <w:t xml:space="preserve">Table </w:t>
      </w:r>
      <w:r w:rsidR="005D5925">
        <w:rPr>
          <w:noProof/>
        </w:rPr>
        <w:t>D</w:t>
      </w:r>
      <w:r w:rsidR="005D5925">
        <w:noBreakHyphen/>
      </w:r>
      <w:r w:rsidR="005D5925">
        <w:rPr>
          <w:noProof/>
        </w:rPr>
        <w:t>3</w:t>
      </w:r>
      <w:r w:rsidR="007F49F9">
        <w:rPr>
          <w:lang w:eastAsia="en-AU"/>
        </w:rPr>
        <w:fldChar w:fldCharType="end"/>
      </w:r>
      <w:r w:rsidR="005E7E2D" w:rsidRPr="00654D98">
        <w:rPr>
          <w:lang w:eastAsia="en-AU"/>
        </w:rPr>
        <w:t>).</w:t>
      </w:r>
    </w:p>
    <w:p w:rsidR="006606A6" w:rsidRDefault="006606A6" w:rsidP="00DB4624">
      <w:pPr>
        <w:rPr>
          <w:lang w:eastAsia="en-AU"/>
        </w:rPr>
      </w:pPr>
    </w:p>
    <w:tbl>
      <w:tblPr>
        <w:tblW w:w="0" w:type="auto"/>
        <w:tblLook w:val="04A0" w:firstRow="1" w:lastRow="0" w:firstColumn="1" w:lastColumn="0" w:noHBand="0" w:noVBand="1"/>
      </w:tblPr>
      <w:tblGrid>
        <w:gridCol w:w="4606"/>
        <w:gridCol w:w="4594"/>
      </w:tblGrid>
      <w:tr w:rsidR="007B5237" w:rsidTr="00CC18AA">
        <w:tc>
          <w:tcPr>
            <w:tcW w:w="4614" w:type="dxa"/>
            <w:shd w:val="clear" w:color="auto" w:fill="auto"/>
            <w:noWrap/>
            <w:vAlign w:val="center"/>
          </w:tcPr>
          <w:p w:rsidR="007B5237" w:rsidRDefault="007B5237" w:rsidP="005E1E2E">
            <w:pPr>
              <w:pStyle w:val="ListParagraph"/>
              <w:numPr>
                <w:ilvl w:val="0"/>
                <w:numId w:val="17"/>
              </w:numPr>
              <w:spacing w:line="240" w:lineRule="auto"/>
              <w:jc w:val="left"/>
              <w:rPr>
                <w:noProof/>
                <w:lang w:eastAsia="en-AU"/>
              </w:rPr>
            </w:pPr>
            <w:r>
              <w:rPr>
                <w:noProof/>
                <w:lang w:eastAsia="en-AU"/>
              </w:rPr>
              <w:t>Benthic</w:t>
            </w:r>
          </w:p>
        </w:tc>
        <w:tc>
          <w:tcPr>
            <w:tcW w:w="4586" w:type="dxa"/>
            <w:shd w:val="clear" w:color="auto" w:fill="auto"/>
            <w:noWrap/>
            <w:vAlign w:val="center"/>
          </w:tcPr>
          <w:p w:rsidR="007B5237" w:rsidRDefault="007B5237" w:rsidP="005E1E2E">
            <w:pPr>
              <w:pStyle w:val="ListParagraph"/>
              <w:numPr>
                <w:ilvl w:val="0"/>
                <w:numId w:val="17"/>
              </w:numPr>
              <w:spacing w:after="0" w:line="240" w:lineRule="auto"/>
              <w:ind w:left="249" w:hanging="357"/>
              <w:jc w:val="left"/>
              <w:rPr>
                <w:noProof/>
                <w:lang w:eastAsia="en-AU"/>
              </w:rPr>
            </w:pPr>
            <w:r>
              <w:rPr>
                <w:noProof/>
                <w:lang w:eastAsia="en-AU"/>
              </w:rPr>
              <w:t>Pelagic</w:t>
            </w:r>
          </w:p>
        </w:tc>
      </w:tr>
      <w:tr w:rsidR="007B5237" w:rsidTr="00CC18AA">
        <w:tc>
          <w:tcPr>
            <w:tcW w:w="4614" w:type="dxa"/>
            <w:shd w:val="clear" w:color="auto" w:fill="auto"/>
            <w:noWrap/>
            <w:vAlign w:val="bottom"/>
          </w:tcPr>
          <w:p w:rsidR="007B5237" w:rsidRDefault="004176FF" w:rsidP="00CC18AA">
            <w:pPr>
              <w:spacing w:line="240" w:lineRule="auto"/>
              <w:ind w:left="-108"/>
              <w:jc w:val="center"/>
              <w:rPr>
                <w:lang w:eastAsia="en-AU"/>
              </w:rPr>
            </w:pPr>
            <w:r w:rsidRPr="008F5E11">
              <w:rPr>
                <w:noProof/>
                <w:lang w:eastAsia="en-AU"/>
              </w:rPr>
              <w:drawing>
                <wp:inline distT="0" distB="0" distL="0" distR="0">
                  <wp:extent cx="2914650" cy="2313940"/>
                  <wp:effectExtent l="0" t="0" r="0" b="10160"/>
                  <wp:docPr id="44" name="Chart 2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c>
          <w:tcPr>
            <w:tcW w:w="4586" w:type="dxa"/>
            <w:shd w:val="clear" w:color="auto" w:fill="auto"/>
            <w:noWrap/>
            <w:vAlign w:val="center"/>
          </w:tcPr>
          <w:p w:rsidR="007B5237" w:rsidRDefault="004176FF" w:rsidP="00CC18AA">
            <w:pPr>
              <w:spacing w:line="240" w:lineRule="auto"/>
              <w:rPr>
                <w:lang w:eastAsia="en-AU"/>
              </w:rPr>
            </w:pPr>
            <w:r w:rsidRPr="008F5E11">
              <w:rPr>
                <w:noProof/>
                <w:lang w:eastAsia="en-AU"/>
              </w:rPr>
              <w:drawing>
                <wp:inline distT="0" distB="0" distL="0" distR="0">
                  <wp:extent cx="2828925" cy="2314575"/>
                  <wp:effectExtent l="0" t="0" r="9525" b="9525"/>
                  <wp:docPr id="45" name="Char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r>
      <w:tr w:rsidR="007B5237" w:rsidTr="00CC18AA">
        <w:tc>
          <w:tcPr>
            <w:tcW w:w="9200" w:type="dxa"/>
            <w:gridSpan w:val="2"/>
            <w:shd w:val="clear" w:color="auto" w:fill="auto"/>
            <w:noWrap/>
            <w:vAlign w:val="center"/>
          </w:tcPr>
          <w:p w:rsidR="007B5237" w:rsidRDefault="007B5237" w:rsidP="007B5237">
            <w:pPr>
              <w:pStyle w:val="Caption"/>
            </w:pPr>
            <w:bookmarkStart w:id="52" w:name="_Ref459888322"/>
            <w:r>
              <w:t xml:space="preserve">Figure </w:t>
            </w:r>
            <w:fldSimple w:instr=" STYLEREF 6 \s ">
              <w:r w:rsidR="00673DAF">
                <w:rPr>
                  <w:noProof/>
                </w:rPr>
                <w:t>D</w:t>
              </w:r>
            </w:fldSimple>
            <w:r w:rsidR="00673DAF">
              <w:noBreakHyphen/>
            </w:r>
            <w:fldSimple w:instr=" SEQ Figure \* ARABIC \s 6 ">
              <w:r w:rsidR="00673DAF">
                <w:rPr>
                  <w:noProof/>
                </w:rPr>
                <w:t>11</w:t>
              </w:r>
            </w:fldSimple>
            <w:bookmarkEnd w:id="52"/>
            <w:r>
              <w:t xml:space="preserve"> </w:t>
            </w:r>
            <w:r w:rsidRPr="00864284">
              <w:t>Mean ± standard deviation (SD) of microinvertebrate density in (a) benthic and (b) pelagic habitats.</w:t>
            </w:r>
          </w:p>
        </w:tc>
      </w:tr>
    </w:tbl>
    <w:p w:rsidR="003942B6" w:rsidRDefault="003942B6" w:rsidP="00DB4624">
      <w:pPr>
        <w:rPr>
          <w:lang w:eastAsia="en-AU"/>
        </w:rPr>
      </w:pPr>
    </w:p>
    <w:p w:rsidR="005E7E2D" w:rsidRDefault="005E7E2D" w:rsidP="005E7E2D">
      <w:pPr>
        <w:pStyle w:val="Caption"/>
        <w:keepNext/>
      </w:pPr>
      <w:bookmarkStart w:id="53" w:name="_Ref459888339"/>
      <w:r>
        <w:t xml:space="preserve">Table </w:t>
      </w:r>
      <w:fldSimple w:instr=" STYLEREF 6 \s ">
        <w:r w:rsidR="005D5925">
          <w:rPr>
            <w:noProof/>
          </w:rPr>
          <w:t>D</w:t>
        </w:r>
      </w:fldSimple>
      <w:r w:rsidR="005D4453">
        <w:noBreakHyphen/>
      </w:r>
      <w:fldSimple w:instr=" SEQ Table \* ARABIC \s 6 ">
        <w:r w:rsidR="005D5925">
          <w:rPr>
            <w:noProof/>
          </w:rPr>
          <w:t>3</w:t>
        </w:r>
      </w:fldSimple>
      <w:bookmarkEnd w:id="53"/>
      <w:r>
        <w:t xml:space="preserve"> </w:t>
      </w:r>
      <w:r w:rsidR="00911153">
        <w:t xml:space="preserve">Total abundance of </w:t>
      </w:r>
      <w:r w:rsidRPr="005D5776">
        <w:t>microinvertebrate</w:t>
      </w:r>
      <w:r w:rsidR="00911153">
        <w:t>s scales to whole-of-wetland for the Gingham watercourse in each sample period. Abundances require 10</w:t>
      </w:r>
      <w:r w:rsidR="00911153" w:rsidRPr="00911153">
        <w:rPr>
          <w:vertAlign w:val="superscript"/>
        </w:rPr>
        <w:t>9</w:t>
      </w:r>
      <w:r w:rsidRPr="005D5776">
        <w:t xml:space="preserve"> </w:t>
      </w:r>
      <w:r w:rsidR="00911153">
        <w:t>multiplication</w:t>
      </w:r>
      <w:r w:rsidRPr="005D5776">
        <w:t>.</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838"/>
        <w:gridCol w:w="1688"/>
        <w:gridCol w:w="1558"/>
        <w:gridCol w:w="1558"/>
        <w:gridCol w:w="1558"/>
      </w:tblGrid>
      <w:tr w:rsidR="00CC18AA" w:rsidRPr="00DA5A29" w:rsidTr="00CC18AA">
        <w:trPr>
          <w:trHeight w:val="300"/>
        </w:trPr>
        <w:tc>
          <w:tcPr>
            <w:tcW w:w="1542" w:type="pct"/>
            <w:shd w:val="clear" w:color="auto" w:fill="D9D9D9"/>
            <w:noWrap/>
            <w:hideMark/>
          </w:tcPr>
          <w:p w:rsidR="005E7E2D" w:rsidRPr="00CC18AA" w:rsidRDefault="005E7E2D" w:rsidP="00CC18AA">
            <w:pPr>
              <w:spacing w:before="60" w:after="60"/>
              <w:jc w:val="center"/>
              <w:rPr>
                <w:rFonts w:cs="Arial"/>
                <w:bCs/>
                <w:szCs w:val="20"/>
                <w:lang w:val="en-US" w:eastAsia="en-AU"/>
              </w:rPr>
            </w:pPr>
            <w:r w:rsidRPr="00CC18AA">
              <w:rPr>
                <w:rFonts w:cs="Arial"/>
                <w:bCs/>
                <w:szCs w:val="20"/>
                <w:lang w:val="en-US" w:eastAsia="en-AU"/>
              </w:rPr>
              <w:t xml:space="preserve">Microinvertebrate </w:t>
            </w:r>
            <w:r w:rsidR="001E06DF" w:rsidRPr="00CC18AA">
              <w:rPr>
                <w:rFonts w:cs="Arial"/>
                <w:bCs/>
                <w:szCs w:val="20"/>
                <w:lang w:val="en-US" w:eastAsia="en-AU"/>
              </w:rPr>
              <w:t>abundance</w:t>
            </w:r>
          </w:p>
        </w:tc>
        <w:tc>
          <w:tcPr>
            <w:tcW w:w="917" w:type="pct"/>
            <w:shd w:val="clear" w:color="auto" w:fill="D9D9D9"/>
            <w:noWrap/>
            <w:hideMark/>
          </w:tcPr>
          <w:p w:rsidR="005E7E2D" w:rsidRPr="00CC18AA" w:rsidRDefault="005E7E2D" w:rsidP="00CC18AA">
            <w:pPr>
              <w:spacing w:before="60" w:after="60"/>
              <w:jc w:val="center"/>
              <w:rPr>
                <w:rFonts w:cs="Arial"/>
                <w:bCs/>
                <w:color w:val="000000"/>
                <w:szCs w:val="20"/>
                <w:lang w:val="en-US" w:eastAsia="en-AU"/>
              </w:rPr>
            </w:pPr>
            <w:r w:rsidRPr="00CC18AA">
              <w:rPr>
                <w:rFonts w:cs="Arial"/>
                <w:bCs/>
                <w:color w:val="000000"/>
                <w:szCs w:val="20"/>
                <w:lang w:val="en-US" w:eastAsia="en-AU"/>
              </w:rPr>
              <w:t>T1</w:t>
            </w:r>
          </w:p>
        </w:tc>
        <w:tc>
          <w:tcPr>
            <w:tcW w:w="847" w:type="pct"/>
            <w:shd w:val="clear" w:color="auto" w:fill="D9D9D9"/>
            <w:noWrap/>
            <w:hideMark/>
          </w:tcPr>
          <w:p w:rsidR="005E7E2D" w:rsidRPr="00CC18AA" w:rsidRDefault="005E7E2D" w:rsidP="00CC18AA">
            <w:pPr>
              <w:spacing w:before="60" w:after="60"/>
              <w:jc w:val="center"/>
              <w:rPr>
                <w:rFonts w:cs="Arial"/>
                <w:bCs/>
                <w:color w:val="000000"/>
                <w:szCs w:val="20"/>
                <w:lang w:val="en-US" w:eastAsia="en-AU"/>
              </w:rPr>
            </w:pPr>
            <w:r w:rsidRPr="00CC18AA">
              <w:rPr>
                <w:rFonts w:cs="Arial"/>
                <w:bCs/>
                <w:color w:val="000000"/>
                <w:szCs w:val="20"/>
                <w:lang w:val="en-US" w:eastAsia="en-AU"/>
              </w:rPr>
              <w:t>T2</w:t>
            </w:r>
          </w:p>
        </w:tc>
        <w:tc>
          <w:tcPr>
            <w:tcW w:w="847" w:type="pct"/>
            <w:shd w:val="clear" w:color="auto" w:fill="D9D9D9"/>
            <w:noWrap/>
            <w:hideMark/>
          </w:tcPr>
          <w:p w:rsidR="005E7E2D" w:rsidRPr="00CC18AA" w:rsidRDefault="005E7E2D" w:rsidP="00CC18AA">
            <w:pPr>
              <w:spacing w:before="60" w:after="60"/>
              <w:jc w:val="center"/>
              <w:rPr>
                <w:rFonts w:cs="Arial"/>
                <w:bCs/>
                <w:color w:val="000000"/>
                <w:szCs w:val="20"/>
                <w:lang w:val="en-US" w:eastAsia="en-AU"/>
              </w:rPr>
            </w:pPr>
            <w:r w:rsidRPr="00CC18AA">
              <w:rPr>
                <w:rFonts w:cs="Arial"/>
                <w:bCs/>
                <w:color w:val="000000"/>
                <w:szCs w:val="20"/>
                <w:lang w:val="en-US" w:eastAsia="en-AU"/>
              </w:rPr>
              <w:t>T3</w:t>
            </w:r>
          </w:p>
        </w:tc>
        <w:tc>
          <w:tcPr>
            <w:tcW w:w="847" w:type="pct"/>
            <w:shd w:val="clear" w:color="auto" w:fill="D9D9D9"/>
            <w:noWrap/>
            <w:hideMark/>
          </w:tcPr>
          <w:p w:rsidR="005E7E2D" w:rsidRPr="00CC18AA" w:rsidRDefault="005E7E2D" w:rsidP="00CC18AA">
            <w:pPr>
              <w:spacing w:before="60" w:after="60"/>
              <w:jc w:val="center"/>
              <w:rPr>
                <w:rFonts w:cs="Arial"/>
                <w:bCs/>
                <w:color w:val="000000"/>
                <w:szCs w:val="20"/>
                <w:lang w:val="en-US" w:eastAsia="en-AU"/>
              </w:rPr>
            </w:pPr>
            <w:r w:rsidRPr="00CC18AA">
              <w:rPr>
                <w:rFonts w:cs="Arial"/>
                <w:bCs/>
                <w:color w:val="000000"/>
                <w:szCs w:val="20"/>
                <w:lang w:val="en-US" w:eastAsia="en-AU"/>
              </w:rPr>
              <w:t>T4</w:t>
            </w:r>
          </w:p>
        </w:tc>
      </w:tr>
      <w:tr w:rsidR="00CC18AA" w:rsidRPr="00DA5A29" w:rsidTr="00CC18AA">
        <w:trPr>
          <w:trHeight w:val="300"/>
        </w:trPr>
        <w:tc>
          <w:tcPr>
            <w:tcW w:w="1542" w:type="pct"/>
            <w:shd w:val="clear" w:color="auto" w:fill="auto"/>
            <w:noWrap/>
            <w:hideMark/>
          </w:tcPr>
          <w:p w:rsidR="005E7E2D" w:rsidRPr="00CC18AA" w:rsidRDefault="005E7E2D" w:rsidP="00CC18AA">
            <w:pPr>
              <w:spacing w:before="60" w:after="60"/>
              <w:jc w:val="left"/>
              <w:rPr>
                <w:rFonts w:cs="Arial"/>
                <w:bCs/>
                <w:color w:val="000000"/>
                <w:szCs w:val="20"/>
                <w:lang w:val="en-US" w:eastAsia="en-AU"/>
              </w:rPr>
            </w:pPr>
            <w:r w:rsidRPr="00CC18AA">
              <w:rPr>
                <w:rFonts w:cs="Arial"/>
                <w:bCs/>
                <w:color w:val="000000"/>
                <w:szCs w:val="20"/>
                <w:lang w:val="en-US" w:eastAsia="en-AU"/>
              </w:rPr>
              <w:t>Benthic habitat</w:t>
            </w:r>
          </w:p>
        </w:tc>
        <w:tc>
          <w:tcPr>
            <w:tcW w:w="917" w:type="pct"/>
            <w:shd w:val="clear" w:color="auto" w:fill="auto"/>
            <w:noWrap/>
            <w:hideMark/>
          </w:tcPr>
          <w:p w:rsidR="005E7E2D" w:rsidRPr="00CC18AA" w:rsidRDefault="00911153" w:rsidP="00CC18AA">
            <w:pPr>
              <w:spacing w:before="60" w:after="60"/>
              <w:jc w:val="center"/>
              <w:rPr>
                <w:rFonts w:cs="Arial"/>
                <w:color w:val="000000"/>
                <w:szCs w:val="20"/>
                <w:lang w:val="en-US" w:eastAsia="en-AU"/>
              </w:rPr>
            </w:pPr>
            <w:r w:rsidRPr="00CC18AA">
              <w:rPr>
                <w:rFonts w:cs="Arial"/>
                <w:color w:val="000000"/>
                <w:szCs w:val="20"/>
                <w:lang w:val="en-US" w:eastAsia="en-AU"/>
              </w:rPr>
              <w:t>533</w:t>
            </w:r>
          </w:p>
        </w:tc>
        <w:tc>
          <w:tcPr>
            <w:tcW w:w="847" w:type="pct"/>
            <w:shd w:val="clear" w:color="auto" w:fill="auto"/>
            <w:noWrap/>
            <w:hideMark/>
          </w:tcPr>
          <w:p w:rsidR="005E7E2D" w:rsidRPr="00CC18AA" w:rsidRDefault="00911153" w:rsidP="00CC18AA">
            <w:pPr>
              <w:spacing w:before="60" w:after="60"/>
              <w:jc w:val="center"/>
              <w:rPr>
                <w:rFonts w:cs="Arial"/>
                <w:color w:val="000000"/>
                <w:szCs w:val="20"/>
                <w:lang w:val="en-US" w:eastAsia="en-AU"/>
              </w:rPr>
            </w:pPr>
            <w:r w:rsidRPr="00CC18AA">
              <w:rPr>
                <w:rFonts w:cs="Arial"/>
                <w:color w:val="000000"/>
                <w:szCs w:val="20"/>
                <w:lang w:val="en-US" w:eastAsia="en-AU"/>
              </w:rPr>
              <w:t>798</w:t>
            </w:r>
          </w:p>
        </w:tc>
        <w:tc>
          <w:tcPr>
            <w:tcW w:w="847" w:type="pct"/>
            <w:shd w:val="clear" w:color="auto" w:fill="auto"/>
            <w:noWrap/>
            <w:hideMark/>
          </w:tcPr>
          <w:p w:rsidR="005E7E2D" w:rsidRPr="00CC18AA" w:rsidRDefault="00911153" w:rsidP="00CC18AA">
            <w:pPr>
              <w:spacing w:before="60" w:after="60"/>
              <w:jc w:val="center"/>
              <w:rPr>
                <w:rFonts w:cs="Arial"/>
                <w:color w:val="000000"/>
                <w:szCs w:val="20"/>
                <w:lang w:val="en-US" w:eastAsia="en-AU"/>
              </w:rPr>
            </w:pPr>
            <w:r w:rsidRPr="00CC18AA">
              <w:rPr>
                <w:rFonts w:cs="Arial"/>
                <w:color w:val="000000"/>
                <w:szCs w:val="20"/>
                <w:lang w:val="en-US" w:eastAsia="en-AU"/>
              </w:rPr>
              <w:t>292</w:t>
            </w:r>
          </w:p>
        </w:tc>
        <w:tc>
          <w:tcPr>
            <w:tcW w:w="847" w:type="pct"/>
            <w:shd w:val="clear" w:color="auto" w:fill="auto"/>
            <w:noWrap/>
            <w:hideMark/>
          </w:tcPr>
          <w:p w:rsidR="005E7E2D" w:rsidRPr="00CC18AA" w:rsidRDefault="00911153" w:rsidP="00CC18AA">
            <w:pPr>
              <w:spacing w:before="60" w:after="60"/>
              <w:jc w:val="center"/>
              <w:rPr>
                <w:rFonts w:cs="Arial"/>
                <w:color w:val="000000"/>
                <w:szCs w:val="20"/>
                <w:lang w:val="en-US" w:eastAsia="en-AU"/>
              </w:rPr>
            </w:pPr>
            <w:r w:rsidRPr="00CC18AA">
              <w:rPr>
                <w:rFonts w:cs="Arial"/>
                <w:color w:val="000000"/>
                <w:szCs w:val="20"/>
                <w:lang w:val="en-US" w:eastAsia="en-AU"/>
              </w:rPr>
              <w:t>490</w:t>
            </w:r>
          </w:p>
        </w:tc>
      </w:tr>
      <w:tr w:rsidR="00CC18AA" w:rsidRPr="00DA5A29" w:rsidTr="00CC18AA">
        <w:trPr>
          <w:trHeight w:val="300"/>
        </w:trPr>
        <w:tc>
          <w:tcPr>
            <w:tcW w:w="1542" w:type="pct"/>
            <w:shd w:val="clear" w:color="auto" w:fill="auto"/>
            <w:noWrap/>
            <w:hideMark/>
          </w:tcPr>
          <w:p w:rsidR="005E7E2D" w:rsidRPr="00CC18AA" w:rsidRDefault="005E7E2D" w:rsidP="00CC18AA">
            <w:pPr>
              <w:spacing w:before="60" w:after="60"/>
              <w:jc w:val="left"/>
              <w:rPr>
                <w:rFonts w:cs="Arial"/>
                <w:bCs/>
                <w:color w:val="000000"/>
                <w:szCs w:val="20"/>
                <w:lang w:val="en-US" w:eastAsia="en-AU"/>
              </w:rPr>
            </w:pPr>
            <w:r w:rsidRPr="00CC18AA">
              <w:rPr>
                <w:rFonts w:cs="Arial"/>
                <w:bCs/>
                <w:color w:val="000000"/>
                <w:szCs w:val="20"/>
                <w:lang w:val="en-US" w:eastAsia="en-AU"/>
              </w:rPr>
              <w:t>Pelagic habitat</w:t>
            </w:r>
          </w:p>
        </w:tc>
        <w:tc>
          <w:tcPr>
            <w:tcW w:w="917" w:type="pct"/>
            <w:shd w:val="clear" w:color="auto" w:fill="auto"/>
            <w:noWrap/>
            <w:hideMark/>
          </w:tcPr>
          <w:p w:rsidR="005E7E2D" w:rsidRPr="00CC18AA" w:rsidRDefault="00911153" w:rsidP="00CC18AA">
            <w:pPr>
              <w:spacing w:before="60" w:after="60"/>
              <w:jc w:val="center"/>
              <w:rPr>
                <w:rFonts w:cs="Arial"/>
                <w:color w:val="000000"/>
                <w:szCs w:val="20"/>
                <w:lang w:val="en-US" w:eastAsia="en-AU"/>
              </w:rPr>
            </w:pPr>
            <w:r w:rsidRPr="00CC18AA">
              <w:rPr>
                <w:rFonts w:cs="Arial"/>
                <w:color w:val="000000"/>
                <w:szCs w:val="20"/>
                <w:lang w:val="en-US" w:eastAsia="en-AU"/>
              </w:rPr>
              <w:t>14</w:t>
            </w:r>
          </w:p>
        </w:tc>
        <w:tc>
          <w:tcPr>
            <w:tcW w:w="847" w:type="pct"/>
            <w:shd w:val="clear" w:color="auto" w:fill="auto"/>
            <w:noWrap/>
            <w:hideMark/>
          </w:tcPr>
          <w:p w:rsidR="005E7E2D" w:rsidRPr="00CC18AA" w:rsidRDefault="00911153" w:rsidP="00CC18AA">
            <w:pPr>
              <w:spacing w:before="60" w:after="60"/>
              <w:jc w:val="center"/>
              <w:rPr>
                <w:rFonts w:cs="Arial"/>
                <w:color w:val="000000"/>
                <w:szCs w:val="20"/>
                <w:lang w:val="en-US" w:eastAsia="en-AU"/>
              </w:rPr>
            </w:pPr>
            <w:r w:rsidRPr="00CC18AA">
              <w:rPr>
                <w:rFonts w:cs="Arial"/>
                <w:color w:val="000000"/>
                <w:szCs w:val="20"/>
                <w:lang w:val="en-US" w:eastAsia="en-AU"/>
              </w:rPr>
              <w:t>53</w:t>
            </w:r>
          </w:p>
        </w:tc>
        <w:tc>
          <w:tcPr>
            <w:tcW w:w="847" w:type="pct"/>
            <w:shd w:val="clear" w:color="auto" w:fill="auto"/>
            <w:noWrap/>
            <w:hideMark/>
          </w:tcPr>
          <w:p w:rsidR="005E7E2D" w:rsidRPr="00CC18AA" w:rsidRDefault="00911153" w:rsidP="00CC18AA">
            <w:pPr>
              <w:spacing w:before="60" w:after="60"/>
              <w:jc w:val="center"/>
              <w:rPr>
                <w:rFonts w:cs="Arial"/>
                <w:color w:val="000000"/>
                <w:szCs w:val="20"/>
                <w:lang w:val="en-US" w:eastAsia="en-AU"/>
              </w:rPr>
            </w:pPr>
            <w:r w:rsidRPr="00CC18AA">
              <w:rPr>
                <w:rFonts w:cs="Arial"/>
                <w:color w:val="000000"/>
                <w:szCs w:val="20"/>
                <w:lang w:val="en-US" w:eastAsia="en-AU"/>
              </w:rPr>
              <w:t>93</w:t>
            </w:r>
          </w:p>
        </w:tc>
        <w:tc>
          <w:tcPr>
            <w:tcW w:w="847" w:type="pct"/>
            <w:shd w:val="clear" w:color="auto" w:fill="auto"/>
            <w:noWrap/>
            <w:hideMark/>
          </w:tcPr>
          <w:p w:rsidR="005E7E2D" w:rsidRPr="00CC18AA" w:rsidRDefault="00911153" w:rsidP="00CC18AA">
            <w:pPr>
              <w:spacing w:before="60" w:after="60"/>
              <w:jc w:val="center"/>
              <w:rPr>
                <w:rFonts w:cs="Arial"/>
                <w:color w:val="000000"/>
                <w:szCs w:val="20"/>
                <w:lang w:val="en-US" w:eastAsia="en-AU"/>
              </w:rPr>
            </w:pPr>
            <w:r w:rsidRPr="00CC18AA">
              <w:rPr>
                <w:rFonts w:cs="Arial"/>
                <w:color w:val="000000"/>
                <w:szCs w:val="20"/>
                <w:lang w:val="en-US" w:eastAsia="en-AU"/>
              </w:rPr>
              <w:t>133</w:t>
            </w:r>
          </w:p>
        </w:tc>
      </w:tr>
    </w:tbl>
    <w:p w:rsidR="001E06DF" w:rsidRDefault="001E06DF" w:rsidP="001E06DF">
      <w:pPr>
        <w:pStyle w:val="bodytextLTIMtender"/>
      </w:pPr>
    </w:p>
    <w:p w:rsidR="00DB4624" w:rsidRDefault="00DB4624" w:rsidP="00CD2D1C">
      <w:pPr>
        <w:pStyle w:val="Heading9"/>
      </w:pPr>
      <w:r>
        <w:t>Diversity indices</w:t>
      </w:r>
    </w:p>
    <w:p w:rsidR="003942B6" w:rsidRDefault="00DB4624" w:rsidP="00DB4624">
      <w:r>
        <w:t xml:space="preserve">Taxonomic richness ranged from 4 to 19 and was similar between benthic and pelagic habitats within zones. </w:t>
      </w:r>
      <w:r w:rsidR="007F49F9">
        <w:t xml:space="preserve"> </w:t>
      </w:r>
      <w:r>
        <w:t xml:space="preserve">Across all habitats and zones, there was a significant difference in microinvertebrate richness with </w:t>
      </w:r>
      <w:r w:rsidR="00911153">
        <w:t>time</w:t>
      </w:r>
      <w:r>
        <w:t xml:space="preserve"> (</w:t>
      </w:r>
      <w:proofErr w:type="gramStart"/>
      <w:r>
        <w:t>F(</w:t>
      </w:r>
      <w:proofErr w:type="gramEnd"/>
      <w:r>
        <w:t>3,69), 7.760, p&lt;0.005,</w:t>
      </w:r>
      <w:r w:rsidR="002A6DE2">
        <w:t xml:space="preserve"> </w:t>
      </w:r>
      <w:r w:rsidR="007F49F9">
        <w:fldChar w:fldCharType="begin"/>
      </w:r>
      <w:r w:rsidR="007F49F9">
        <w:instrText xml:space="preserve"> REF _Ref459888361 \h </w:instrText>
      </w:r>
      <w:r w:rsidR="007F49F9">
        <w:fldChar w:fldCharType="separate"/>
      </w:r>
      <w:r w:rsidR="005D5925">
        <w:t xml:space="preserve">Figure </w:t>
      </w:r>
      <w:r w:rsidR="005D5925">
        <w:rPr>
          <w:noProof/>
        </w:rPr>
        <w:t>D</w:t>
      </w:r>
      <w:r w:rsidR="005D5925">
        <w:noBreakHyphen/>
      </w:r>
      <w:r w:rsidR="005D5925">
        <w:rPr>
          <w:noProof/>
        </w:rPr>
        <w:t>12</w:t>
      </w:r>
      <w:r w:rsidR="007F49F9">
        <w:fldChar w:fldCharType="end"/>
      </w:r>
      <w:r w:rsidR="00561C43">
        <w:t xml:space="preserve"> a &amp; </w:t>
      </w:r>
      <w:r w:rsidR="002A6DE2">
        <w:t>b</w:t>
      </w:r>
      <w:r>
        <w:t xml:space="preserve">), with T1 significantly lower than all other sampling occasions in pairwise tests (p&lt;0.05). </w:t>
      </w:r>
      <w:r w:rsidR="007F49F9">
        <w:t xml:space="preserve"> </w:t>
      </w:r>
      <w:r w:rsidR="00911153">
        <w:t>N</w:t>
      </w:r>
      <w:r>
        <w:t xml:space="preserve">o significant spatial pattern </w:t>
      </w:r>
      <w:r w:rsidR="00911153">
        <w:t>was observed across sites.</w:t>
      </w:r>
    </w:p>
    <w:tbl>
      <w:tblPr>
        <w:tblW w:w="0" w:type="auto"/>
        <w:tblBorders>
          <w:top w:val="single" w:sz="2" w:space="0" w:color="000000"/>
          <w:bottom w:val="single" w:sz="2" w:space="0" w:color="000000"/>
          <w:insideH w:val="single" w:sz="2" w:space="0" w:color="000000"/>
          <w:insideV w:val="single" w:sz="2" w:space="0" w:color="000000"/>
        </w:tblBorders>
        <w:tblLook w:val="04A0" w:firstRow="1" w:lastRow="0" w:firstColumn="1" w:lastColumn="0" w:noHBand="0" w:noVBand="1"/>
      </w:tblPr>
      <w:tblGrid>
        <w:gridCol w:w="4619"/>
        <w:gridCol w:w="4581"/>
      </w:tblGrid>
      <w:tr w:rsidR="00CB5A5F" w:rsidTr="00CC18AA">
        <w:trPr>
          <w:trHeight w:val="4108"/>
        </w:trPr>
        <w:tc>
          <w:tcPr>
            <w:tcW w:w="4613" w:type="dxa"/>
            <w:tcBorders>
              <w:top w:val="nil"/>
              <w:bottom w:val="nil"/>
              <w:right w:val="nil"/>
            </w:tcBorders>
            <w:shd w:val="clear" w:color="auto" w:fill="auto"/>
            <w:noWrap/>
            <w:vAlign w:val="bottom"/>
          </w:tcPr>
          <w:p w:rsidR="00CB5A5F" w:rsidRDefault="004176FF" w:rsidP="00CC18AA">
            <w:pPr>
              <w:spacing w:line="240" w:lineRule="auto"/>
              <w:jc w:val="left"/>
            </w:pPr>
            <w:r w:rsidRPr="008F5E11">
              <w:rPr>
                <w:noProof/>
                <w:lang w:eastAsia="en-AU"/>
              </w:rPr>
              <w:drawing>
                <wp:inline distT="0" distB="0" distL="0" distR="0">
                  <wp:extent cx="2798445" cy="2475230"/>
                  <wp:effectExtent l="0" t="0" r="1905" b="1270"/>
                  <wp:docPr id="46" name="Chart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c>
          <w:tcPr>
            <w:tcW w:w="4587" w:type="dxa"/>
            <w:tcBorders>
              <w:top w:val="nil"/>
              <w:left w:val="nil"/>
              <w:bottom w:val="nil"/>
            </w:tcBorders>
            <w:shd w:val="clear" w:color="auto" w:fill="auto"/>
            <w:noWrap/>
            <w:vAlign w:val="bottom"/>
          </w:tcPr>
          <w:p w:rsidR="00CB5A5F" w:rsidRDefault="004176FF" w:rsidP="00CC18AA">
            <w:pPr>
              <w:spacing w:line="240" w:lineRule="auto"/>
              <w:jc w:val="left"/>
            </w:pPr>
            <w:r w:rsidRPr="008F5E11">
              <w:rPr>
                <w:noProof/>
                <w:lang w:eastAsia="en-AU"/>
              </w:rPr>
              <w:drawing>
                <wp:inline distT="0" distB="0" distL="0" distR="0">
                  <wp:extent cx="2705100" cy="2457450"/>
                  <wp:effectExtent l="0" t="0" r="0" b="0"/>
                  <wp:docPr id="47"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r w:rsidR="00CB5A5F" w:rsidTr="00CC18AA">
        <w:tc>
          <w:tcPr>
            <w:tcW w:w="9200" w:type="dxa"/>
            <w:gridSpan w:val="2"/>
            <w:tcBorders>
              <w:top w:val="nil"/>
              <w:bottom w:val="nil"/>
            </w:tcBorders>
            <w:shd w:val="clear" w:color="auto" w:fill="auto"/>
            <w:noWrap/>
            <w:vAlign w:val="center"/>
          </w:tcPr>
          <w:p w:rsidR="00CB5A5F" w:rsidRDefault="00CB5A5F" w:rsidP="00CB5A5F">
            <w:pPr>
              <w:pStyle w:val="Caption"/>
            </w:pPr>
            <w:bookmarkStart w:id="54" w:name="_Ref459888361"/>
            <w:r>
              <w:t xml:space="preserve">Figure </w:t>
            </w:r>
            <w:fldSimple w:instr=" STYLEREF 6 \s ">
              <w:r w:rsidR="00673DAF">
                <w:rPr>
                  <w:noProof/>
                </w:rPr>
                <w:t>D</w:t>
              </w:r>
            </w:fldSimple>
            <w:r w:rsidR="00673DAF">
              <w:noBreakHyphen/>
            </w:r>
            <w:fldSimple w:instr=" SEQ Figure \* ARABIC \s 6 ">
              <w:r w:rsidR="00673DAF">
                <w:rPr>
                  <w:noProof/>
                </w:rPr>
                <w:t>12</w:t>
              </w:r>
            </w:fldSimple>
            <w:bookmarkEnd w:id="54"/>
            <w:r>
              <w:t xml:space="preserve"> </w:t>
            </w:r>
            <w:r w:rsidRPr="00A37968">
              <w:t>Mean ± standard deviation (SD) of microinvertebrate richness in (a) benthic and (b) pelagic habitats.</w:t>
            </w:r>
          </w:p>
        </w:tc>
      </w:tr>
    </w:tbl>
    <w:p w:rsidR="003942B6" w:rsidRDefault="003942B6" w:rsidP="00DB4624"/>
    <w:p w:rsidR="001E06DF" w:rsidRDefault="00293449" w:rsidP="00DB4624">
      <w:r>
        <w:t>Shannon diversity ranged from 0.4 to 1.9 in the benthic habitat</w:t>
      </w:r>
      <w:r w:rsidR="00911153">
        <w:t>s</w:t>
      </w:r>
      <w:r>
        <w:t xml:space="preserve"> (</w:t>
      </w:r>
      <w:r w:rsidR="007F49F9">
        <w:fldChar w:fldCharType="begin"/>
      </w:r>
      <w:r w:rsidR="007F49F9">
        <w:instrText xml:space="preserve"> REF _Ref459888369 \h </w:instrText>
      </w:r>
      <w:r w:rsidR="007F49F9">
        <w:fldChar w:fldCharType="separate"/>
      </w:r>
      <w:r w:rsidR="005D5925" w:rsidRPr="00BD0A55">
        <w:rPr>
          <w:szCs w:val="18"/>
        </w:rPr>
        <w:t xml:space="preserve">Figure </w:t>
      </w:r>
      <w:r w:rsidR="005D5925">
        <w:rPr>
          <w:noProof/>
          <w:szCs w:val="18"/>
        </w:rPr>
        <w:t>D</w:t>
      </w:r>
      <w:r w:rsidR="005D5925">
        <w:rPr>
          <w:szCs w:val="18"/>
        </w:rPr>
        <w:noBreakHyphen/>
      </w:r>
      <w:r w:rsidR="005D5925">
        <w:rPr>
          <w:noProof/>
          <w:szCs w:val="18"/>
        </w:rPr>
        <w:t>13</w:t>
      </w:r>
      <w:r w:rsidR="007F49F9">
        <w:fldChar w:fldCharType="end"/>
      </w:r>
      <w:r>
        <w:t>a) and from 1.5 to 5.2 in the pelagic habitat</w:t>
      </w:r>
      <w:r w:rsidR="00911153">
        <w:t>s</w:t>
      </w:r>
      <w:r>
        <w:t xml:space="preserve"> (</w:t>
      </w:r>
      <w:r w:rsidR="007F49F9">
        <w:fldChar w:fldCharType="begin"/>
      </w:r>
      <w:r w:rsidR="007F49F9">
        <w:instrText xml:space="preserve"> REF _Ref459888369 \h </w:instrText>
      </w:r>
      <w:r w:rsidR="007F49F9">
        <w:fldChar w:fldCharType="separate"/>
      </w:r>
      <w:r w:rsidR="005D5925" w:rsidRPr="00BD0A55">
        <w:rPr>
          <w:szCs w:val="18"/>
        </w:rPr>
        <w:t xml:space="preserve">Figure </w:t>
      </w:r>
      <w:r w:rsidR="005D5925">
        <w:rPr>
          <w:noProof/>
          <w:szCs w:val="18"/>
        </w:rPr>
        <w:t>D</w:t>
      </w:r>
      <w:r w:rsidR="005D5925">
        <w:rPr>
          <w:szCs w:val="18"/>
        </w:rPr>
        <w:noBreakHyphen/>
      </w:r>
      <w:r w:rsidR="005D5925">
        <w:rPr>
          <w:noProof/>
          <w:szCs w:val="18"/>
        </w:rPr>
        <w:t>13</w:t>
      </w:r>
      <w:r w:rsidR="007F49F9">
        <w:fldChar w:fldCharType="end"/>
      </w:r>
      <w:r>
        <w:t xml:space="preserve">b). </w:t>
      </w:r>
      <w:r w:rsidR="007F49F9">
        <w:t xml:space="preserve"> </w:t>
      </w:r>
      <w:r w:rsidRPr="00FA3EEF">
        <w:t>There was</w:t>
      </w:r>
      <w:r>
        <w:t xml:space="preserve"> significant</w:t>
      </w:r>
      <w:r w:rsidR="00FA3EEF">
        <w:t>ly</w:t>
      </w:r>
      <w:r>
        <w:t xml:space="preserve"> higher diversity in pelagic habitat</w:t>
      </w:r>
      <w:r w:rsidR="00911153">
        <w:t>s</w:t>
      </w:r>
      <w:r>
        <w:t xml:space="preserve"> than benthic habitat</w:t>
      </w:r>
      <w:r w:rsidR="00911153">
        <w:t>s</w:t>
      </w:r>
      <w:r>
        <w:t xml:space="preserve"> (</w:t>
      </w:r>
      <w:proofErr w:type="gramStart"/>
      <w:r>
        <w:t>F(</w:t>
      </w:r>
      <w:proofErr w:type="gramEnd"/>
      <w:r>
        <w:t xml:space="preserve">1,69), 36.674, p&lt;0.005). </w:t>
      </w:r>
      <w:r w:rsidR="007F49F9">
        <w:t xml:space="preserve"> </w:t>
      </w:r>
      <w:r w:rsidR="00911153">
        <w:t>A</w:t>
      </w:r>
      <w:r>
        <w:t>lthough both habitats share</w:t>
      </w:r>
      <w:r w:rsidR="00911153">
        <w:t>d a</w:t>
      </w:r>
      <w:r>
        <w:t xml:space="preserve"> similar number of taxa (measured as taxonomic richness), benthic habitat</w:t>
      </w:r>
      <w:r w:rsidR="00911153">
        <w:t>s were</w:t>
      </w:r>
      <w:r>
        <w:t xml:space="preserve"> dominated by a few taxa (with lower diversity). </w:t>
      </w:r>
      <w:r w:rsidR="007F49F9">
        <w:t xml:space="preserve"> </w:t>
      </w:r>
      <w:r>
        <w:t xml:space="preserve">In benthic samples, there was a significant </w:t>
      </w:r>
      <w:r w:rsidR="00911153">
        <w:t>time</w:t>
      </w:r>
      <w:r>
        <w:t xml:space="preserve"> x </w:t>
      </w:r>
      <w:r w:rsidR="00911153">
        <w:t>zone</w:t>
      </w:r>
      <w:r>
        <w:t xml:space="preserve"> difference (</w:t>
      </w:r>
      <w:proofErr w:type="gramStart"/>
      <w:r>
        <w:t>F(</w:t>
      </w:r>
      <w:proofErr w:type="gramEnd"/>
      <w:r>
        <w:t xml:space="preserve">9,27), 3.116, p&lt;0.05). </w:t>
      </w:r>
      <w:r w:rsidR="007F49F9">
        <w:t xml:space="preserve"> </w:t>
      </w:r>
      <w:r>
        <w:t xml:space="preserve">Microinvertebrate diversity in the Gingham </w:t>
      </w:r>
      <w:r w:rsidR="001C3C04">
        <w:t>watercourse</w:t>
      </w:r>
      <w:r>
        <w:t xml:space="preserve"> at T1 was significant</w:t>
      </w:r>
      <w:r w:rsidR="00FA3EEF">
        <w:t>ly</w:t>
      </w:r>
      <w:r>
        <w:t xml:space="preserve"> lower than all other samples in pairwise tests (p&lt;0.05). </w:t>
      </w:r>
      <w:r w:rsidR="007F49F9">
        <w:t xml:space="preserve"> </w:t>
      </w:r>
      <w:r>
        <w:t>In pelagic samples, there was a significant temporal change in diversity (</w:t>
      </w:r>
      <w:proofErr w:type="gramStart"/>
      <w:r>
        <w:t>F(</w:t>
      </w:r>
      <w:proofErr w:type="gramEnd"/>
      <w:r>
        <w:t>3,27), 6.589, p&lt;0.005) with a significantly higher T2 diversity compared with all other sampling occasions in pair</w:t>
      </w:r>
      <w:r w:rsidR="00911153">
        <w:t xml:space="preserve">wise tests (p&lt;0.05). </w:t>
      </w:r>
      <w:r w:rsidR="007F49F9">
        <w:t xml:space="preserve"> </w:t>
      </w:r>
      <w:r w:rsidR="00911153">
        <w:t>N</w:t>
      </w:r>
      <w:r>
        <w:t xml:space="preserve">o significant spatial pattern </w:t>
      </w:r>
      <w:r w:rsidR="00911153">
        <w:t xml:space="preserve">was </w:t>
      </w:r>
      <w:r>
        <w:t>observed.</w:t>
      </w:r>
    </w:p>
    <w:tbl>
      <w:tblPr>
        <w:tblW w:w="0" w:type="auto"/>
        <w:tblLook w:val="04A0" w:firstRow="1" w:lastRow="0" w:firstColumn="1" w:lastColumn="0" w:noHBand="0" w:noVBand="1"/>
      </w:tblPr>
      <w:tblGrid>
        <w:gridCol w:w="4600"/>
        <w:gridCol w:w="4600"/>
      </w:tblGrid>
      <w:tr w:rsidR="00BD0A55" w:rsidRPr="00BD0A55" w:rsidTr="00CC18AA">
        <w:tc>
          <w:tcPr>
            <w:tcW w:w="4820" w:type="dxa"/>
            <w:shd w:val="clear" w:color="auto" w:fill="auto"/>
            <w:noWrap/>
          </w:tcPr>
          <w:p w:rsidR="00BD0A55" w:rsidRPr="00CC18AA" w:rsidRDefault="004176FF" w:rsidP="00CC18AA">
            <w:pPr>
              <w:keepNext/>
              <w:spacing w:line="240" w:lineRule="auto"/>
              <w:jc w:val="left"/>
              <w:rPr>
                <w:szCs w:val="20"/>
              </w:rPr>
            </w:pPr>
            <w:r w:rsidRPr="00CC18AA">
              <w:rPr>
                <w:noProof/>
                <w:szCs w:val="20"/>
                <w:lang w:eastAsia="en-AU"/>
              </w:rPr>
              <w:drawing>
                <wp:inline distT="0" distB="0" distL="0" distR="0">
                  <wp:extent cx="2838450" cy="2447925"/>
                  <wp:effectExtent l="0" t="0" r="0" b="0"/>
                  <wp:docPr id="48" name="Chart 3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c>
          <w:tcPr>
            <w:tcW w:w="4380" w:type="dxa"/>
            <w:shd w:val="clear" w:color="auto" w:fill="auto"/>
            <w:noWrap/>
            <w:vAlign w:val="center"/>
          </w:tcPr>
          <w:p w:rsidR="00BD0A55" w:rsidRPr="00CC18AA" w:rsidRDefault="004176FF" w:rsidP="00CC18AA">
            <w:pPr>
              <w:spacing w:line="240" w:lineRule="auto"/>
              <w:rPr>
                <w:szCs w:val="20"/>
              </w:rPr>
            </w:pPr>
            <w:r w:rsidRPr="00CC18AA">
              <w:rPr>
                <w:noProof/>
                <w:szCs w:val="20"/>
                <w:lang w:eastAsia="en-AU"/>
              </w:rPr>
              <w:drawing>
                <wp:inline distT="0" distB="0" distL="0" distR="0">
                  <wp:extent cx="2924175" cy="2524125"/>
                  <wp:effectExtent l="0" t="0" r="0" b="0"/>
                  <wp:docPr id="49" name="Chart 3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r>
      <w:tr w:rsidR="00BD0A55" w:rsidRPr="00BD0A55" w:rsidTr="00CC18AA">
        <w:tc>
          <w:tcPr>
            <w:tcW w:w="9200" w:type="dxa"/>
            <w:gridSpan w:val="2"/>
            <w:shd w:val="clear" w:color="auto" w:fill="auto"/>
            <w:noWrap/>
          </w:tcPr>
          <w:p w:rsidR="00BD0A55" w:rsidRPr="00CC18AA" w:rsidRDefault="00BD0A55" w:rsidP="00BD0A55">
            <w:pPr>
              <w:pStyle w:val="Caption"/>
              <w:rPr>
                <w:noProof/>
                <w:szCs w:val="18"/>
                <w:lang w:eastAsia="en-AU"/>
              </w:rPr>
            </w:pPr>
            <w:bookmarkStart w:id="55" w:name="_Ref459888369"/>
            <w:r w:rsidRPr="00CC18AA">
              <w:rPr>
                <w:szCs w:val="18"/>
              </w:rPr>
              <w:t xml:space="preserve">Figure </w:t>
            </w:r>
            <w:r w:rsidR="00673DAF">
              <w:rPr>
                <w:szCs w:val="18"/>
              </w:rPr>
              <w:fldChar w:fldCharType="begin"/>
            </w:r>
            <w:r w:rsidR="00673DAF">
              <w:rPr>
                <w:szCs w:val="18"/>
              </w:rPr>
              <w:instrText xml:space="preserve"> STYLEREF 6 \s </w:instrText>
            </w:r>
            <w:r w:rsidR="00673DAF">
              <w:rPr>
                <w:szCs w:val="18"/>
              </w:rPr>
              <w:fldChar w:fldCharType="separate"/>
            </w:r>
            <w:r w:rsidR="00673DAF">
              <w:rPr>
                <w:noProof/>
                <w:szCs w:val="18"/>
              </w:rPr>
              <w:t>D</w:t>
            </w:r>
            <w:r w:rsidR="00673DAF">
              <w:rPr>
                <w:szCs w:val="18"/>
              </w:rPr>
              <w:fldChar w:fldCharType="end"/>
            </w:r>
            <w:r w:rsidR="00673DAF">
              <w:rPr>
                <w:szCs w:val="18"/>
              </w:rPr>
              <w:noBreakHyphen/>
            </w:r>
            <w:r w:rsidR="00673DAF">
              <w:rPr>
                <w:szCs w:val="18"/>
              </w:rPr>
              <w:fldChar w:fldCharType="begin"/>
            </w:r>
            <w:r w:rsidR="00673DAF">
              <w:rPr>
                <w:szCs w:val="18"/>
              </w:rPr>
              <w:instrText xml:space="preserve"> SEQ Figure \* ARABIC \s 6 </w:instrText>
            </w:r>
            <w:r w:rsidR="00673DAF">
              <w:rPr>
                <w:szCs w:val="18"/>
              </w:rPr>
              <w:fldChar w:fldCharType="separate"/>
            </w:r>
            <w:r w:rsidR="00673DAF">
              <w:rPr>
                <w:noProof/>
                <w:szCs w:val="18"/>
              </w:rPr>
              <w:t>13</w:t>
            </w:r>
            <w:r w:rsidR="00673DAF">
              <w:rPr>
                <w:szCs w:val="18"/>
              </w:rPr>
              <w:fldChar w:fldCharType="end"/>
            </w:r>
            <w:bookmarkEnd w:id="55"/>
            <w:r w:rsidRPr="00CC18AA">
              <w:rPr>
                <w:szCs w:val="18"/>
              </w:rPr>
              <w:t xml:space="preserve"> Mean ± standard deviation (SD) of microinvertebrate diversity in (a) benthic and (b) pelagic habitats.</w:t>
            </w:r>
          </w:p>
        </w:tc>
      </w:tr>
    </w:tbl>
    <w:p w:rsidR="00DB4624" w:rsidRDefault="006606A6" w:rsidP="005F23F1">
      <w:pPr>
        <w:pStyle w:val="Heading9"/>
      </w:pPr>
      <w:r>
        <w:br w:type="page"/>
      </w:r>
      <w:r w:rsidR="00DB4624">
        <w:t>Taxonomic composition</w:t>
      </w:r>
    </w:p>
    <w:p w:rsidR="00FA3EEF" w:rsidRDefault="00FA3EEF" w:rsidP="00FA3EEF">
      <w:r w:rsidRPr="00B917B5">
        <w:t xml:space="preserve">Initially, </w:t>
      </w:r>
      <w:r>
        <w:t>PERMANOVA</w:t>
      </w:r>
      <w:r w:rsidRPr="00B917B5">
        <w:t xml:space="preserve"> analy</w:t>
      </w:r>
      <w:r>
        <w:t xml:space="preserve">sis was used to test if </w:t>
      </w:r>
      <w:r w:rsidR="00911153">
        <w:t>habitat</w:t>
      </w:r>
      <w:r>
        <w:t xml:space="preserve"> (benthic and pelagic) and </w:t>
      </w:r>
      <w:r w:rsidR="00911153">
        <w:t xml:space="preserve">ecosystem </w:t>
      </w:r>
      <w:r>
        <w:t xml:space="preserve">(Wetland and River) </w:t>
      </w:r>
      <w:r w:rsidRPr="00B917B5">
        <w:t xml:space="preserve">could explain differences in the microinvertebrate community composition. </w:t>
      </w:r>
      <w:r>
        <w:t xml:space="preserve">PERMANOVA </w:t>
      </w:r>
      <w:r w:rsidRPr="00B917B5">
        <w:t>result</w:t>
      </w:r>
      <w:r>
        <w:t>s</w:t>
      </w:r>
      <w:r w:rsidRPr="00B917B5">
        <w:t xml:space="preserve"> </w:t>
      </w:r>
      <w:r>
        <w:t>indicated</w:t>
      </w:r>
      <w:r w:rsidRPr="00B917B5">
        <w:t xml:space="preserve"> that </w:t>
      </w:r>
      <w:r>
        <w:t>the taxonomic composition</w:t>
      </w:r>
      <w:r w:rsidRPr="00B917B5">
        <w:t xml:space="preserve"> </w:t>
      </w:r>
      <w:r>
        <w:t>was</w:t>
      </w:r>
      <w:r w:rsidRPr="00B917B5">
        <w:t xml:space="preserve"> </w:t>
      </w:r>
      <w:r>
        <w:t>significantly</w:t>
      </w:r>
      <w:r w:rsidRPr="00B917B5">
        <w:t xml:space="preserve"> </w:t>
      </w:r>
      <w:r>
        <w:t>different</w:t>
      </w:r>
      <w:r w:rsidRPr="00B917B5">
        <w:t xml:space="preserve"> </w:t>
      </w:r>
      <w:r>
        <w:t>between</w:t>
      </w:r>
      <w:r w:rsidRPr="00B917B5">
        <w:t xml:space="preserve"> benthic and pelagic habitat</w:t>
      </w:r>
      <w:r>
        <w:t>s</w:t>
      </w:r>
      <w:r w:rsidRPr="00B917B5">
        <w:t xml:space="preserve"> (</w:t>
      </w:r>
      <w:r>
        <w:t>Pseudo-F=10.988, p=0.001</w:t>
      </w:r>
      <w:r w:rsidRPr="00B917B5">
        <w:t>)</w:t>
      </w:r>
      <w:r>
        <w:t xml:space="preserve"> and between wetland and river ecosystems (Pseudo-F=2.8068, p=0.012) based on the presence-absence dataset. </w:t>
      </w:r>
      <w:r w:rsidR="007F49F9">
        <w:t xml:space="preserve"> </w:t>
      </w:r>
      <w:r>
        <w:t>A similar result was also found based on the abundance dataset with lower significan</w:t>
      </w:r>
      <w:r w:rsidR="006C0AD3">
        <w:t>ce</w:t>
      </w:r>
      <w:r>
        <w:t xml:space="preserve"> level. </w:t>
      </w:r>
      <w:r w:rsidR="007F49F9">
        <w:t xml:space="preserve"> </w:t>
      </w:r>
      <w:r w:rsidRPr="00B917B5">
        <w:t>The dissimilarity between benthic and pelagi</w:t>
      </w:r>
      <w:r>
        <w:t>c communities was shown in the n</w:t>
      </w:r>
      <w:r w:rsidRPr="00B917B5">
        <w:t xml:space="preserve">MDS ordination with </w:t>
      </w:r>
      <w:r>
        <w:t>a stress value</w:t>
      </w:r>
      <w:r w:rsidRPr="00B917B5">
        <w:t xml:space="preserve"> of 0.1</w:t>
      </w:r>
      <w:r>
        <w:t>4 (</w:t>
      </w:r>
      <w:r w:rsidR="007F49F9">
        <w:fldChar w:fldCharType="begin"/>
      </w:r>
      <w:r w:rsidR="007F49F9">
        <w:instrText xml:space="preserve"> REF _Ref459888391 \h </w:instrText>
      </w:r>
      <w:r w:rsidR="007F49F9">
        <w:fldChar w:fldCharType="separate"/>
      </w:r>
      <w:r w:rsidR="005D5925">
        <w:t xml:space="preserve">Figure </w:t>
      </w:r>
      <w:r w:rsidR="005D5925">
        <w:rPr>
          <w:noProof/>
        </w:rPr>
        <w:t>D</w:t>
      </w:r>
      <w:r w:rsidR="005D5925">
        <w:noBreakHyphen/>
      </w:r>
      <w:r w:rsidR="005D5925">
        <w:rPr>
          <w:noProof/>
        </w:rPr>
        <w:t>14</w:t>
      </w:r>
      <w:r w:rsidR="007F49F9">
        <w:fldChar w:fldCharType="end"/>
      </w:r>
      <w:r w:rsidRPr="00B917B5">
        <w:t>).</w:t>
      </w:r>
      <w:r w:rsidR="007F49F9">
        <w:t xml:space="preserve"> </w:t>
      </w:r>
      <w:r w:rsidRPr="00B917B5">
        <w:t xml:space="preserve"> Since </w:t>
      </w:r>
      <w:r>
        <w:t>the taxonomic composition</w:t>
      </w:r>
      <w:r w:rsidRPr="00B917B5">
        <w:t xml:space="preserve"> was predominantly driven by </w:t>
      </w:r>
      <w:r w:rsidR="00911153">
        <w:t>habitat</w:t>
      </w:r>
      <w:r>
        <w:t xml:space="preserve"> and </w:t>
      </w:r>
      <w:r w:rsidR="00911153">
        <w:t>ecosystem</w:t>
      </w:r>
      <w:r w:rsidRPr="00B917B5">
        <w:t xml:space="preserve">, </w:t>
      </w:r>
      <w:r>
        <w:t>four datasets</w:t>
      </w:r>
      <w:r w:rsidRPr="00B917B5">
        <w:t xml:space="preserve"> by </w:t>
      </w:r>
      <w:r w:rsidR="00911153">
        <w:t>habitat</w:t>
      </w:r>
      <w:r>
        <w:t xml:space="preserve"> and </w:t>
      </w:r>
      <w:r w:rsidR="00911153">
        <w:t>ecosystem</w:t>
      </w:r>
      <w:r w:rsidRPr="00B917B5">
        <w:t xml:space="preserve"> were developed to further </w:t>
      </w:r>
      <w:r>
        <w:t>explore</w:t>
      </w:r>
      <w:r w:rsidRPr="00B917B5">
        <w:t xml:space="preserve"> the effects of </w:t>
      </w:r>
      <w:r w:rsidR="00911153">
        <w:t>time</w:t>
      </w:r>
      <w:r w:rsidRPr="00214F64">
        <w:t xml:space="preserve"> and </w:t>
      </w:r>
      <w:r w:rsidR="00911153">
        <w:t>zone</w:t>
      </w:r>
      <w:r w:rsidRPr="00214F64">
        <w:t>.</w:t>
      </w:r>
      <w:r w:rsidRPr="00453012">
        <w:t xml:space="preserve"> </w:t>
      </w:r>
    </w:p>
    <w:p w:rsidR="00FA3EEF" w:rsidRDefault="00FA3EEF" w:rsidP="00FA3EEF">
      <w:r w:rsidRPr="00B917B5">
        <w:t>The community difference</w:t>
      </w:r>
      <w:r w:rsidR="00911153">
        <w:t>s</w:t>
      </w:r>
      <w:r w:rsidRPr="00B917B5">
        <w:t xml:space="preserve"> between habitats was driven by the higher average abundance of </w:t>
      </w:r>
      <w:r>
        <w:t xml:space="preserve">Phylum </w:t>
      </w:r>
      <w:r w:rsidRPr="00B917B5">
        <w:t>Nematoda</w:t>
      </w:r>
      <w:r>
        <w:t xml:space="preserve">, Cladoceran Family Macrothricidae, subClass Oligochaeta and Cladoceran Family Chydoridae </w:t>
      </w:r>
      <w:r w:rsidRPr="00B917B5">
        <w:t xml:space="preserve">in </w:t>
      </w:r>
      <w:r>
        <w:t xml:space="preserve">the </w:t>
      </w:r>
      <w:r w:rsidRPr="00B917B5">
        <w:t xml:space="preserve">benthic habitat </w:t>
      </w:r>
      <w:r>
        <w:t>and the rotifer Families Synchaetidae, Filiniidae and Asplanchnidae in the Pelagic habitat (</w:t>
      </w:r>
      <w:r w:rsidR="00CE6789">
        <w:fldChar w:fldCharType="begin"/>
      </w:r>
      <w:r w:rsidR="00CE6789">
        <w:instrText xml:space="preserve"> REF _Ref459623435 \h </w:instrText>
      </w:r>
      <w:r w:rsidR="00CE6789">
        <w:fldChar w:fldCharType="separate"/>
      </w:r>
      <w:r w:rsidR="005D5925">
        <w:t xml:space="preserve">Table </w:t>
      </w:r>
      <w:r w:rsidR="005D5925">
        <w:rPr>
          <w:noProof/>
        </w:rPr>
        <w:t>D</w:t>
      </w:r>
      <w:r w:rsidR="005D5925">
        <w:noBreakHyphen/>
      </w:r>
      <w:r w:rsidR="005D5925">
        <w:rPr>
          <w:noProof/>
        </w:rPr>
        <w:t>4</w:t>
      </w:r>
      <w:r w:rsidR="00CE6789">
        <w:fldChar w:fldCharType="end"/>
      </w:r>
      <w:r>
        <w:t>)</w:t>
      </w:r>
      <w:r w:rsidR="008E049F">
        <w:t>.</w:t>
      </w:r>
      <w:r w:rsidRPr="00B917B5">
        <w:t xml:space="preserve"> </w:t>
      </w:r>
      <w:r w:rsidR="008E049F">
        <w:t xml:space="preserve"> </w:t>
      </w:r>
      <w:r w:rsidRPr="00B917B5">
        <w:t>The average abundance of these s</w:t>
      </w:r>
      <w:r>
        <w:t xml:space="preserve">even </w:t>
      </w:r>
      <w:r w:rsidRPr="00B917B5">
        <w:t>taxa contribut</w:t>
      </w:r>
      <w:r w:rsidR="00911153">
        <w:t>ed</w:t>
      </w:r>
      <w:r w:rsidRPr="00B917B5">
        <w:t xml:space="preserve"> to </w:t>
      </w:r>
      <w:r>
        <w:t>32</w:t>
      </w:r>
      <w:r w:rsidRPr="00B917B5">
        <w:t>% cumulative dissimilarity between two habitats.</w:t>
      </w:r>
    </w:p>
    <w:p w:rsidR="006606A6" w:rsidRDefault="004176FF" w:rsidP="006606A6">
      <w:pPr>
        <w:keepNext/>
        <w:spacing w:line="240" w:lineRule="auto"/>
      </w:pPr>
      <w:r w:rsidRPr="008F5E11">
        <w:rPr>
          <w:noProof/>
          <w:lang w:eastAsia="en-AU"/>
        </w:rPr>
        <w:drawing>
          <wp:inline distT="0" distB="0" distL="0" distR="0">
            <wp:extent cx="5753100" cy="3638550"/>
            <wp:effectExtent l="0" t="0" r="0" b="0"/>
            <wp:docPr id="50" name="Picture 1028" descr="C:\Users\wtsoi\Desktop\Grap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C:\Users\wtsoi\Desktop\Graph3.png"/>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5753100" cy="3638550"/>
                    </a:xfrm>
                    <a:prstGeom prst="rect">
                      <a:avLst/>
                    </a:prstGeom>
                    <a:noFill/>
                    <a:ln>
                      <a:noFill/>
                    </a:ln>
                  </pic:spPr>
                </pic:pic>
              </a:graphicData>
            </a:graphic>
          </wp:inline>
        </w:drawing>
      </w:r>
    </w:p>
    <w:p w:rsidR="00911153" w:rsidRDefault="006606A6" w:rsidP="005F23F1">
      <w:pPr>
        <w:pStyle w:val="Caption"/>
        <w:spacing w:after="360"/>
      </w:pPr>
      <w:bookmarkStart w:id="56" w:name="_Ref459888391"/>
      <w:r>
        <w:t xml:space="preserve">Figure </w:t>
      </w:r>
      <w:fldSimple w:instr=" STYLEREF 6 \s ">
        <w:r w:rsidR="00673DAF">
          <w:rPr>
            <w:noProof/>
          </w:rPr>
          <w:t>D</w:t>
        </w:r>
      </w:fldSimple>
      <w:r w:rsidR="00673DAF">
        <w:noBreakHyphen/>
      </w:r>
      <w:fldSimple w:instr=" SEQ Figure \* ARABIC \s 6 ">
        <w:r w:rsidR="00673DAF">
          <w:rPr>
            <w:noProof/>
          </w:rPr>
          <w:t>14</w:t>
        </w:r>
      </w:fldSimple>
      <w:bookmarkEnd w:id="56"/>
      <w:r>
        <w:t xml:space="preserve"> n</w:t>
      </w:r>
      <w:r w:rsidRPr="0070525C">
        <w:t xml:space="preserve">MDS ordination of microinvertebrate community composition using </w:t>
      </w:r>
      <w:r>
        <w:t xml:space="preserve">the </w:t>
      </w:r>
      <w:r w:rsidRPr="0070525C">
        <w:t>abundance dataset.</w:t>
      </w:r>
      <w:r>
        <w:br w:type="page"/>
      </w:r>
      <w:bookmarkStart w:id="57" w:name="_Ref459623435"/>
      <w:r w:rsidR="00911153">
        <w:t xml:space="preserve">Table </w:t>
      </w:r>
      <w:fldSimple w:instr=" STYLEREF 6 \s ">
        <w:r w:rsidR="005D5925">
          <w:rPr>
            <w:noProof/>
          </w:rPr>
          <w:t>D</w:t>
        </w:r>
      </w:fldSimple>
      <w:r w:rsidR="005D4453">
        <w:noBreakHyphen/>
      </w:r>
      <w:fldSimple w:instr=" SEQ Table \* ARABIC \s 6 ">
        <w:r w:rsidR="005D5925">
          <w:rPr>
            <w:noProof/>
          </w:rPr>
          <w:t>4</w:t>
        </w:r>
      </w:fldSimple>
      <w:bookmarkEnd w:id="57"/>
      <w:r w:rsidR="00911153">
        <w:t xml:space="preserve"> </w:t>
      </w:r>
      <w:r w:rsidR="00911153" w:rsidRPr="009E3641">
        <w:t>Microinvertebrate taxa contributing most of the dissimilarities between benthic and pelagic communities based on abundance dataset. Bold numbers represent the higher average abundance.</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234"/>
        <w:gridCol w:w="1663"/>
        <w:gridCol w:w="1665"/>
        <w:gridCol w:w="1879"/>
        <w:gridCol w:w="1759"/>
      </w:tblGrid>
      <w:tr w:rsidR="00CC18AA" w:rsidRPr="00DA5A29" w:rsidTr="00CC18AA">
        <w:trPr>
          <w:trHeight w:val="315"/>
          <w:tblHeader/>
        </w:trPr>
        <w:tc>
          <w:tcPr>
            <w:tcW w:w="1214" w:type="pct"/>
            <w:vMerge w:val="restart"/>
            <w:shd w:val="clear" w:color="auto" w:fill="D9D9D9"/>
            <w:noWrap/>
            <w:vAlign w:val="center"/>
            <w:hideMark/>
          </w:tcPr>
          <w:p w:rsidR="00911153" w:rsidRPr="00CC18AA" w:rsidRDefault="00911153" w:rsidP="00CC18AA">
            <w:pPr>
              <w:spacing w:before="60" w:after="60"/>
              <w:jc w:val="center"/>
              <w:rPr>
                <w:rFonts w:cs="Arial"/>
                <w:bCs/>
                <w:color w:val="000000"/>
                <w:szCs w:val="20"/>
                <w:lang w:val="en-US" w:eastAsia="en-AU"/>
              </w:rPr>
            </w:pPr>
            <w:r w:rsidRPr="00CC18AA">
              <w:rPr>
                <w:rFonts w:cs="Arial"/>
                <w:bCs/>
                <w:color w:val="000000"/>
                <w:szCs w:val="20"/>
                <w:lang w:val="en-US" w:eastAsia="en-AU"/>
              </w:rPr>
              <w:t>Taxa</w:t>
            </w:r>
          </w:p>
        </w:tc>
        <w:tc>
          <w:tcPr>
            <w:tcW w:w="1809" w:type="pct"/>
            <w:gridSpan w:val="2"/>
            <w:shd w:val="clear" w:color="auto" w:fill="D9D9D9"/>
            <w:noWrap/>
            <w:vAlign w:val="center"/>
            <w:hideMark/>
          </w:tcPr>
          <w:p w:rsidR="00911153" w:rsidRPr="00CC18AA" w:rsidRDefault="00911153" w:rsidP="00CC18AA">
            <w:pPr>
              <w:spacing w:before="60" w:after="60"/>
              <w:jc w:val="center"/>
              <w:rPr>
                <w:rFonts w:cs="Arial"/>
                <w:bCs/>
                <w:color w:val="000000"/>
                <w:szCs w:val="20"/>
                <w:lang w:val="en-US" w:eastAsia="en-AU"/>
              </w:rPr>
            </w:pPr>
            <w:r w:rsidRPr="00CC18AA">
              <w:rPr>
                <w:rFonts w:cs="Arial"/>
                <w:bCs/>
                <w:color w:val="000000"/>
                <w:szCs w:val="20"/>
                <w:lang w:val="en-US" w:eastAsia="en-AU"/>
              </w:rPr>
              <w:t>Average Abundance</w:t>
            </w:r>
          </w:p>
        </w:tc>
        <w:tc>
          <w:tcPr>
            <w:tcW w:w="1021" w:type="pct"/>
            <w:vMerge w:val="restart"/>
            <w:shd w:val="clear" w:color="auto" w:fill="D9D9D9"/>
            <w:noWrap/>
            <w:vAlign w:val="center"/>
            <w:hideMark/>
          </w:tcPr>
          <w:p w:rsidR="00911153" w:rsidRPr="00CC18AA" w:rsidRDefault="00911153" w:rsidP="00CC18AA">
            <w:pPr>
              <w:spacing w:before="60" w:after="60"/>
              <w:jc w:val="center"/>
              <w:rPr>
                <w:rFonts w:cs="Arial"/>
                <w:bCs/>
                <w:color w:val="000000"/>
                <w:szCs w:val="20"/>
                <w:lang w:val="en-US" w:eastAsia="en-AU"/>
              </w:rPr>
            </w:pPr>
            <w:r w:rsidRPr="00CC18AA">
              <w:rPr>
                <w:rFonts w:cs="Arial"/>
                <w:bCs/>
                <w:color w:val="000000"/>
                <w:szCs w:val="20"/>
                <w:lang w:val="en-US" w:eastAsia="en-AU"/>
              </w:rPr>
              <w:t>Contribution %</w:t>
            </w:r>
          </w:p>
        </w:tc>
        <w:tc>
          <w:tcPr>
            <w:tcW w:w="956" w:type="pct"/>
            <w:vMerge w:val="restart"/>
            <w:shd w:val="clear" w:color="auto" w:fill="D9D9D9"/>
            <w:noWrap/>
            <w:vAlign w:val="center"/>
            <w:hideMark/>
          </w:tcPr>
          <w:p w:rsidR="00911153" w:rsidRPr="00CC18AA" w:rsidRDefault="00911153" w:rsidP="00CC18AA">
            <w:pPr>
              <w:spacing w:before="60" w:after="60"/>
              <w:jc w:val="center"/>
              <w:rPr>
                <w:rFonts w:cs="Arial"/>
                <w:bCs/>
                <w:color w:val="000000"/>
                <w:szCs w:val="20"/>
                <w:lang w:val="en-US" w:eastAsia="en-AU"/>
              </w:rPr>
            </w:pPr>
            <w:r w:rsidRPr="00CC18AA">
              <w:rPr>
                <w:rFonts w:cs="Arial"/>
                <w:bCs/>
                <w:color w:val="000000"/>
                <w:szCs w:val="20"/>
                <w:lang w:val="en-US" w:eastAsia="en-AU"/>
              </w:rPr>
              <w:t>Cumulative %</w:t>
            </w:r>
          </w:p>
        </w:tc>
      </w:tr>
      <w:tr w:rsidR="00CC18AA" w:rsidRPr="00DA5A29" w:rsidTr="00CC18AA">
        <w:trPr>
          <w:trHeight w:val="315"/>
          <w:tblHeader/>
        </w:trPr>
        <w:tc>
          <w:tcPr>
            <w:tcW w:w="1214" w:type="pct"/>
            <w:vMerge/>
            <w:shd w:val="clear" w:color="auto" w:fill="D9D9D9"/>
            <w:hideMark/>
          </w:tcPr>
          <w:p w:rsidR="00911153" w:rsidRPr="00CC18AA" w:rsidRDefault="00911153" w:rsidP="00CC18AA">
            <w:pPr>
              <w:spacing w:before="60" w:after="60"/>
              <w:jc w:val="left"/>
              <w:rPr>
                <w:rFonts w:cs="Arial"/>
                <w:bCs/>
                <w:color w:val="000000"/>
                <w:szCs w:val="20"/>
                <w:lang w:val="en-US" w:eastAsia="en-AU"/>
              </w:rPr>
            </w:pPr>
          </w:p>
        </w:tc>
        <w:tc>
          <w:tcPr>
            <w:tcW w:w="904" w:type="pct"/>
            <w:shd w:val="clear" w:color="auto" w:fill="D9D9D9"/>
            <w:hideMark/>
          </w:tcPr>
          <w:p w:rsidR="00911153" w:rsidRPr="00CC18AA" w:rsidRDefault="00911153" w:rsidP="00CC18AA">
            <w:pPr>
              <w:spacing w:before="60" w:after="60"/>
              <w:jc w:val="center"/>
              <w:rPr>
                <w:rFonts w:cs="Arial"/>
                <w:bCs/>
                <w:color w:val="000000"/>
                <w:szCs w:val="20"/>
                <w:lang w:val="en-US" w:eastAsia="en-AU"/>
              </w:rPr>
            </w:pPr>
            <w:r w:rsidRPr="00CC18AA">
              <w:rPr>
                <w:rFonts w:cs="Arial"/>
                <w:bCs/>
                <w:color w:val="000000"/>
                <w:szCs w:val="20"/>
                <w:lang w:val="en-US" w:eastAsia="en-AU"/>
              </w:rPr>
              <w:t>Benthic</w:t>
            </w:r>
          </w:p>
        </w:tc>
        <w:tc>
          <w:tcPr>
            <w:tcW w:w="904" w:type="pct"/>
            <w:shd w:val="clear" w:color="auto" w:fill="D9D9D9"/>
            <w:hideMark/>
          </w:tcPr>
          <w:p w:rsidR="00911153" w:rsidRPr="00CC18AA" w:rsidRDefault="00911153" w:rsidP="00CC18AA">
            <w:pPr>
              <w:spacing w:before="60" w:after="60"/>
              <w:jc w:val="center"/>
              <w:rPr>
                <w:rFonts w:cs="Arial"/>
                <w:bCs/>
                <w:color w:val="000000"/>
                <w:szCs w:val="20"/>
                <w:lang w:val="en-US" w:eastAsia="en-AU"/>
              </w:rPr>
            </w:pPr>
            <w:r w:rsidRPr="00CC18AA">
              <w:rPr>
                <w:rFonts w:cs="Arial"/>
                <w:bCs/>
                <w:color w:val="000000"/>
                <w:szCs w:val="20"/>
                <w:lang w:val="en-US" w:eastAsia="en-AU"/>
              </w:rPr>
              <w:t>Pelagic</w:t>
            </w:r>
          </w:p>
        </w:tc>
        <w:tc>
          <w:tcPr>
            <w:tcW w:w="1021" w:type="pct"/>
            <w:vMerge/>
            <w:shd w:val="clear" w:color="auto" w:fill="D9D9D9"/>
            <w:hideMark/>
          </w:tcPr>
          <w:p w:rsidR="00911153" w:rsidRPr="00CC18AA" w:rsidRDefault="00911153" w:rsidP="00CC18AA">
            <w:pPr>
              <w:spacing w:before="60" w:after="60"/>
              <w:jc w:val="left"/>
              <w:rPr>
                <w:rFonts w:cs="Arial"/>
                <w:bCs/>
                <w:color w:val="000000"/>
                <w:szCs w:val="20"/>
                <w:lang w:val="en-US" w:eastAsia="en-AU"/>
              </w:rPr>
            </w:pPr>
          </w:p>
        </w:tc>
        <w:tc>
          <w:tcPr>
            <w:tcW w:w="956" w:type="pct"/>
            <w:vMerge/>
            <w:shd w:val="clear" w:color="auto" w:fill="D9D9D9"/>
            <w:hideMark/>
          </w:tcPr>
          <w:p w:rsidR="00911153" w:rsidRPr="00CC18AA" w:rsidRDefault="00911153" w:rsidP="00CC18AA">
            <w:pPr>
              <w:spacing w:before="60" w:after="60"/>
              <w:jc w:val="left"/>
              <w:rPr>
                <w:rFonts w:cs="Arial"/>
                <w:bCs/>
                <w:color w:val="000000"/>
                <w:szCs w:val="20"/>
                <w:lang w:val="en-US" w:eastAsia="en-AU"/>
              </w:rPr>
            </w:pPr>
          </w:p>
        </w:tc>
      </w:tr>
      <w:tr w:rsidR="00CC18AA" w:rsidRPr="00DA5A29" w:rsidTr="00CC18AA">
        <w:trPr>
          <w:trHeight w:val="300"/>
        </w:trPr>
        <w:tc>
          <w:tcPr>
            <w:tcW w:w="1214" w:type="pct"/>
            <w:shd w:val="clear" w:color="auto" w:fill="auto"/>
            <w:noWrap/>
            <w:hideMark/>
          </w:tcPr>
          <w:p w:rsidR="00911153" w:rsidRPr="00CC18AA" w:rsidRDefault="00911153" w:rsidP="00CC18AA">
            <w:pPr>
              <w:spacing w:before="60" w:after="60"/>
              <w:jc w:val="left"/>
              <w:rPr>
                <w:rFonts w:cs="Arial"/>
                <w:bCs/>
                <w:color w:val="000000"/>
                <w:szCs w:val="20"/>
                <w:lang w:val="en-US" w:eastAsia="en-AU"/>
              </w:rPr>
            </w:pPr>
            <w:r w:rsidRPr="00CC18AA">
              <w:rPr>
                <w:rFonts w:cs="Arial"/>
                <w:bCs/>
                <w:color w:val="000000"/>
                <w:szCs w:val="20"/>
                <w:lang w:val="en-US" w:eastAsia="en-AU"/>
              </w:rPr>
              <w:t>P. Nematoda</w:t>
            </w:r>
          </w:p>
        </w:tc>
        <w:tc>
          <w:tcPr>
            <w:tcW w:w="904" w:type="pct"/>
            <w:shd w:val="clear" w:color="auto" w:fill="auto"/>
            <w:noWrap/>
            <w:hideMark/>
          </w:tcPr>
          <w:p w:rsidR="00911153" w:rsidRPr="00CC18AA" w:rsidRDefault="00911153" w:rsidP="00CC18AA">
            <w:pPr>
              <w:spacing w:before="60" w:after="60"/>
              <w:jc w:val="center"/>
              <w:rPr>
                <w:rFonts w:cs="Arial"/>
                <w:b/>
                <w:color w:val="000000"/>
                <w:szCs w:val="20"/>
                <w:lang w:val="en-US" w:eastAsia="en-AU"/>
              </w:rPr>
            </w:pPr>
            <w:r w:rsidRPr="00CC18AA">
              <w:rPr>
                <w:rFonts w:cs="Arial"/>
                <w:b/>
                <w:color w:val="000000"/>
                <w:szCs w:val="20"/>
                <w:lang w:val="en-US" w:eastAsia="en-AU"/>
              </w:rPr>
              <w:t>0.95</w:t>
            </w:r>
          </w:p>
        </w:tc>
        <w:tc>
          <w:tcPr>
            <w:tcW w:w="904" w:type="pct"/>
            <w:shd w:val="clear" w:color="auto" w:fill="auto"/>
            <w:noWrap/>
            <w:hideMark/>
          </w:tcPr>
          <w:p w:rsidR="00911153" w:rsidRPr="00CC18AA" w:rsidRDefault="00911153" w:rsidP="00CC18AA">
            <w:pPr>
              <w:spacing w:before="60" w:after="60"/>
              <w:jc w:val="center"/>
              <w:rPr>
                <w:rFonts w:cs="Arial"/>
                <w:color w:val="000000"/>
                <w:szCs w:val="20"/>
                <w:lang w:val="en-US" w:eastAsia="en-AU"/>
              </w:rPr>
            </w:pPr>
            <w:r w:rsidRPr="00CC18AA">
              <w:rPr>
                <w:rFonts w:cs="Arial"/>
                <w:color w:val="000000"/>
                <w:szCs w:val="20"/>
                <w:lang w:val="en-US" w:eastAsia="en-AU"/>
              </w:rPr>
              <w:t>0.40</w:t>
            </w:r>
          </w:p>
        </w:tc>
        <w:tc>
          <w:tcPr>
            <w:tcW w:w="1021" w:type="pct"/>
            <w:shd w:val="clear" w:color="auto" w:fill="auto"/>
            <w:noWrap/>
            <w:hideMark/>
          </w:tcPr>
          <w:p w:rsidR="00911153" w:rsidRPr="00CC18AA" w:rsidRDefault="00911153" w:rsidP="00CC18AA">
            <w:pPr>
              <w:spacing w:before="60" w:after="60"/>
              <w:jc w:val="center"/>
              <w:rPr>
                <w:rFonts w:cs="Arial"/>
                <w:color w:val="000000"/>
                <w:szCs w:val="20"/>
                <w:lang w:val="en-US" w:eastAsia="en-AU"/>
              </w:rPr>
            </w:pPr>
            <w:r w:rsidRPr="00CC18AA">
              <w:rPr>
                <w:rFonts w:cs="Arial"/>
                <w:color w:val="000000"/>
                <w:szCs w:val="20"/>
                <w:lang w:val="en-US" w:eastAsia="en-AU"/>
              </w:rPr>
              <w:t>5</w:t>
            </w:r>
          </w:p>
        </w:tc>
        <w:tc>
          <w:tcPr>
            <w:tcW w:w="956" w:type="pct"/>
            <w:shd w:val="clear" w:color="auto" w:fill="auto"/>
            <w:noWrap/>
            <w:hideMark/>
          </w:tcPr>
          <w:p w:rsidR="00911153" w:rsidRPr="00CC18AA" w:rsidRDefault="00911153" w:rsidP="00CC18AA">
            <w:pPr>
              <w:spacing w:before="60" w:after="60"/>
              <w:jc w:val="center"/>
              <w:rPr>
                <w:rFonts w:cs="Arial"/>
                <w:color w:val="000000"/>
                <w:szCs w:val="20"/>
                <w:lang w:val="en-US" w:eastAsia="en-AU"/>
              </w:rPr>
            </w:pPr>
            <w:r w:rsidRPr="00CC18AA">
              <w:rPr>
                <w:rFonts w:cs="Arial"/>
                <w:color w:val="000000"/>
                <w:szCs w:val="20"/>
                <w:lang w:val="en-US" w:eastAsia="en-AU"/>
              </w:rPr>
              <w:t>5</w:t>
            </w:r>
          </w:p>
        </w:tc>
      </w:tr>
      <w:tr w:rsidR="00CC18AA" w:rsidRPr="00DA5A29" w:rsidTr="00CC18AA">
        <w:trPr>
          <w:trHeight w:val="300"/>
        </w:trPr>
        <w:tc>
          <w:tcPr>
            <w:tcW w:w="1214" w:type="pct"/>
            <w:shd w:val="clear" w:color="auto" w:fill="auto"/>
            <w:noWrap/>
            <w:hideMark/>
          </w:tcPr>
          <w:p w:rsidR="00911153" w:rsidRPr="00CC18AA" w:rsidRDefault="00911153" w:rsidP="00CC18AA">
            <w:pPr>
              <w:spacing w:before="60" w:after="60"/>
              <w:jc w:val="left"/>
              <w:rPr>
                <w:rFonts w:cs="Arial"/>
                <w:bCs/>
                <w:color w:val="000000"/>
                <w:szCs w:val="20"/>
                <w:lang w:val="en-US" w:eastAsia="en-AU"/>
              </w:rPr>
            </w:pPr>
            <w:r w:rsidRPr="00CC18AA">
              <w:rPr>
                <w:rFonts w:cs="Arial"/>
                <w:bCs/>
                <w:color w:val="000000"/>
                <w:szCs w:val="20"/>
                <w:lang w:val="en-US" w:eastAsia="en-AU"/>
              </w:rPr>
              <w:t>F. Macrothricidae</w:t>
            </w:r>
          </w:p>
        </w:tc>
        <w:tc>
          <w:tcPr>
            <w:tcW w:w="904" w:type="pct"/>
            <w:shd w:val="clear" w:color="auto" w:fill="auto"/>
            <w:noWrap/>
            <w:hideMark/>
          </w:tcPr>
          <w:p w:rsidR="00911153" w:rsidRPr="00CC18AA" w:rsidRDefault="00911153" w:rsidP="00CC18AA">
            <w:pPr>
              <w:spacing w:before="60" w:after="60"/>
              <w:jc w:val="center"/>
              <w:rPr>
                <w:rFonts w:cs="Arial"/>
                <w:b/>
                <w:color w:val="000000"/>
                <w:szCs w:val="20"/>
                <w:lang w:val="en-US" w:eastAsia="en-AU"/>
              </w:rPr>
            </w:pPr>
            <w:r w:rsidRPr="00CC18AA">
              <w:rPr>
                <w:rFonts w:cs="Arial"/>
                <w:b/>
                <w:color w:val="000000"/>
                <w:szCs w:val="20"/>
                <w:lang w:val="en-US" w:eastAsia="en-AU"/>
              </w:rPr>
              <w:t>0.67</w:t>
            </w:r>
          </w:p>
        </w:tc>
        <w:tc>
          <w:tcPr>
            <w:tcW w:w="904" w:type="pct"/>
            <w:shd w:val="clear" w:color="auto" w:fill="auto"/>
            <w:noWrap/>
            <w:hideMark/>
          </w:tcPr>
          <w:p w:rsidR="00911153" w:rsidRPr="00CC18AA" w:rsidRDefault="00911153" w:rsidP="00CC18AA">
            <w:pPr>
              <w:spacing w:before="60" w:after="60"/>
              <w:jc w:val="center"/>
              <w:rPr>
                <w:rFonts w:cs="Arial"/>
                <w:color w:val="000000"/>
                <w:szCs w:val="20"/>
                <w:lang w:val="en-US" w:eastAsia="en-AU"/>
              </w:rPr>
            </w:pPr>
            <w:r w:rsidRPr="00CC18AA">
              <w:rPr>
                <w:rFonts w:cs="Arial"/>
                <w:color w:val="000000"/>
                <w:szCs w:val="20"/>
                <w:lang w:val="en-US" w:eastAsia="en-AU"/>
              </w:rPr>
              <w:t>0.16</w:t>
            </w:r>
          </w:p>
        </w:tc>
        <w:tc>
          <w:tcPr>
            <w:tcW w:w="1021" w:type="pct"/>
            <w:shd w:val="clear" w:color="auto" w:fill="auto"/>
            <w:noWrap/>
            <w:hideMark/>
          </w:tcPr>
          <w:p w:rsidR="00911153" w:rsidRPr="00CC18AA" w:rsidRDefault="00911153" w:rsidP="00CC18AA">
            <w:pPr>
              <w:spacing w:before="60" w:after="60"/>
              <w:jc w:val="center"/>
              <w:rPr>
                <w:rFonts w:cs="Arial"/>
                <w:color w:val="000000"/>
                <w:szCs w:val="20"/>
                <w:lang w:val="en-US" w:eastAsia="en-AU"/>
              </w:rPr>
            </w:pPr>
            <w:r w:rsidRPr="00CC18AA">
              <w:rPr>
                <w:rFonts w:cs="Arial"/>
                <w:color w:val="000000"/>
                <w:szCs w:val="20"/>
                <w:lang w:val="en-US" w:eastAsia="en-AU"/>
              </w:rPr>
              <w:t>5</w:t>
            </w:r>
          </w:p>
        </w:tc>
        <w:tc>
          <w:tcPr>
            <w:tcW w:w="956" w:type="pct"/>
            <w:shd w:val="clear" w:color="auto" w:fill="auto"/>
            <w:noWrap/>
            <w:hideMark/>
          </w:tcPr>
          <w:p w:rsidR="00911153" w:rsidRPr="00CC18AA" w:rsidRDefault="00911153" w:rsidP="00CC18AA">
            <w:pPr>
              <w:spacing w:before="60" w:after="60"/>
              <w:jc w:val="center"/>
              <w:rPr>
                <w:rFonts w:cs="Arial"/>
                <w:color w:val="000000"/>
                <w:szCs w:val="20"/>
                <w:lang w:val="en-US" w:eastAsia="en-AU"/>
              </w:rPr>
            </w:pPr>
            <w:r w:rsidRPr="00CC18AA">
              <w:rPr>
                <w:rFonts w:cs="Arial"/>
                <w:color w:val="000000"/>
                <w:szCs w:val="20"/>
                <w:lang w:val="en-US" w:eastAsia="en-AU"/>
              </w:rPr>
              <w:t>10</w:t>
            </w:r>
          </w:p>
        </w:tc>
      </w:tr>
      <w:tr w:rsidR="00CC18AA" w:rsidRPr="00DA5A29" w:rsidTr="00CC18AA">
        <w:trPr>
          <w:trHeight w:val="300"/>
        </w:trPr>
        <w:tc>
          <w:tcPr>
            <w:tcW w:w="1214" w:type="pct"/>
            <w:shd w:val="clear" w:color="auto" w:fill="auto"/>
            <w:noWrap/>
            <w:hideMark/>
          </w:tcPr>
          <w:p w:rsidR="00911153" w:rsidRPr="00CC18AA" w:rsidRDefault="00911153" w:rsidP="00CC18AA">
            <w:pPr>
              <w:spacing w:before="60" w:after="60"/>
              <w:jc w:val="left"/>
              <w:rPr>
                <w:rFonts w:cs="Arial"/>
                <w:bCs/>
                <w:color w:val="000000"/>
                <w:szCs w:val="20"/>
                <w:lang w:val="en-US" w:eastAsia="en-AU"/>
              </w:rPr>
            </w:pPr>
            <w:r w:rsidRPr="00CC18AA">
              <w:rPr>
                <w:rFonts w:cs="Arial"/>
                <w:bCs/>
                <w:color w:val="000000"/>
                <w:szCs w:val="20"/>
                <w:lang w:val="en-US" w:eastAsia="en-AU"/>
              </w:rPr>
              <w:t>C Oligochaeta</w:t>
            </w:r>
          </w:p>
        </w:tc>
        <w:tc>
          <w:tcPr>
            <w:tcW w:w="904" w:type="pct"/>
            <w:shd w:val="clear" w:color="auto" w:fill="auto"/>
            <w:noWrap/>
            <w:hideMark/>
          </w:tcPr>
          <w:p w:rsidR="00911153" w:rsidRPr="00CC18AA" w:rsidRDefault="00911153" w:rsidP="00CC18AA">
            <w:pPr>
              <w:spacing w:before="60" w:after="60"/>
              <w:jc w:val="center"/>
              <w:rPr>
                <w:rFonts w:cs="Arial"/>
                <w:b/>
                <w:color w:val="000000"/>
                <w:szCs w:val="20"/>
                <w:lang w:val="en-US" w:eastAsia="en-AU"/>
              </w:rPr>
            </w:pPr>
            <w:r w:rsidRPr="00CC18AA">
              <w:rPr>
                <w:rFonts w:cs="Arial"/>
                <w:b/>
                <w:color w:val="000000"/>
                <w:szCs w:val="20"/>
                <w:lang w:val="en-US" w:eastAsia="en-AU"/>
              </w:rPr>
              <w:t>0.67</w:t>
            </w:r>
          </w:p>
        </w:tc>
        <w:tc>
          <w:tcPr>
            <w:tcW w:w="904" w:type="pct"/>
            <w:shd w:val="clear" w:color="auto" w:fill="auto"/>
            <w:noWrap/>
            <w:hideMark/>
          </w:tcPr>
          <w:p w:rsidR="00911153" w:rsidRPr="00CC18AA" w:rsidRDefault="00911153" w:rsidP="00CC18AA">
            <w:pPr>
              <w:spacing w:before="60" w:after="60"/>
              <w:jc w:val="center"/>
              <w:rPr>
                <w:rFonts w:cs="Arial"/>
                <w:color w:val="000000"/>
                <w:szCs w:val="20"/>
                <w:lang w:val="en-US" w:eastAsia="en-AU"/>
              </w:rPr>
            </w:pPr>
            <w:r w:rsidRPr="00CC18AA">
              <w:rPr>
                <w:rFonts w:cs="Arial"/>
                <w:color w:val="000000"/>
                <w:szCs w:val="20"/>
                <w:lang w:val="en-US" w:eastAsia="en-AU"/>
              </w:rPr>
              <w:t>0.19</w:t>
            </w:r>
          </w:p>
        </w:tc>
        <w:tc>
          <w:tcPr>
            <w:tcW w:w="1021" w:type="pct"/>
            <w:shd w:val="clear" w:color="auto" w:fill="auto"/>
            <w:noWrap/>
            <w:hideMark/>
          </w:tcPr>
          <w:p w:rsidR="00911153" w:rsidRPr="00CC18AA" w:rsidRDefault="00911153" w:rsidP="00CC18AA">
            <w:pPr>
              <w:spacing w:before="60" w:after="60"/>
              <w:jc w:val="center"/>
              <w:rPr>
                <w:rFonts w:cs="Arial"/>
                <w:color w:val="000000"/>
                <w:szCs w:val="20"/>
                <w:lang w:val="en-US" w:eastAsia="en-AU"/>
              </w:rPr>
            </w:pPr>
            <w:r w:rsidRPr="00CC18AA">
              <w:rPr>
                <w:rFonts w:cs="Arial"/>
                <w:color w:val="000000"/>
                <w:szCs w:val="20"/>
                <w:lang w:val="en-US" w:eastAsia="en-AU"/>
              </w:rPr>
              <w:t>5</w:t>
            </w:r>
          </w:p>
        </w:tc>
        <w:tc>
          <w:tcPr>
            <w:tcW w:w="956" w:type="pct"/>
            <w:shd w:val="clear" w:color="auto" w:fill="auto"/>
            <w:noWrap/>
            <w:hideMark/>
          </w:tcPr>
          <w:p w:rsidR="00911153" w:rsidRPr="00CC18AA" w:rsidRDefault="00911153" w:rsidP="00CC18AA">
            <w:pPr>
              <w:spacing w:before="60" w:after="60"/>
              <w:jc w:val="center"/>
              <w:rPr>
                <w:rFonts w:cs="Arial"/>
                <w:color w:val="000000"/>
                <w:szCs w:val="20"/>
                <w:lang w:val="en-US" w:eastAsia="en-AU"/>
              </w:rPr>
            </w:pPr>
            <w:r w:rsidRPr="00CC18AA">
              <w:rPr>
                <w:rFonts w:cs="Arial"/>
                <w:color w:val="000000"/>
                <w:szCs w:val="20"/>
                <w:lang w:val="en-US" w:eastAsia="en-AU"/>
              </w:rPr>
              <w:t>14</w:t>
            </w:r>
          </w:p>
        </w:tc>
      </w:tr>
      <w:tr w:rsidR="00CC18AA" w:rsidRPr="00DA5A29" w:rsidTr="00CC18AA">
        <w:trPr>
          <w:trHeight w:val="300"/>
        </w:trPr>
        <w:tc>
          <w:tcPr>
            <w:tcW w:w="1214" w:type="pct"/>
            <w:shd w:val="clear" w:color="auto" w:fill="auto"/>
            <w:noWrap/>
            <w:hideMark/>
          </w:tcPr>
          <w:p w:rsidR="00911153" w:rsidRPr="00CC18AA" w:rsidRDefault="00911153" w:rsidP="00CC18AA">
            <w:pPr>
              <w:spacing w:before="60" w:after="60"/>
              <w:jc w:val="left"/>
              <w:rPr>
                <w:rFonts w:cs="Arial"/>
                <w:bCs/>
                <w:color w:val="000000"/>
                <w:szCs w:val="20"/>
                <w:lang w:val="en-US" w:eastAsia="en-AU"/>
              </w:rPr>
            </w:pPr>
            <w:r w:rsidRPr="00CC18AA">
              <w:rPr>
                <w:rFonts w:cs="Arial"/>
                <w:bCs/>
                <w:color w:val="000000"/>
                <w:szCs w:val="20"/>
                <w:lang w:val="en-US" w:eastAsia="en-AU"/>
              </w:rPr>
              <w:t>F. Chydoridae</w:t>
            </w:r>
          </w:p>
        </w:tc>
        <w:tc>
          <w:tcPr>
            <w:tcW w:w="904" w:type="pct"/>
            <w:shd w:val="clear" w:color="auto" w:fill="auto"/>
            <w:noWrap/>
            <w:hideMark/>
          </w:tcPr>
          <w:p w:rsidR="00911153" w:rsidRPr="00CC18AA" w:rsidRDefault="00911153" w:rsidP="00CC18AA">
            <w:pPr>
              <w:spacing w:before="60" w:after="60"/>
              <w:jc w:val="center"/>
              <w:rPr>
                <w:rFonts w:cs="Arial"/>
                <w:b/>
                <w:color w:val="000000"/>
                <w:szCs w:val="20"/>
                <w:lang w:val="en-US" w:eastAsia="en-AU"/>
              </w:rPr>
            </w:pPr>
            <w:r w:rsidRPr="00CC18AA">
              <w:rPr>
                <w:rFonts w:cs="Arial"/>
                <w:b/>
                <w:color w:val="000000"/>
                <w:szCs w:val="20"/>
                <w:lang w:val="en-US" w:eastAsia="en-AU"/>
              </w:rPr>
              <w:t>0.70</w:t>
            </w:r>
          </w:p>
        </w:tc>
        <w:tc>
          <w:tcPr>
            <w:tcW w:w="904" w:type="pct"/>
            <w:shd w:val="clear" w:color="auto" w:fill="auto"/>
            <w:noWrap/>
            <w:hideMark/>
          </w:tcPr>
          <w:p w:rsidR="00911153" w:rsidRPr="00CC18AA" w:rsidRDefault="00911153" w:rsidP="00CC18AA">
            <w:pPr>
              <w:spacing w:before="60" w:after="60"/>
              <w:jc w:val="center"/>
              <w:rPr>
                <w:rFonts w:cs="Arial"/>
                <w:color w:val="000000"/>
                <w:szCs w:val="20"/>
                <w:lang w:val="en-US" w:eastAsia="en-AU"/>
              </w:rPr>
            </w:pPr>
            <w:r w:rsidRPr="00CC18AA">
              <w:rPr>
                <w:rFonts w:cs="Arial"/>
                <w:color w:val="000000"/>
                <w:szCs w:val="20"/>
                <w:lang w:val="en-US" w:eastAsia="en-AU"/>
              </w:rPr>
              <w:t>0.26</w:t>
            </w:r>
          </w:p>
        </w:tc>
        <w:tc>
          <w:tcPr>
            <w:tcW w:w="1021" w:type="pct"/>
            <w:shd w:val="clear" w:color="auto" w:fill="auto"/>
            <w:noWrap/>
            <w:hideMark/>
          </w:tcPr>
          <w:p w:rsidR="00911153" w:rsidRPr="00CC18AA" w:rsidRDefault="00911153" w:rsidP="00CC18AA">
            <w:pPr>
              <w:spacing w:before="60" w:after="60"/>
              <w:jc w:val="center"/>
              <w:rPr>
                <w:rFonts w:cs="Arial"/>
                <w:color w:val="000000"/>
                <w:szCs w:val="20"/>
                <w:lang w:val="en-US" w:eastAsia="en-AU"/>
              </w:rPr>
            </w:pPr>
            <w:r w:rsidRPr="00CC18AA">
              <w:rPr>
                <w:rFonts w:cs="Arial"/>
                <w:color w:val="000000"/>
                <w:szCs w:val="20"/>
                <w:lang w:val="en-US" w:eastAsia="en-AU"/>
              </w:rPr>
              <w:t>5</w:t>
            </w:r>
          </w:p>
        </w:tc>
        <w:tc>
          <w:tcPr>
            <w:tcW w:w="956" w:type="pct"/>
            <w:shd w:val="clear" w:color="auto" w:fill="auto"/>
            <w:noWrap/>
            <w:hideMark/>
          </w:tcPr>
          <w:p w:rsidR="00911153" w:rsidRPr="00CC18AA" w:rsidRDefault="00911153" w:rsidP="00CC18AA">
            <w:pPr>
              <w:spacing w:before="60" w:after="60"/>
              <w:jc w:val="center"/>
              <w:rPr>
                <w:rFonts w:cs="Arial"/>
                <w:color w:val="000000"/>
                <w:szCs w:val="20"/>
                <w:lang w:val="en-US" w:eastAsia="en-AU"/>
              </w:rPr>
            </w:pPr>
            <w:r w:rsidRPr="00CC18AA">
              <w:rPr>
                <w:rFonts w:cs="Arial"/>
                <w:color w:val="000000"/>
                <w:szCs w:val="20"/>
                <w:lang w:val="en-US" w:eastAsia="en-AU"/>
              </w:rPr>
              <w:t>19</w:t>
            </w:r>
          </w:p>
        </w:tc>
      </w:tr>
      <w:tr w:rsidR="00CC18AA" w:rsidRPr="00DA5A29" w:rsidTr="00CC18AA">
        <w:trPr>
          <w:trHeight w:val="300"/>
        </w:trPr>
        <w:tc>
          <w:tcPr>
            <w:tcW w:w="1214" w:type="pct"/>
            <w:shd w:val="clear" w:color="auto" w:fill="auto"/>
            <w:noWrap/>
            <w:hideMark/>
          </w:tcPr>
          <w:p w:rsidR="00911153" w:rsidRPr="00CC18AA" w:rsidRDefault="00911153" w:rsidP="00CC18AA">
            <w:pPr>
              <w:spacing w:before="60" w:after="60"/>
              <w:jc w:val="left"/>
              <w:rPr>
                <w:rFonts w:cs="Arial"/>
                <w:bCs/>
                <w:color w:val="000000"/>
                <w:szCs w:val="20"/>
                <w:lang w:val="en-US" w:eastAsia="en-AU"/>
              </w:rPr>
            </w:pPr>
            <w:r w:rsidRPr="00CC18AA">
              <w:rPr>
                <w:rFonts w:cs="Arial"/>
                <w:bCs/>
                <w:color w:val="000000"/>
                <w:szCs w:val="20"/>
                <w:lang w:val="en-US" w:eastAsia="en-AU"/>
              </w:rPr>
              <w:t>F.  Synchaetidae</w:t>
            </w:r>
          </w:p>
        </w:tc>
        <w:tc>
          <w:tcPr>
            <w:tcW w:w="904" w:type="pct"/>
            <w:shd w:val="clear" w:color="auto" w:fill="auto"/>
            <w:noWrap/>
            <w:hideMark/>
          </w:tcPr>
          <w:p w:rsidR="00911153" w:rsidRPr="00CC18AA" w:rsidRDefault="00911153" w:rsidP="00CC18AA">
            <w:pPr>
              <w:spacing w:before="60" w:after="60"/>
              <w:jc w:val="center"/>
              <w:rPr>
                <w:rFonts w:cs="Arial"/>
                <w:color w:val="000000"/>
                <w:szCs w:val="20"/>
                <w:lang w:val="en-US" w:eastAsia="en-AU"/>
              </w:rPr>
            </w:pPr>
            <w:r w:rsidRPr="00CC18AA">
              <w:rPr>
                <w:rFonts w:cs="Arial"/>
                <w:color w:val="000000"/>
                <w:szCs w:val="20"/>
                <w:lang w:val="en-US" w:eastAsia="en-AU"/>
              </w:rPr>
              <w:t>0.35</w:t>
            </w:r>
          </w:p>
        </w:tc>
        <w:tc>
          <w:tcPr>
            <w:tcW w:w="904" w:type="pct"/>
            <w:shd w:val="clear" w:color="auto" w:fill="auto"/>
            <w:noWrap/>
            <w:hideMark/>
          </w:tcPr>
          <w:p w:rsidR="00911153" w:rsidRPr="00CC18AA" w:rsidRDefault="00911153" w:rsidP="00CC18AA">
            <w:pPr>
              <w:spacing w:before="60" w:after="60"/>
              <w:jc w:val="center"/>
              <w:rPr>
                <w:rFonts w:cs="Arial"/>
                <w:b/>
                <w:color w:val="000000"/>
                <w:szCs w:val="20"/>
                <w:lang w:val="en-US" w:eastAsia="en-AU"/>
              </w:rPr>
            </w:pPr>
            <w:r w:rsidRPr="00CC18AA">
              <w:rPr>
                <w:rFonts w:cs="Arial"/>
                <w:b/>
                <w:color w:val="000000"/>
                <w:szCs w:val="20"/>
                <w:lang w:val="en-US" w:eastAsia="en-AU"/>
              </w:rPr>
              <w:t>0.70</w:t>
            </w:r>
          </w:p>
        </w:tc>
        <w:tc>
          <w:tcPr>
            <w:tcW w:w="1021" w:type="pct"/>
            <w:shd w:val="clear" w:color="auto" w:fill="auto"/>
            <w:noWrap/>
            <w:hideMark/>
          </w:tcPr>
          <w:p w:rsidR="00911153" w:rsidRPr="00CC18AA" w:rsidRDefault="00911153" w:rsidP="00CC18AA">
            <w:pPr>
              <w:spacing w:before="60" w:after="60"/>
              <w:jc w:val="center"/>
              <w:rPr>
                <w:rFonts w:cs="Arial"/>
                <w:color w:val="000000"/>
                <w:szCs w:val="20"/>
                <w:lang w:val="en-US" w:eastAsia="en-AU"/>
              </w:rPr>
            </w:pPr>
            <w:r w:rsidRPr="00CC18AA">
              <w:rPr>
                <w:rFonts w:cs="Arial"/>
                <w:color w:val="000000"/>
                <w:szCs w:val="20"/>
                <w:lang w:val="en-US" w:eastAsia="en-AU"/>
              </w:rPr>
              <w:t>4</w:t>
            </w:r>
          </w:p>
        </w:tc>
        <w:tc>
          <w:tcPr>
            <w:tcW w:w="956" w:type="pct"/>
            <w:shd w:val="clear" w:color="auto" w:fill="auto"/>
            <w:noWrap/>
            <w:hideMark/>
          </w:tcPr>
          <w:p w:rsidR="00911153" w:rsidRPr="00CC18AA" w:rsidRDefault="00911153" w:rsidP="00CC18AA">
            <w:pPr>
              <w:spacing w:before="60" w:after="60"/>
              <w:jc w:val="center"/>
              <w:rPr>
                <w:rFonts w:cs="Arial"/>
                <w:color w:val="000000"/>
                <w:szCs w:val="20"/>
                <w:lang w:val="en-US" w:eastAsia="en-AU"/>
              </w:rPr>
            </w:pPr>
            <w:r w:rsidRPr="00CC18AA">
              <w:rPr>
                <w:rFonts w:cs="Arial"/>
                <w:color w:val="000000"/>
                <w:szCs w:val="20"/>
                <w:lang w:val="en-US" w:eastAsia="en-AU"/>
              </w:rPr>
              <w:t>23</w:t>
            </w:r>
          </w:p>
        </w:tc>
      </w:tr>
      <w:tr w:rsidR="00CC18AA" w:rsidRPr="00DA5A29" w:rsidTr="00CC18AA">
        <w:trPr>
          <w:trHeight w:val="300"/>
        </w:trPr>
        <w:tc>
          <w:tcPr>
            <w:tcW w:w="1214" w:type="pct"/>
            <w:shd w:val="clear" w:color="auto" w:fill="auto"/>
            <w:noWrap/>
            <w:hideMark/>
          </w:tcPr>
          <w:p w:rsidR="00911153" w:rsidRPr="00CC18AA" w:rsidRDefault="00911153" w:rsidP="00CC18AA">
            <w:pPr>
              <w:spacing w:before="60" w:after="60"/>
              <w:jc w:val="left"/>
              <w:rPr>
                <w:rFonts w:cs="Arial"/>
                <w:bCs/>
                <w:color w:val="000000"/>
                <w:szCs w:val="20"/>
                <w:lang w:val="en-US" w:eastAsia="en-AU"/>
              </w:rPr>
            </w:pPr>
            <w:r w:rsidRPr="00CC18AA">
              <w:rPr>
                <w:rFonts w:cs="Arial"/>
                <w:bCs/>
                <w:color w:val="000000"/>
                <w:szCs w:val="20"/>
                <w:lang w:val="en-US" w:eastAsia="en-AU"/>
              </w:rPr>
              <w:t>F.  Filiniidae</w:t>
            </w:r>
          </w:p>
        </w:tc>
        <w:tc>
          <w:tcPr>
            <w:tcW w:w="904" w:type="pct"/>
            <w:shd w:val="clear" w:color="auto" w:fill="auto"/>
            <w:noWrap/>
            <w:hideMark/>
          </w:tcPr>
          <w:p w:rsidR="00911153" w:rsidRPr="00CC18AA" w:rsidRDefault="00911153" w:rsidP="00CC18AA">
            <w:pPr>
              <w:spacing w:before="60" w:after="60"/>
              <w:jc w:val="center"/>
              <w:rPr>
                <w:rFonts w:cs="Arial"/>
                <w:color w:val="000000"/>
                <w:szCs w:val="20"/>
                <w:lang w:val="en-US" w:eastAsia="en-AU"/>
              </w:rPr>
            </w:pPr>
            <w:r w:rsidRPr="00CC18AA">
              <w:rPr>
                <w:rFonts w:cs="Arial"/>
                <w:color w:val="000000"/>
                <w:szCs w:val="20"/>
                <w:lang w:val="en-US" w:eastAsia="en-AU"/>
              </w:rPr>
              <w:t>0.42</w:t>
            </w:r>
          </w:p>
        </w:tc>
        <w:tc>
          <w:tcPr>
            <w:tcW w:w="904" w:type="pct"/>
            <w:shd w:val="clear" w:color="auto" w:fill="auto"/>
            <w:noWrap/>
            <w:hideMark/>
          </w:tcPr>
          <w:p w:rsidR="00911153" w:rsidRPr="00CC18AA" w:rsidRDefault="00911153" w:rsidP="00CC18AA">
            <w:pPr>
              <w:spacing w:before="60" w:after="60"/>
              <w:jc w:val="center"/>
              <w:rPr>
                <w:rFonts w:cs="Arial"/>
                <w:b/>
                <w:color w:val="000000"/>
                <w:szCs w:val="20"/>
                <w:lang w:val="en-US" w:eastAsia="en-AU"/>
              </w:rPr>
            </w:pPr>
            <w:r w:rsidRPr="00CC18AA">
              <w:rPr>
                <w:rFonts w:cs="Arial"/>
                <w:b/>
                <w:color w:val="000000"/>
                <w:szCs w:val="20"/>
                <w:lang w:val="en-US" w:eastAsia="en-AU"/>
              </w:rPr>
              <w:t>0.70</w:t>
            </w:r>
          </w:p>
        </w:tc>
        <w:tc>
          <w:tcPr>
            <w:tcW w:w="1021" w:type="pct"/>
            <w:shd w:val="clear" w:color="auto" w:fill="auto"/>
            <w:noWrap/>
            <w:hideMark/>
          </w:tcPr>
          <w:p w:rsidR="00911153" w:rsidRPr="00CC18AA" w:rsidRDefault="00911153" w:rsidP="00CC18AA">
            <w:pPr>
              <w:spacing w:before="60" w:after="60"/>
              <w:jc w:val="center"/>
              <w:rPr>
                <w:rFonts w:cs="Arial"/>
                <w:color w:val="000000"/>
                <w:szCs w:val="20"/>
                <w:lang w:val="en-US" w:eastAsia="en-AU"/>
              </w:rPr>
            </w:pPr>
            <w:r w:rsidRPr="00CC18AA">
              <w:rPr>
                <w:rFonts w:cs="Arial"/>
                <w:color w:val="000000"/>
                <w:szCs w:val="20"/>
                <w:lang w:val="en-US" w:eastAsia="en-AU"/>
              </w:rPr>
              <w:t>4</w:t>
            </w:r>
          </w:p>
        </w:tc>
        <w:tc>
          <w:tcPr>
            <w:tcW w:w="956" w:type="pct"/>
            <w:shd w:val="clear" w:color="auto" w:fill="auto"/>
            <w:noWrap/>
            <w:hideMark/>
          </w:tcPr>
          <w:p w:rsidR="00911153" w:rsidRPr="00CC18AA" w:rsidRDefault="00911153" w:rsidP="00CC18AA">
            <w:pPr>
              <w:spacing w:before="60" w:after="60"/>
              <w:jc w:val="center"/>
              <w:rPr>
                <w:rFonts w:cs="Arial"/>
                <w:color w:val="000000"/>
                <w:szCs w:val="20"/>
                <w:lang w:val="en-US" w:eastAsia="en-AU"/>
              </w:rPr>
            </w:pPr>
            <w:r w:rsidRPr="00CC18AA">
              <w:rPr>
                <w:rFonts w:cs="Arial"/>
                <w:color w:val="000000"/>
                <w:szCs w:val="20"/>
                <w:lang w:val="en-US" w:eastAsia="en-AU"/>
              </w:rPr>
              <w:t>27</w:t>
            </w:r>
          </w:p>
        </w:tc>
      </w:tr>
      <w:tr w:rsidR="00CC18AA" w:rsidRPr="00DA5A29" w:rsidTr="00CC18AA">
        <w:trPr>
          <w:trHeight w:val="315"/>
        </w:trPr>
        <w:tc>
          <w:tcPr>
            <w:tcW w:w="1214" w:type="pct"/>
            <w:shd w:val="clear" w:color="auto" w:fill="auto"/>
            <w:noWrap/>
            <w:hideMark/>
          </w:tcPr>
          <w:p w:rsidR="00911153" w:rsidRPr="00CC18AA" w:rsidRDefault="00911153" w:rsidP="00CC18AA">
            <w:pPr>
              <w:spacing w:before="60" w:after="60"/>
              <w:jc w:val="left"/>
              <w:rPr>
                <w:rFonts w:cs="Arial"/>
                <w:bCs/>
                <w:color w:val="000000"/>
                <w:szCs w:val="20"/>
                <w:lang w:val="en-US" w:eastAsia="en-AU"/>
              </w:rPr>
            </w:pPr>
            <w:r w:rsidRPr="00CC18AA">
              <w:rPr>
                <w:rFonts w:cs="Arial"/>
                <w:bCs/>
                <w:color w:val="000000"/>
                <w:szCs w:val="20"/>
                <w:lang w:val="en-US" w:eastAsia="en-AU"/>
              </w:rPr>
              <w:t>F.  Asplanchnidae</w:t>
            </w:r>
          </w:p>
        </w:tc>
        <w:tc>
          <w:tcPr>
            <w:tcW w:w="904" w:type="pct"/>
            <w:shd w:val="clear" w:color="auto" w:fill="auto"/>
            <w:noWrap/>
            <w:hideMark/>
          </w:tcPr>
          <w:p w:rsidR="00911153" w:rsidRPr="00CC18AA" w:rsidRDefault="00911153" w:rsidP="00CC18AA">
            <w:pPr>
              <w:spacing w:before="60" w:after="60"/>
              <w:jc w:val="center"/>
              <w:rPr>
                <w:rFonts w:cs="Arial"/>
                <w:color w:val="000000"/>
                <w:szCs w:val="20"/>
                <w:lang w:val="en-US" w:eastAsia="en-AU"/>
              </w:rPr>
            </w:pPr>
            <w:r w:rsidRPr="00CC18AA">
              <w:rPr>
                <w:rFonts w:cs="Arial"/>
                <w:color w:val="000000"/>
                <w:szCs w:val="20"/>
                <w:lang w:val="en-US" w:eastAsia="en-AU"/>
              </w:rPr>
              <w:t>0.51</w:t>
            </w:r>
          </w:p>
        </w:tc>
        <w:tc>
          <w:tcPr>
            <w:tcW w:w="904" w:type="pct"/>
            <w:shd w:val="clear" w:color="auto" w:fill="auto"/>
            <w:noWrap/>
            <w:hideMark/>
          </w:tcPr>
          <w:p w:rsidR="00911153" w:rsidRPr="00CC18AA" w:rsidRDefault="00911153" w:rsidP="00CC18AA">
            <w:pPr>
              <w:spacing w:before="60" w:after="60"/>
              <w:jc w:val="center"/>
              <w:rPr>
                <w:rFonts w:cs="Arial"/>
                <w:b/>
                <w:color w:val="000000"/>
                <w:szCs w:val="20"/>
                <w:lang w:val="en-US" w:eastAsia="en-AU"/>
              </w:rPr>
            </w:pPr>
            <w:r w:rsidRPr="00CC18AA">
              <w:rPr>
                <w:rFonts w:cs="Arial"/>
                <w:b/>
                <w:color w:val="000000"/>
                <w:szCs w:val="20"/>
                <w:lang w:val="en-US" w:eastAsia="en-AU"/>
              </w:rPr>
              <w:t>0.74</w:t>
            </w:r>
          </w:p>
        </w:tc>
        <w:tc>
          <w:tcPr>
            <w:tcW w:w="1021" w:type="pct"/>
            <w:shd w:val="clear" w:color="auto" w:fill="auto"/>
            <w:noWrap/>
            <w:hideMark/>
          </w:tcPr>
          <w:p w:rsidR="00911153" w:rsidRPr="00CC18AA" w:rsidRDefault="00911153" w:rsidP="00CC18AA">
            <w:pPr>
              <w:spacing w:before="60" w:after="60"/>
              <w:jc w:val="center"/>
              <w:rPr>
                <w:rFonts w:cs="Arial"/>
                <w:color w:val="000000"/>
                <w:szCs w:val="20"/>
                <w:lang w:val="en-US" w:eastAsia="en-AU"/>
              </w:rPr>
            </w:pPr>
            <w:r w:rsidRPr="00CC18AA">
              <w:rPr>
                <w:rFonts w:cs="Arial"/>
                <w:color w:val="000000"/>
                <w:szCs w:val="20"/>
                <w:lang w:val="en-US" w:eastAsia="en-AU"/>
              </w:rPr>
              <w:t>4</w:t>
            </w:r>
          </w:p>
        </w:tc>
        <w:tc>
          <w:tcPr>
            <w:tcW w:w="956" w:type="pct"/>
            <w:shd w:val="clear" w:color="auto" w:fill="auto"/>
            <w:noWrap/>
            <w:hideMark/>
          </w:tcPr>
          <w:p w:rsidR="00911153" w:rsidRPr="00CC18AA" w:rsidRDefault="00911153" w:rsidP="00CC18AA">
            <w:pPr>
              <w:spacing w:before="60" w:after="60"/>
              <w:jc w:val="center"/>
              <w:rPr>
                <w:rFonts w:cs="Arial"/>
                <w:color w:val="000000"/>
                <w:szCs w:val="20"/>
                <w:lang w:val="en-US" w:eastAsia="en-AU"/>
              </w:rPr>
            </w:pPr>
            <w:r w:rsidRPr="00CC18AA">
              <w:rPr>
                <w:rFonts w:cs="Arial"/>
                <w:color w:val="000000"/>
                <w:szCs w:val="20"/>
                <w:lang w:val="en-US" w:eastAsia="en-AU"/>
              </w:rPr>
              <w:t>32</w:t>
            </w:r>
          </w:p>
        </w:tc>
      </w:tr>
    </w:tbl>
    <w:p w:rsidR="00911153" w:rsidRDefault="00911153" w:rsidP="00765D9C">
      <w:pPr>
        <w:rPr>
          <w:b/>
          <w:i/>
        </w:rPr>
      </w:pPr>
    </w:p>
    <w:p w:rsidR="00DB4624" w:rsidRPr="00765D9C" w:rsidRDefault="00DB4624" w:rsidP="00765D9C">
      <w:pPr>
        <w:rPr>
          <w:b/>
          <w:i/>
        </w:rPr>
      </w:pPr>
      <w:r w:rsidRPr="00765D9C">
        <w:rPr>
          <w:b/>
          <w:i/>
        </w:rPr>
        <w:t>Wetland</w:t>
      </w:r>
    </w:p>
    <w:p w:rsidR="00CE6789" w:rsidRDefault="00D2088F" w:rsidP="00D2088F">
      <w:r>
        <w:t xml:space="preserve">In the Gingham </w:t>
      </w:r>
      <w:r w:rsidR="001C3C04">
        <w:t>watercourse</w:t>
      </w:r>
      <w:r>
        <w:t xml:space="preserve"> there was no significant difference in microinvertebrate community composition between </w:t>
      </w:r>
      <w:r w:rsidR="00CE6789">
        <w:t>time</w:t>
      </w:r>
      <w:r>
        <w:t xml:space="preserve"> and </w:t>
      </w:r>
      <w:r w:rsidR="00CE6789">
        <w:t>veghab</w:t>
      </w:r>
      <w:r>
        <w:t xml:space="preserve"> (Open Water and Water Couch) for both benthic and pelagic habitats (</w:t>
      </w:r>
      <w:r w:rsidR="00CE6789">
        <w:fldChar w:fldCharType="begin"/>
      </w:r>
      <w:r w:rsidR="00CE6789">
        <w:instrText xml:space="preserve"> REF _Ref458888437 \h </w:instrText>
      </w:r>
      <w:r w:rsidR="00CE6789">
        <w:fldChar w:fldCharType="separate"/>
      </w:r>
      <w:r w:rsidR="005D5925">
        <w:t xml:space="preserve">Table </w:t>
      </w:r>
      <w:r w:rsidR="005D5925">
        <w:rPr>
          <w:noProof/>
        </w:rPr>
        <w:t>D</w:t>
      </w:r>
      <w:r w:rsidR="005D5925">
        <w:noBreakHyphen/>
      </w:r>
      <w:r w:rsidR="005D5925">
        <w:rPr>
          <w:noProof/>
        </w:rPr>
        <w:t>5</w:t>
      </w:r>
      <w:r w:rsidR="00CE6789">
        <w:fldChar w:fldCharType="end"/>
      </w:r>
      <w:r>
        <w:t xml:space="preserve">). </w:t>
      </w:r>
      <w:r w:rsidR="008E049F">
        <w:t xml:space="preserve"> </w:t>
      </w:r>
      <w:r>
        <w:t xml:space="preserve">The </w:t>
      </w:r>
      <w:r w:rsidR="008E049F">
        <w:t>n</w:t>
      </w:r>
      <w:r>
        <w:t>MDS ordination with stress value of 0.01 based on abundance dataset showed temporal and spatial shift in community compositions (</w:t>
      </w:r>
      <w:r w:rsidR="007F49F9">
        <w:fldChar w:fldCharType="begin"/>
      </w:r>
      <w:r w:rsidR="007F49F9">
        <w:instrText xml:space="preserve"> REF _Ref459888404 \h </w:instrText>
      </w:r>
      <w:r w:rsidR="007F49F9">
        <w:fldChar w:fldCharType="separate"/>
      </w:r>
      <w:r w:rsidR="005D5925">
        <w:t xml:space="preserve">Figure </w:t>
      </w:r>
      <w:r w:rsidR="005D5925">
        <w:rPr>
          <w:noProof/>
        </w:rPr>
        <w:t>D</w:t>
      </w:r>
      <w:r w:rsidR="005D5925">
        <w:noBreakHyphen/>
      </w:r>
      <w:r w:rsidR="005D5925">
        <w:rPr>
          <w:noProof/>
        </w:rPr>
        <w:t>15</w:t>
      </w:r>
      <w:r w:rsidR="007F49F9">
        <w:fldChar w:fldCharType="end"/>
      </w:r>
      <w:r>
        <w:t>).</w:t>
      </w:r>
    </w:p>
    <w:p w:rsidR="00D2088F" w:rsidRDefault="00D2088F" w:rsidP="00D2088F">
      <w:pPr>
        <w:pStyle w:val="Caption"/>
        <w:keepNext/>
      </w:pPr>
      <w:bookmarkStart w:id="58" w:name="_Ref458888437"/>
      <w:r>
        <w:t xml:space="preserve">Table </w:t>
      </w:r>
      <w:fldSimple w:instr=" STYLEREF 6 \s ">
        <w:r w:rsidR="005D5925">
          <w:rPr>
            <w:noProof/>
          </w:rPr>
          <w:t>D</w:t>
        </w:r>
      </w:fldSimple>
      <w:r w:rsidR="005D4453">
        <w:noBreakHyphen/>
      </w:r>
      <w:fldSimple w:instr=" SEQ Table \* ARABIC \s 6 ">
        <w:r w:rsidR="005D5925">
          <w:rPr>
            <w:noProof/>
          </w:rPr>
          <w:t>5</w:t>
        </w:r>
      </w:fldSimple>
      <w:bookmarkEnd w:id="58"/>
      <w:r>
        <w:t xml:space="preserve"> </w:t>
      </w:r>
      <w:r w:rsidRPr="00CA4C45">
        <w:t>PERMANOVA results for wetland microinvertebrate in each habitat and dataset.</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0"/>
        <w:gridCol w:w="1255"/>
        <w:gridCol w:w="780"/>
        <w:gridCol w:w="1255"/>
        <w:gridCol w:w="780"/>
        <w:gridCol w:w="1255"/>
        <w:gridCol w:w="780"/>
        <w:gridCol w:w="1255"/>
        <w:gridCol w:w="780"/>
      </w:tblGrid>
      <w:tr w:rsidR="00CC18AA" w:rsidRPr="00DA5A29" w:rsidTr="00CC18AA">
        <w:trPr>
          <w:trHeight w:val="300"/>
        </w:trPr>
        <w:tc>
          <w:tcPr>
            <w:tcW w:w="576" w:type="pct"/>
            <w:vMerge w:val="restart"/>
            <w:shd w:val="clear" w:color="auto" w:fill="D9D9D9"/>
            <w:noWrap/>
            <w:vAlign w:val="center"/>
            <w:hideMark/>
          </w:tcPr>
          <w:p w:rsidR="00DA5A29" w:rsidRPr="00CC18AA" w:rsidRDefault="00DA5A29" w:rsidP="00CC18AA">
            <w:pPr>
              <w:spacing w:before="60" w:after="60"/>
              <w:jc w:val="center"/>
              <w:rPr>
                <w:rFonts w:cs="Arial"/>
                <w:bCs/>
                <w:color w:val="000000"/>
                <w:szCs w:val="20"/>
                <w:lang w:val="en-US" w:eastAsia="en-AU"/>
              </w:rPr>
            </w:pPr>
            <w:r w:rsidRPr="00CC18AA">
              <w:rPr>
                <w:rFonts w:cs="Arial"/>
                <w:bCs/>
                <w:color w:val="000000"/>
                <w:szCs w:val="20"/>
                <w:lang w:val="en-US" w:eastAsia="en-AU"/>
              </w:rPr>
              <w:t>Term</w:t>
            </w:r>
          </w:p>
        </w:tc>
        <w:tc>
          <w:tcPr>
            <w:tcW w:w="2212" w:type="pct"/>
            <w:gridSpan w:val="4"/>
            <w:shd w:val="clear" w:color="auto" w:fill="D9D9D9"/>
            <w:noWrap/>
            <w:hideMark/>
          </w:tcPr>
          <w:p w:rsidR="00DA5A29" w:rsidRPr="00CC18AA" w:rsidRDefault="00DA5A29" w:rsidP="00CC18AA">
            <w:pPr>
              <w:spacing w:before="60" w:after="60"/>
              <w:jc w:val="center"/>
              <w:rPr>
                <w:rFonts w:cs="Arial"/>
                <w:bCs/>
                <w:color w:val="000000"/>
                <w:szCs w:val="20"/>
                <w:lang w:val="en-US" w:eastAsia="en-AU"/>
              </w:rPr>
            </w:pPr>
            <w:r w:rsidRPr="00CC18AA">
              <w:rPr>
                <w:rFonts w:cs="Arial"/>
                <w:bCs/>
                <w:color w:val="000000"/>
                <w:szCs w:val="20"/>
                <w:lang w:val="en-US" w:eastAsia="en-AU"/>
              </w:rPr>
              <w:t>Wetland - benthic</w:t>
            </w:r>
          </w:p>
        </w:tc>
        <w:tc>
          <w:tcPr>
            <w:tcW w:w="2212" w:type="pct"/>
            <w:gridSpan w:val="4"/>
            <w:shd w:val="clear" w:color="auto" w:fill="D9D9D9"/>
            <w:noWrap/>
            <w:hideMark/>
          </w:tcPr>
          <w:p w:rsidR="00DA5A29" w:rsidRPr="00CC18AA" w:rsidRDefault="00DA5A29" w:rsidP="00CC18AA">
            <w:pPr>
              <w:spacing w:before="60" w:after="60"/>
              <w:jc w:val="center"/>
              <w:rPr>
                <w:rFonts w:cs="Arial"/>
                <w:bCs/>
                <w:color w:val="000000"/>
                <w:szCs w:val="20"/>
                <w:lang w:val="en-US" w:eastAsia="en-AU"/>
              </w:rPr>
            </w:pPr>
            <w:r w:rsidRPr="00CC18AA">
              <w:rPr>
                <w:rFonts w:cs="Arial"/>
                <w:bCs/>
                <w:color w:val="000000"/>
                <w:szCs w:val="20"/>
                <w:lang w:val="en-US" w:eastAsia="en-AU"/>
              </w:rPr>
              <w:t>Wetland - pelagic</w:t>
            </w:r>
          </w:p>
        </w:tc>
      </w:tr>
      <w:tr w:rsidR="00CC18AA" w:rsidRPr="00DA5A29" w:rsidTr="00CC18AA">
        <w:trPr>
          <w:trHeight w:val="300"/>
        </w:trPr>
        <w:tc>
          <w:tcPr>
            <w:tcW w:w="576" w:type="pct"/>
            <w:vMerge/>
            <w:shd w:val="clear" w:color="auto" w:fill="D9D9D9"/>
            <w:noWrap/>
            <w:hideMark/>
          </w:tcPr>
          <w:p w:rsidR="00DA5A29" w:rsidRPr="00CC18AA" w:rsidRDefault="00DA5A29" w:rsidP="00CC18AA">
            <w:pPr>
              <w:spacing w:before="60" w:after="60"/>
              <w:jc w:val="center"/>
              <w:rPr>
                <w:rFonts w:cs="Arial"/>
                <w:bCs/>
                <w:color w:val="000000"/>
                <w:szCs w:val="20"/>
                <w:lang w:val="en-US" w:eastAsia="en-AU"/>
              </w:rPr>
            </w:pPr>
          </w:p>
        </w:tc>
        <w:tc>
          <w:tcPr>
            <w:tcW w:w="1106" w:type="pct"/>
            <w:gridSpan w:val="2"/>
            <w:shd w:val="clear" w:color="auto" w:fill="D9D9D9"/>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presence-absence</w:t>
            </w:r>
          </w:p>
        </w:tc>
        <w:tc>
          <w:tcPr>
            <w:tcW w:w="1106" w:type="pct"/>
            <w:gridSpan w:val="2"/>
            <w:shd w:val="clear" w:color="auto" w:fill="D9D9D9"/>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abundance</w:t>
            </w:r>
          </w:p>
        </w:tc>
        <w:tc>
          <w:tcPr>
            <w:tcW w:w="1106" w:type="pct"/>
            <w:gridSpan w:val="2"/>
            <w:shd w:val="clear" w:color="auto" w:fill="D9D9D9"/>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presence-absence</w:t>
            </w:r>
          </w:p>
        </w:tc>
        <w:tc>
          <w:tcPr>
            <w:tcW w:w="1106" w:type="pct"/>
            <w:gridSpan w:val="2"/>
            <w:shd w:val="clear" w:color="auto" w:fill="D9D9D9"/>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abundance</w:t>
            </w:r>
          </w:p>
        </w:tc>
      </w:tr>
      <w:tr w:rsidR="00CC18AA" w:rsidRPr="00DA5A29" w:rsidTr="00CC18AA">
        <w:trPr>
          <w:trHeight w:val="300"/>
        </w:trPr>
        <w:tc>
          <w:tcPr>
            <w:tcW w:w="576" w:type="pct"/>
            <w:vMerge/>
            <w:shd w:val="clear" w:color="auto" w:fill="D9D9D9"/>
            <w:noWrap/>
            <w:hideMark/>
          </w:tcPr>
          <w:p w:rsidR="00DA5A29" w:rsidRPr="00CC18AA" w:rsidRDefault="00DA5A29" w:rsidP="00CC18AA">
            <w:pPr>
              <w:spacing w:before="60" w:after="60"/>
              <w:jc w:val="center"/>
              <w:rPr>
                <w:rFonts w:cs="Arial"/>
                <w:bCs/>
                <w:color w:val="000000"/>
                <w:szCs w:val="20"/>
                <w:lang w:val="en-US" w:eastAsia="en-AU"/>
              </w:rPr>
            </w:pPr>
          </w:p>
        </w:tc>
        <w:tc>
          <w:tcPr>
            <w:tcW w:w="682" w:type="pct"/>
            <w:shd w:val="clear" w:color="auto" w:fill="D9D9D9"/>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Pseudo-F</w:t>
            </w:r>
          </w:p>
        </w:tc>
        <w:tc>
          <w:tcPr>
            <w:tcW w:w="424" w:type="pct"/>
            <w:shd w:val="clear" w:color="auto" w:fill="D9D9D9"/>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P</w:t>
            </w:r>
          </w:p>
        </w:tc>
        <w:tc>
          <w:tcPr>
            <w:tcW w:w="682" w:type="pct"/>
            <w:shd w:val="clear" w:color="auto" w:fill="D9D9D9"/>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Pseudo-F</w:t>
            </w:r>
          </w:p>
        </w:tc>
        <w:tc>
          <w:tcPr>
            <w:tcW w:w="424" w:type="pct"/>
            <w:shd w:val="clear" w:color="auto" w:fill="D9D9D9"/>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P</w:t>
            </w:r>
          </w:p>
        </w:tc>
        <w:tc>
          <w:tcPr>
            <w:tcW w:w="682" w:type="pct"/>
            <w:shd w:val="clear" w:color="auto" w:fill="D9D9D9"/>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Pseudo-F</w:t>
            </w:r>
          </w:p>
        </w:tc>
        <w:tc>
          <w:tcPr>
            <w:tcW w:w="424" w:type="pct"/>
            <w:shd w:val="clear" w:color="auto" w:fill="D9D9D9"/>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P</w:t>
            </w:r>
          </w:p>
        </w:tc>
        <w:tc>
          <w:tcPr>
            <w:tcW w:w="682" w:type="pct"/>
            <w:shd w:val="clear" w:color="auto" w:fill="D9D9D9"/>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Pseudo-F</w:t>
            </w:r>
          </w:p>
        </w:tc>
        <w:tc>
          <w:tcPr>
            <w:tcW w:w="424" w:type="pct"/>
            <w:shd w:val="clear" w:color="auto" w:fill="D9D9D9"/>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P</w:t>
            </w:r>
          </w:p>
        </w:tc>
      </w:tr>
      <w:tr w:rsidR="00CC18AA" w:rsidRPr="00DA5A29" w:rsidTr="00CC18AA">
        <w:trPr>
          <w:trHeight w:val="300"/>
        </w:trPr>
        <w:tc>
          <w:tcPr>
            <w:tcW w:w="576" w:type="pct"/>
            <w:shd w:val="clear" w:color="auto" w:fill="auto"/>
            <w:noWrap/>
            <w:hideMark/>
          </w:tcPr>
          <w:p w:rsidR="00DA5A29" w:rsidRPr="00CC18AA" w:rsidRDefault="00DA5A29" w:rsidP="00CC18AA">
            <w:pPr>
              <w:spacing w:before="60" w:after="60"/>
              <w:jc w:val="center"/>
              <w:rPr>
                <w:rFonts w:cs="Arial"/>
                <w:bCs/>
                <w:color w:val="000000"/>
                <w:szCs w:val="20"/>
                <w:lang w:val="en-US" w:eastAsia="en-AU"/>
              </w:rPr>
            </w:pPr>
            <w:r w:rsidRPr="00CC18AA">
              <w:rPr>
                <w:rFonts w:cs="Arial"/>
                <w:bCs/>
                <w:color w:val="000000"/>
                <w:szCs w:val="20"/>
                <w:lang w:val="en-US" w:eastAsia="en-AU"/>
              </w:rPr>
              <w:t>Time</w:t>
            </w:r>
          </w:p>
        </w:tc>
        <w:tc>
          <w:tcPr>
            <w:tcW w:w="682" w:type="pct"/>
            <w:shd w:val="clear" w:color="auto" w:fill="auto"/>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2.653</w:t>
            </w:r>
          </w:p>
        </w:tc>
        <w:tc>
          <w:tcPr>
            <w:tcW w:w="424" w:type="pct"/>
            <w:shd w:val="clear" w:color="auto" w:fill="auto"/>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0.144</w:t>
            </w:r>
          </w:p>
        </w:tc>
        <w:tc>
          <w:tcPr>
            <w:tcW w:w="682" w:type="pct"/>
            <w:shd w:val="clear" w:color="auto" w:fill="auto"/>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1.551</w:t>
            </w:r>
          </w:p>
        </w:tc>
        <w:tc>
          <w:tcPr>
            <w:tcW w:w="424" w:type="pct"/>
            <w:shd w:val="clear" w:color="auto" w:fill="auto"/>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0.282</w:t>
            </w:r>
          </w:p>
        </w:tc>
        <w:tc>
          <w:tcPr>
            <w:tcW w:w="682" w:type="pct"/>
            <w:shd w:val="clear" w:color="auto" w:fill="auto"/>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2.769</w:t>
            </w:r>
          </w:p>
        </w:tc>
        <w:tc>
          <w:tcPr>
            <w:tcW w:w="424" w:type="pct"/>
            <w:shd w:val="clear" w:color="auto" w:fill="auto"/>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0.074</w:t>
            </w:r>
          </w:p>
        </w:tc>
        <w:tc>
          <w:tcPr>
            <w:tcW w:w="682" w:type="pct"/>
            <w:shd w:val="clear" w:color="auto" w:fill="auto"/>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3.944</w:t>
            </w:r>
          </w:p>
        </w:tc>
        <w:tc>
          <w:tcPr>
            <w:tcW w:w="424" w:type="pct"/>
            <w:shd w:val="clear" w:color="auto" w:fill="auto"/>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0.051</w:t>
            </w:r>
          </w:p>
        </w:tc>
      </w:tr>
      <w:tr w:rsidR="00CC18AA" w:rsidRPr="00DA5A29" w:rsidTr="00CC18AA">
        <w:trPr>
          <w:trHeight w:val="300"/>
        </w:trPr>
        <w:tc>
          <w:tcPr>
            <w:tcW w:w="576" w:type="pct"/>
            <w:shd w:val="clear" w:color="auto" w:fill="auto"/>
            <w:noWrap/>
            <w:hideMark/>
          </w:tcPr>
          <w:p w:rsidR="00DA5A29" w:rsidRPr="00CC18AA" w:rsidRDefault="00DA5A29" w:rsidP="00CC18AA">
            <w:pPr>
              <w:spacing w:before="60" w:after="60"/>
              <w:jc w:val="center"/>
              <w:rPr>
                <w:rFonts w:cs="Arial"/>
                <w:bCs/>
                <w:color w:val="000000"/>
                <w:szCs w:val="20"/>
                <w:lang w:val="en-US" w:eastAsia="en-AU"/>
              </w:rPr>
            </w:pPr>
            <w:r w:rsidRPr="00CC18AA">
              <w:rPr>
                <w:rFonts w:cs="Arial"/>
                <w:bCs/>
                <w:color w:val="000000"/>
                <w:szCs w:val="20"/>
                <w:lang w:val="en-US" w:eastAsia="en-AU"/>
              </w:rPr>
              <w:t>Veghab</w:t>
            </w:r>
          </w:p>
        </w:tc>
        <w:tc>
          <w:tcPr>
            <w:tcW w:w="682" w:type="pct"/>
            <w:shd w:val="clear" w:color="auto" w:fill="auto"/>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0.589</w:t>
            </w:r>
          </w:p>
        </w:tc>
        <w:tc>
          <w:tcPr>
            <w:tcW w:w="424" w:type="pct"/>
            <w:shd w:val="clear" w:color="auto" w:fill="auto"/>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0.631</w:t>
            </w:r>
          </w:p>
        </w:tc>
        <w:tc>
          <w:tcPr>
            <w:tcW w:w="682" w:type="pct"/>
            <w:shd w:val="clear" w:color="auto" w:fill="auto"/>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0.805</w:t>
            </w:r>
          </w:p>
        </w:tc>
        <w:tc>
          <w:tcPr>
            <w:tcW w:w="424" w:type="pct"/>
            <w:shd w:val="clear" w:color="auto" w:fill="auto"/>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0.619</w:t>
            </w:r>
          </w:p>
        </w:tc>
        <w:tc>
          <w:tcPr>
            <w:tcW w:w="682" w:type="pct"/>
            <w:shd w:val="clear" w:color="auto" w:fill="auto"/>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2.091</w:t>
            </w:r>
          </w:p>
        </w:tc>
        <w:tc>
          <w:tcPr>
            <w:tcW w:w="424" w:type="pct"/>
            <w:shd w:val="clear" w:color="auto" w:fill="auto"/>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0.212</w:t>
            </w:r>
          </w:p>
        </w:tc>
        <w:tc>
          <w:tcPr>
            <w:tcW w:w="682" w:type="pct"/>
            <w:shd w:val="clear" w:color="auto" w:fill="auto"/>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1.229</w:t>
            </w:r>
          </w:p>
        </w:tc>
        <w:tc>
          <w:tcPr>
            <w:tcW w:w="424" w:type="pct"/>
            <w:shd w:val="clear" w:color="auto" w:fill="auto"/>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0.420</w:t>
            </w:r>
          </w:p>
        </w:tc>
      </w:tr>
    </w:tbl>
    <w:p w:rsidR="007C2E04" w:rsidRDefault="007C2E04" w:rsidP="00DB4624"/>
    <w:p w:rsidR="00BD0A55" w:rsidRDefault="004176FF" w:rsidP="00BD0A55">
      <w:pPr>
        <w:keepNext/>
        <w:spacing w:line="240" w:lineRule="auto"/>
      </w:pPr>
      <w:r w:rsidRPr="008F5E11">
        <w:rPr>
          <w:noProof/>
          <w:lang w:eastAsia="en-AU"/>
        </w:rPr>
        <w:drawing>
          <wp:inline distT="0" distB="0" distL="0" distR="0">
            <wp:extent cx="5819775" cy="2047875"/>
            <wp:effectExtent l="0" t="0" r="9525" b="9525"/>
            <wp:docPr id="51" name="Picture 290" descr="C:\Users\wtsoi\Dropbox\Ecohealth\CEWO\01.Gwydir\Gwydir Reports\2015-16\Micro_Micro\Gwydir_micro_Wetland_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Users\wtsoi\Dropbox\Ecohealth\CEWO\01.Gwydir\Gwydir Reports\2015-16\Micro_Micro\Gwydir_micro_Wetland_all.png"/>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5819775" cy="2047875"/>
                    </a:xfrm>
                    <a:prstGeom prst="rect">
                      <a:avLst/>
                    </a:prstGeom>
                    <a:noFill/>
                    <a:ln>
                      <a:noFill/>
                    </a:ln>
                  </pic:spPr>
                </pic:pic>
              </a:graphicData>
            </a:graphic>
          </wp:inline>
        </w:drawing>
      </w:r>
    </w:p>
    <w:p w:rsidR="00DB4624" w:rsidRPr="005F23F1" w:rsidRDefault="00BD0A55" w:rsidP="005F23F1">
      <w:pPr>
        <w:pStyle w:val="Caption"/>
        <w:rPr>
          <w:i/>
        </w:rPr>
      </w:pPr>
      <w:bookmarkStart w:id="59" w:name="_Ref459888404"/>
      <w:r>
        <w:t xml:space="preserve">Figure </w:t>
      </w:r>
      <w:fldSimple w:instr=" STYLEREF 6 \s ">
        <w:r w:rsidR="00673DAF">
          <w:rPr>
            <w:noProof/>
          </w:rPr>
          <w:t>D</w:t>
        </w:r>
      </w:fldSimple>
      <w:r w:rsidR="00673DAF">
        <w:noBreakHyphen/>
      </w:r>
      <w:fldSimple w:instr=" SEQ Figure \* ARABIC \s 6 ">
        <w:r w:rsidR="00673DAF">
          <w:rPr>
            <w:noProof/>
          </w:rPr>
          <w:t>15</w:t>
        </w:r>
      </w:fldSimple>
      <w:bookmarkEnd w:id="59"/>
      <w:r>
        <w:t xml:space="preserve"> n</w:t>
      </w:r>
      <w:r w:rsidRPr="00325844">
        <w:t>MDS ordination of (a) Wetland - benthic and (b) Wetland - pelagic microinvertebrate community composition using abundance dataset. Arrows represent community compositions trajectory along sampling occasions in number. Numbers are sampling occasions: 1=</w:t>
      </w:r>
      <w:r>
        <w:t>T1, 2=T2, 3=T3 and 4=T4</w:t>
      </w:r>
      <w:r w:rsidR="006606A6">
        <w:br w:type="page"/>
      </w:r>
      <w:r w:rsidR="00DB4624" w:rsidRPr="005F23F1">
        <w:rPr>
          <w:i/>
        </w:rPr>
        <w:t xml:space="preserve">River </w:t>
      </w:r>
    </w:p>
    <w:p w:rsidR="007C2E04" w:rsidRDefault="00DB4624" w:rsidP="002E6DCF">
      <w:r>
        <w:t xml:space="preserve">For the benthic habitat, PERMANOVA analyses revealed significant differences in </w:t>
      </w:r>
      <w:r w:rsidR="007C2E04">
        <w:t>time</w:t>
      </w:r>
      <w:r>
        <w:t xml:space="preserve"> based on both presence-absence and abundance datasets (</w:t>
      </w:r>
      <w:r w:rsidR="007C2E04">
        <w:fldChar w:fldCharType="begin"/>
      </w:r>
      <w:r w:rsidR="007C2E04">
        <w:instrText xml:space="preserve"> REF _Ref459624194 \h </w:instrText>
      </w:r>
      <w:r w:rsidR="007C2E04">
        <w:fldChar w:fldCharType="separate"/>
      </w:r>
      <w:r w:rsidR="005D5925">
        <w:t xml:space="preserve">Table </w:t>
      </w:r>
      <w:r w:rsidR="005D5925">
        <w:rPr>
          <w:noProof/>
        </w:rPr>
        <w:t>D</w:t>
      </w:r>
      <w:r w:rsidR="005D5925">
        <w:noBreakHyphen/>
      </w:r>
      <w:r w:rsidR="005D5925">
        <w:rPr>
          <w:noProof/>
        </w:rPr>
        <w:t>6</w:t>
      </w:r>
      <w:r w:rsidR="007C2E04">
        <w:fldChar w:fldCharType="end"/>
      </w:r>
      <w:r>
        <w:t xml:space="preserve">). </w:t>
      </w:r>
      <w:r w:rsidR="008E049F">
        <w:t xml:space="preserve"> </w:t>
      </w:r>
      <w:r>
        <w:t xml:space="preserve">Community composition was significantly different between T1 and all other sampling occasions across all </w:t>
      </w:r>
      <w:r w:rsidR="007C2E04">
        <w:t>zone</w:t>
      </w:r>
      <w:r>
        <w:t xml:space="preserve"> in pairwise te</w:t>
      </w:r>
      <w:r w:rsidRPr="00A3797E">
        <w:t xml:space="preserve">sts (p&lt;0.01). </w:t>
      </w:r>
      <w:r w:rsidR="008E049F">
        <w:t xml:space="preserve"> </w:t>
      </w:r>
      <w:r w:rsidRPr="00A3797E">
        <w:t xml:space="preserve">There was also </w:t>
      </w:r>
      <w:r>
        <w:t xml:space="preserve">a </w:t>
      </w:r>
      <w:r w:rsidRPr="00A3797E">
        <w:t>significant spatial pattern in</w:t>
      </w:r>
      <w:r>
        <w:t xml:space="preserve"> the</w:t>
      </w:r>
      <w:r w:rsidRPr="00A3797E">
        <w:t xml:space="preserve"> presence-absence dataset (</w:t>
      </w:r>
      <w:r w:rsidR="007C2E04">
        <w:fldChar w:fldCharType="begin"/>
      </w:r>
      <w:r w:rsidR="007C2E04">
        <w:instrText xml:space="preserve"> REF _Ref459624194 \h </w:instrText>
      </w:r>
      <w:r w:rsidR="007C2E04">
        <w:fldChar w:fldCharType="separate"/>
      </w:r>
      <w:r w:rsidR="005D5925">
        <w:t xml:space="preserve">Table </w:t>
      </w:r>
      <w:r w:rsidR="005D5925">
        <w:rPr>
          <w:noProof/>
        </w:rPr>
        <w:t>D</w:t>
      </w:r>
      <w:r w:rsidR="005D5925">
        <w:noBreakHyphen/>
      </w:r>
      <w:r w:rsidR="005D5925">
        <w:rPr>
          <w:noProof/>
        </w:rPr>
        <w:t>6</w:t>
      </w:r>
      <w:r w:rsidR="007C2E04">
        <w:fldChar w:fldCharType="end"/>
      </w:r>
      <w:r w:rsidRPr="00A3797E">
        <w:t xml:space="preserve">) with </w:t>
      </w:r>
      <w:r w:rsidR="006C0AD3">
        <w:t xml:space="preserve">the </w:t>
      </w:r>
      <w:r w:rsidRPr="00A3797E">
        <w:t xml:space="preserve">Gwydir </w:t>
      </w:r>
      <w:r w:rsidR="006C0AD3">
        <w:t xml:space="preserve">River </w:t>
      </w:r>
      <w:r w:rsidR="007C2E04">
        <w:t>that</w:t>
      </w:r>
      <w:r>
        <w:t xml:space="preserve"> received environmental water </w:t>
      </w:r>
      <w:r w:rsidRPr="00A3797E">
        <w:t xml:space="preserve">significantly different from Mehi River and Moomin Creek </w:t>
      </w:r>
      <w:r w:rsidR="007F49F9">
        <w:br/>
      </w:r>
      <w:r w:rsidRPr="00A3797E">
        <w:t>(</w:t>
      </w:r>
      <w:r w:rsidR="007F49F9">
        <w:fldChar w:fldCharType="begin"/>
      </w:r>
      <w:r w:rsidR="007F49F9">
        <w:instrText xml:space="preserve"> REF _Ref459888425 \h </w:instrText>
      </w:r>
      <w:r w:rsidR="007F49F9">
        <w:fldChar w:fldCharType="separate"/>
      </w:r>
      <w:r w:rsidR="005D5925">
        <w:t xml:space="preserve">Figure </w:t>
      </w:r>
      <w:r w:rsidR="005D5925">
        <w:rPr>
          <w:noProof/>
        </w:rPr>
        <w:t>D</w:t>
      </w:r>
      <w:r w:rsidR="005D5925">
        <w:noBreakHyphen/>
      </w:r>
      <w:r w:rsidR="005D5925">
        <w:rPr>
          <w:noProof/>
        </w:rPr>
        <w:t>16</w:t>
      </w:r>
      <w:r w:rsidR="007F49F9">
        <w:fldChar w:fldCharType="end"/>
      </w:r>
      <w:r w:rsidRPr="00B917B5">
        <w:t>).</w:t>
      </w:r>
      <w:r w:rsidRPr="001216A8">
        <w:t xml:space="preserve"> </w:t>
      </w:r>
      <w:r w:rsidR="008E049F">
        <w:t xml:space="preserve"> </w:t>
      </w:r>
      <w:r w:rsidRPr="00B917B5">
        <w:t xml:space="preserve">The community difference between </w:t>
      </w:r>
      <w:r>
        <w:t>T1 and all other sampling occasions</w:t>
      </w:r>
      <w:r w:rsidRPr="00B917B5">
        <w:t xml:space="preserve"> was driven </w:t>
      </w:r>
      <w:r>
        <w:t xml:space="preserve">by the higher average abundances </w:t>
      </w:r>
      <w:r w:rsidRPr="00B917B5">
        <w:t xml:space="preserve">of </w:t>
      </w:r>
      <w:r>
        <w:t xml:space="preserve">Class Ostracoda, Phylum Tardigrada at T1 and higher average abundance of the rotifer Order Bdelloida and Cladoceran nauplii at other sampling occasions </w:t>
      </w:r>
      <w:r w:rsidRPr="00B917B5">
        <w:t>(</w:t>
      </w:r>
      <w:r w:rsidR="006C0AD3">
        <w:fldChar w:fldCharType="begin"/>
      </w:r>
      <w:r w:rsidR="006C0AD3">
        <w:instrText xml:space="preserve"> REF _Ref458888437 \h </w:instrText>
      </w:r>
      <w:r w:rsidR="006C0AD3">
        <w:fldChar w:fldCharType="separate"/>
      </w:r>
      <w:r w:rsidR="005D5925">
        <w:t xml:space="preserve">Table </w:t>
      </w:r>
      <w:r w:rsidR="005D5925">
        <w:rPr>
          <w:noProof/>
        </w:rPr>
        <w:t>D</w:t>
      </w:r>
      <w:r w:rsidR="005D5925">
        <w:noBreakHyphen/>
      </w:r>
      <w:r w:rsidR="005D5925">
        <w:rPr>
          <w:noProof/>
        </w:rPr>
        <w:t>5</w:t>
      </w:r>
      <w:r w:rsidR="006C0AD3">
        <w:fldChar w:fldCharType="end"/>
      </w:r>
      <w:r w:rsidRPr="00B917B5">
        <w:t>).</w:t>
      </w:r>
      <w:r>
        <w:t xml:space="preserve"> </w:t>
      </w:r>
      <w:r w:rsidR="008E049F">
        <w:t xml:space="preserve"> </w:t>
      </w:r>
      <w:r>
        <w:t>The average abundance of these four</w:t>
      </w:r>
      <w:r w:rsidRPr="00B917B5">
        <w:t xml:space="preserve"> taxa contribut</w:t>
      </w:r>
      <w:r>
        <w:t>e</w:t>
      </w:r>
      <w:r w:rsidR="007C2E04">
        <w:t>d</w:t>
      </w:r>
      <w:r w:rsidRPr="00B917B5">
        <w:t xml:space="preserve"> 3</w:t>
      </w:r>
      <w:r>
        <w:t>1</w:t>
      </w:r>
      <w:r w:rsidRPr="00B917B5">
        <w:t xml:space="preserve">% </w:t>
      </w:r>
      <w:r>
        <w:t xml:space="preserve">to </w:t>
      </w:r>
      <w:r w:rsidRPr="00B917B5">
        <w:t>cumulative d</w:t>
      </w:r>
      <w:r>
        <w:t xml:space="preserve">issimilarity between these </w:t>
      </w:r>
      <w:r w:rsidRPr="00B917B5">
        <w:t>s</w:t>
      </w:r>
      <w:r>
        <w:t>ampling occasions</w:t>
      </w:r>
      <w:r w:rsidRPr="00B917B5">
        <w:t>.</w:t>
      </w:r>
      <w:r w:rsidRPr="004000BF">
        <w:t xml:space="preserve"> </w:t>
      </w:r>
    </w:p>
    <w:p w:rsidR="007C2E04" w:rsidRDefault="007C2E04" w:rsidP="007C2E04">
      <w:pPr>
        <w:pStyle w:val="Caption"/>
        <w:keepNext/>
      </w:pPr>
      <w:bookmarkStart w:id="60" w:name="_Ref459624194"/>
      <w:r>
        <w:t xml:space="preserve">Table </w:t>
      </w:r>
      <w:fldSimple w:instr=" STYLEREF 6 \s ">
        <w:r w:rsidR="005D5925">
          <w:rPr>
            <w:noProof/>
          </w:rPr>
          <w:t>D</w:t>
        </w:r>
      </w:fldSimple>
      <w:r w:rsidR="005D4453">
        <w:noBreakHyphen/>
      </w:r>
      <w:fldSimple w:instr=" SEQ Table \* ARABIC \s 6 ">
        <w:r w:rsidR="005D5925">
          <w:rPr>
            <w:noProof/>
          </w:rPr>
          <w:t>6</w:t>
        </w:r>
      </w:fldSimple>
      <w:bookmarkEnd w:id="60"/>
      <w:r>
        <w:t xml:space="preserve"> </w:t>
      </w:r>
      <w:r w:rsidRPr="008338AE">
        <w:t>PERMANOVA results (* when P&lt;0.05) for river microinvertebrate in each habitat and dataset.</w:t>
      </w:r>
    </w:p>
    <w:tbl>
      <w:tblPr>
        <w:tblW w:w="9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460"/>
        <w:gridCol w:w="1097"/>
        <w:gridCol w:w="828"/>
        <w:gridCol w:w="1097"/>
        <w:gridCol w:w="828"/>
        <w:gridCol w:w="1097"/>
        <w:gridCol w:w="828"/>
        <w:gridCol w:w="1097"/>
        <w:gridCol w:w="828"/>
      </w:tblGrid>
      <w:tr w:rsidR="00CC18AA" w:rsidRPr="00DA5A29" w:rsidTr="00CC18AA">
        <w:trPr>
          <w:trHeight w:val="300"/>
        </w:trPr>
        <w:tc>
          <w:tcPr>
            <w:tcW w:w="1460" w:type="dxa"/>
            <w:vMerge w:val="restart"/>
            <w:shd w:val="clear" w:color="auto" w:fill="D9D9D9"/>
            <w:noWrap/>
            <w:vAlign w:val="center"/>
            <w:hideMark/>
          </w:tcPr>
          <w:p w:rsidR="00DA5A29" w:rsidRPr="00CC18AA" w:rsidRDefault="00DA5A29" w:rsidP="00CC18AA">
            <w:pPr>
              <w:spacing w:before="60" w:after="60"/>
              <w:jc w:val="center"/>
              <w:rPr>
                <w:rFonts w:cs="Arial"/>
                <w:bCs/>
                <w:color w:val="000000"/>
                <w:szCs w:val="20"/>
                <w:lang w:val="en-US" w:eastAsia="en-AU"/>
              </w:rPr>
            </w:pPr>
            <w:r w:rsidRPr="00CC18AA">
              <w:rPr>
                <w:rFonts w:cs="Arial"/>
                <w:bCs/>
                <w:color w:val="000000"/>
                <w:szCs w:val="20"/>
                <w:lang w:val="en-US" w:eastAsia="en-AU"/>
              </w:rPr>
              <w:t>Term</w:t>
            </w:r>
          </w:p>
        </w:tc>
        <w:tc>
          <w:tcPr>
            <w:tcW w:w="3850" w:type="dxa"/>
            <w:gridSpan w:val="4"/>
            <w:shd w:val="clear" w:color="auto" w:fill="D9D9D9"/>
            <w:noWrap/>
            <w:hideMark/>
          </w:tcPr>
          <w:p w:rsidR="00DA5A29" w:rsidRPr="00CC18AA" w:rsidRDefault="00DA5A29" w:rsidP="00CC18AA">
            <w:pPr>
              <w:spacing w:before="60" w:after="60"/>
              <w:jc w:val="center"/>
              <w:rPr>
                <w:rFonts w:cs="Arial"/>
                <w:bCs/>
                <w:color w:val="000000"/>
                <w:szCs w:val="20"/>
                <w:lang w:val="en-US" w:eastAsia="en-AU"/>
              </w:rPr>
            </w:pPr>
            <w:r w:rsidRPr="00CC18AA">
              <w:rPr>
                <w:rFonts w:cs="Arial"/>
                <w:bCs/>
                <w:color w:val="000000"/>
                <w:szCs w:val="20"/>
                <w:lang w:val="en-US" w:eastAsia="en-AU"/>
              </w:rPr>
              <w:t>River - benthic</w:t>
            </w:r>
          </w:p>
        </w:tc>
        <w:tc>
          <w:tcPr>
            <w:tcW w:w="3850" w:type="dxa"/>
            <w:gridSpan w:val="4"/>
            <w:shd w:val="clear" w:color="auto" w:fill="D9D9D9"/>
            <w:noWrap/>
            <w:hideMark/>
          </w:tcPr>
          <w:p w:rsidR="00DA5A29" w:rsidRPr="00CC18AA" w:rsidRDefault="00DA5A29" w:rsidP="00CC18AA">
            <w:pPr>
              <w:spacing w:before="60" w:after="60"/>
              <w:jc w:val="center"/>
              <w:rPr>
                <w:rFonts w:cs="Arial"/>
                <w:bCs/>
                <w:color w:val="000000"/>
                <w:szCs w:val="20"/>
                <w:lang w:val="en-US" w:eastAsia="en-AU"/>
              </w:rPr>
            </w:pPr>
            <w:r w:rsidRPr="00CC18AA">
              <w:rPr>
                <w:rFonts w:cs="Arial"/>
                <w:bCs/>
                <w:color w:val="000000"/>
                <w:szCs w:val="20"/>
                <w:lang w:val="en-US" w:eastAsia="en-AU"/>
              </w:rPr>
              <w:t>River - pelagic</w:t>
            </w:r>
          </w:p>
        </w:tc>
      </w:tr>
      <w:tr w:rsidR="00CC18AA" w:rsidRPr="00DA5A29" w:rsidTr="00CC18AA">
        <w:trPr>
          <w:trHeight w:val="300"/>
        </w:trPr>
        <w:tc>
          <w:tcPr>
            <w:tcW w:w="1460" w:type="dxa"/>
            <w:vMerge/>
            <w:shd w:val="clear" w:color="auto" w:fill="D9D9D9"/>
            <w:noWrap/>
            <w:hideMark/>
          </w:tcPr>
          <w:p w:rsidR="00DA5A29" w:rsidRPr="00CC18AA" w:rsidRDefault="00DA5A29" w:rsidP="00CC18AA">
            <w:pPr>
              <w:spacing w:before="60" w:after="60"/>
              <w:jc w:val="center"/>
              <w:rPr>
                <w:rFonts w:cs="Arial"/>
                <w:bCs/>
                <w:color w:val="000000"/>
                <w:szCs w:val="20"/>
                <w:lang w:val="en-US" w:eastAsia="en-AU"/>
              </w:rPr>
            </w:pPr>
          </w:p>
        </w:tc>
        <w:tc>
          <w:tcPr>
            <w:tcW w:w="1925" w:type="dxa"/>
            <w:gridSpan w:val="2"/>
            <w:shd w:val="clear" w:color="auto" w:fill="D9D9D9"/>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presence-absence</w:t>
            </w:r>
          </w:p>
        </w:tc>
        <w:tc>
          <w:tcPr>
            <w:tcW w:w="1925" w:type="dxa"/>
            <w:gridSpan w:val="2"/>
            <w:shd w:val="clear" w:color="auto" w:fill="D9D9D9"/>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abundance</w:t>
            </w:r>
          </w:p>
        </w:tc>
        <w:tc>
          <w:tcPr>
            <w:tcW w:w="1925" w:type="dxa"/>
            <w:gridSpan w:val="2"/>
            <w:shd w:val="clear" w:color="auto" w:fill="D9D9D9"/>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presence-absence</w:t>
            </w:r>
          </w:p>
        </w:tc>
        <w:tc>
          <w:tcPr>
            <w:tcW w:w="1925" w:type="dxa"/>
            <w:gridSpan w:val="2"/>
            <w:shd w:val="clear" w:color="auto" w:fill="D9D9D9"/>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abundance</w:t>
            </w:r>
          </w:p>
        </w:tc>
      </w:tr>
      <w:tr w:rsidR="00CC18AA" w:rsidRPr="00DA5A29" w:rsidTr="00CC18AA">
        <w:trPr>
          <w:trHeight w:val="300"/>
        </w:trPr>
        <w:tc>
          <w:tcPr>
            <w:tcW w:w="1460" w:type="dxa"/>
            <w:vMerge/>
            <w:shd w:val="clear" w:color="auto" w:fill="D9D9D9"/>
            <w:noWrap/>
            <w:hideMark/>
          </w:tcPr>
          <w:p w:rsidR="00DA5A29" w:rsidRPr="00CC18AA" w:rsidRDefault="00DA5A29" w:rsidP="00CC18AA">
            <w:pPr>
              <w:spacing w:before="60" w:after="60"/>
              <w:jc w:val="center"/>
              <w:rPr>
                <w:rFonts w:cs="Arial"/>
                <w:bCs/>
                <w:color w:val="000000"/>
                <w:szCs w:val="20"/>
                <w:lang w:val="en-US" w:eastAsia="en-AU"/>
              </w:rPr>
            </w:pPr>
          </w:p>
        </w:tc>
        <w:tc>
          <w:tcPr>
            <w:tcW w:w="1097" w:type="dxa"/>
            <w:shd w:val="clear" w:color="auto" w:fill="D9D9D9"/>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Pseudo-F</w:t>
            </w:r>
          </w:p>
        </w:tc>
        <w:tc>
          <w:tcPr>
            <w:tcW w:w="828" w:type="dxa"/>
            <w:shd w:val="clear" w:color="auto" w:fill="D9D9D9"/>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P</w:t>
            </w:r>
          </w:p>
        </w:tc>
        <w:tc>
          <w:tcPr>
            <w:tcW w:w="1097" w:type="dxa"/>
            <w:shd w:val="clear" w:color="auto" w:fill="D9D9D9"/>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Pseudo-F</w:t>
            </w:r>
          </w:p>
        </w:tc>
        <w:tc>
          <w:tcPr>
            <w:tcW w:w="828" w:type="dxa"/>
            <w:shd w:val="clear" w:color="auto" w:fill="D9D9D9"/>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P</w:t>
            </w:r>
          </w:p>
        </w:tc>
        <w:tc>
          <w:tcPr>
            <w:tcW w:w="1097" w:type="dxa"/>
            <w:shd w:val="clear" w:color="auto" w:fill="D9D9D9"/>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Pseudo-F</w:t>
            </w:r>
          </w:p>
        </w:tc>
        <w:tc>
          <w:tcPr>
            <w:tcW w:w="828" w:type="dxa"/>
            <w:shd w:val="clear" w:color="auto" w:fill="D9D9D9"/>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P</w:t>
            </w:r>
          </w:p>
        </w:tc>
        <w:tc>
          <w:tcPr>
            <w:tcW w:w="1097" w:type="dxa"/>
            <w:shd w:val="clear" w:color="auto" w:fill="D9D9D9"/>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Pseudo-F</w:t>
            </w:r>
          </w:p>
        </w:tc>
        <w:tc>
          <w:tcPr>
            <w:tcW w:w="828" w:type="dxa"/>
            <w:shd w:val="clear" w:color="auto" w:fill="D9D9D9"/>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P</w:t>
            </w:r>
          </w:p>
        </w:tc>
      </w:tr>
      <w:tr w:rsidR="00CC18AA" w:rsidRPr="00DA5A29" w:rsidTr="00CC18AA">
        <w:trPr>
          <w:trHeight w:val="300"/>
        </w:trPr>
        <w:tc>
          <w:tcPr>
            <w:tcW w:w="1460" w:type="dxa"/>
            <w:shd w:val="clear" w:color="auto" w:fill="auto"/>
            <w:noWrap/>
            <w:hideMark/>
          </w:tcPr>
          <w:p w:rsidR="00DA5A29" w:rsidRPr="00CC18AA" w:rsidRDefault="00DA5A29" w:rsidP="00CC18AA">
            <w:pPr>
              <w:spacing w:before="60" w:after="60"/>
              <w:jc w:val="center"/>
              <w:rPr>
                <w:rFonts w:cs="Arial"/>
                <w:bCs/>
                <w:color w:val="000000"/>
                <w:szCs w:val="20"/>
                <w:lang w:val="en-US" w:eastAsia="en-AU"/>
              </w:rPr>
            </w:pPr>
            <w:r w:rsidRPr="00CC18AA">
              <w:rPr>
                <w:rFonts w:cs="Arial"/>
                <w:bCs/>
                <w:color w:val="000000"/>
                <w:szCs w:val="20"/>
                <w:lang w:val="en-US" w:eastAsia="en-AU"/>
              </w:rPr>
              <w:t>Time x Zone</w:t>
            </w:r>
          </w:p>
        </w:tc>
        <w:tc>
          <w:tcPr>
            <w:tcW w:w="1097" w:type="dxa"/>
            <w:shd w:val="clear" w:color="auto" w:fill="auto"/>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1.1903</w:t>
            </w:r>
          </w:p>
        </w:tc>
        <w:tc>
          <w:tcPr>
            <w:tcW w:w="828" w:type="dxa"/>
            <w:shd w:val="clear" w:color="auto" w:fill="auto"/>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0.232</w:t>
            </w:r>
          </w:p>
        </w:tc>
        <w:tc>
          <w:tcPr>
            <w:tcW w:w="1097" w:type="dxa"/>
            <w:shd w:val="clear" w:color="auto" w:fill="auto"/>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1.2177</w:t>
            </w:r>
          </w:p>
        </w:tc>
        <w:tc>
          <w:tcPr>
            <w:tcW w:w="828" w:type="dxa"/>
            <w:shd w:val="clear" w:color="auto" w:fill="auto"/>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0.147</w:t>
            </w:r>
          </w:p>
        </w:tc>
        <w:tc>
          <w:tcPr>
            <w:tcW w:w="1097" w:type="dxa"/>
            <w:shd w:val="clear" w:color="auto" w:fill="auto"/>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2.1414</w:t>
            </w:r>
          </w:p>
        </w:tc>
        <w:tc>
          <w:tcPr>
            <w:tcW w:w="828" w:type="dxa"/>
            <w:shd w:val="clear" w:color="auto" w:fill="auto"/>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0.001*</w:t>
            </w:r>
          </w:p>
        </w:tc>
        <w:tc>
          <w:tcPr>
            <w:tcW w:w="1097" w:type="dxa"/>
            <w:shd w:val="clear" w:color="auto" w:fill="auto"/>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2.156</w:t>
            </w:r>
          </w:p>
        </w:tc>
        <w:tc>
          <w:tcPr>
            <w:tcW w:w="828" w:type="dxa"/>
            <w:shd w:val="clear" w:color="auto" w:fill="auto"/>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0.001*</w:t>
            </w:r>
          </w:p>
        </w:tc>
      </w:tr>
      <w:tr w:rsidR="00CC18AA" w:rsidRPr="00DA5A29" w:rsidTr="00CC18AA">
        <w:trPr>
          <w:trHeight w:val="300"/>
        </w:trPr>
        <w:tc>
          <w:tcPr>
            <w:tcW w:w="1460" w:type="dxa"/>
            <w:shd w:val="clear" w:color="auto" w:fill="auto"/>
            <w:noWrap/>
            <w:hideMark/>
          </w:tcPr>
          <w:p w:rsidR="00DA5A29" w:rsidRPr="00CC18AA" w:rsidRDefault="00DA5A29" w:rsidP="00CC18AA">
            <w:pPr>
              <w:spacing w:before="60" w:after="60"/>
              <w:jc w:val="center"/>
              <w:rPr>
                <w:rFonts w:cs="Arial"/>
                <w:bCs/>
                <w:color w:val="000000"/>
                <w:szCs w:val="20"/>
                <w:lang w:val="en-US" w:eastAsia="en-AU"/>
              </w:rPr>
            </w:pPr>
            <w:r w:rsidRPr="00CC18AA">
              <w:rPr>
                <w:rFonts w:cs="Arial"/>
                <w:bCs/>
                <w:color w:val="000000"/>
                <w:szCs w:val="20"/>
                <w:lang w:val="en-US" w:eastAsia="en-AU"/>
              </w:rPr>
              <w:t>Time</w:t>
            </w:r>
          </w:p>
        </w:tc>
        <w:tc>
          <w:tcPr>
            <w:tcW w:w="1097" w:type="dxa"/>
            <w:shd w:val="clear" w:color="auto" w:fill="auto"/>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1.7686</w:t>
            </w:r>
          </w:p>
        </w:tc>
        <w:tc>
          <w:tcPr>
            <w:tcW w:w="828" w:type="dxa"/>
            <w:shd w:val="clear" w:color="auto" w:fill="auto"/>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0.040*</w:t>
            </w:r>
          </w:p>
        </w:tc>
        <w:tc>
          <w:tcPr>
            <w:tcW w:w="1097" w:type="dxa"/>
            <w:shd w:val="clear" w:color="auto" w:fill="auto"/>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2.8299</w:t>
            </w:r>
          </w:p>
        </w:tc>
        <w:tc>
          <w:tcPr>
            <w:tcW w:w="828" w:type="dxa"/>
            <w:shd w:val="clear" w:color="auto" w:fill="auto"/>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0.001*</w:t>
            </w:r>
          </w:p>
        </w:tc>
        <w:tc>
          <w:tcPr>
            <w:tcW w:w="1097" w:type="dxa"/>
            <w:shd w:val="clear" w:color="auto" w:fill="auto"/>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1.8439</w:t>
            </w:r>
          </w:p>
        </w:tc>
        <w:tc>
          <w:tcPr>
            <w:tcW w:w="828" w:type="dxa"/>
            <w:shd w:val="clear" w:color="auto" w:fill="auto"/>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0.030*</w:t>
            </w:r>
          </w:p>
        </w:tc>
        <w:tc>
          <w:tcPr>
            <w:tcW w:w="1097" w:type="dxa"/>
            <w:shd w:val="clear" w:color="auto" w:fill="auto"/>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4.6139</w:t>
            </w:r>
          </w:p>
        </w:tc>
        <w:tc>
          <w:tcPr>
            <w:tcW w:w="828" w:type="dxa"/>
            <w:shd w:val="clear" w:color="auto" w:fill="auto"/>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0.001*</w:t>
            </w:r>
          </w:p>
        </w:tc>
      </w:tr>
      <w:tr w:rsidR="00CC18AA" w:rsidRPr="00DA5A29" w:rsidTr="00CC18AA">
        <w:trPr>
          <w:trHeight w:val="300"/>
        </w:trPr>
        <w:tc>
          <w:tcPr>
            <w:tcW w:w="1460" w:type="dxa"/>
            <w:shd w:val="clear" w:color="auto" w:fill="auto"/>
            <w:noWrap/>
            <w:hideMark/>
          </w:tcPr>
          <w:p w:rsidR="00DA5A29" w:rsidRPr="00CC18AA" w:rsidRDefault="00DA5A29" w:rsidP="00CC18AA">
            <w:pPr>
              <w:spacing w:before="60" w:after="60"/>
              <w:jc w:val="center"/>
              <w:rPr>
                <w:rFonts w:cs="Arial"/>
                <w:bCs/>
                <w:color w:val="000000"/>
                <w:szCs w:val="20"/>
                <w:lang w:val="en-US" w:eastAsia="en-AU"/>
              </w:rPr>
            </w:pPr>
            <w:r w:rsidRPr="00CC18AA">
              <w:rPr>
                <w:rFonts w:cs="Arial"/>
                <w:bCs/>
                <w:color w:val="000000"/>
                <w:szCs w:val="20"/>
                <w:lang w:val="en-US" w:eastAsia="en-AU"/>
              </w:rPr>
              <w:t>Zone</w:t>
            </w:r>
          </w:p>
        </w:tc>
        <w:tc>
          <w:tcPr>
            <w:tcW w:w="1097" w:type="dxa"/>
            <w:shd w:val="clear" w:color="auto" w:fill="auto"/>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1.9798</w:t>
            </w:r>
          </w:p>
        </w:tc>
        <w:tc>
          <w:tcPr>
            <w:tcW w:w="828" w:type="dxa"/>
            <w:shd w:val="clear" w:color="auto" w:fill="auto"/>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0.031*</w:t>
            </w:r>
          </w:p>
        </w:tc>
        <w:tc>
          <w:tcPr>
            <w:tcW w:w="1097" w:type="dxa"/>
            <w:shd w:val="clear" w:color="auto" w:fill="auto"/>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1.6315</w:t>
            </w:r>
          </w:p>
        </w:tc>
        <w:tc>
          <w:tcPr>
            <w:tcW w:w="828" w:type="dxa"/>
            <w:shd w:val="clear" w:color="auto" w:fill="auto"/>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0.053</w:t>
            </w:r>
          </w:p>
        </w:tc>
        <w:tc>
          <w:tcPr>
            <w:tcW w:w="1097" w:type="dxa"/>
            <w:shd w:val="clear" w:color="auto" w:fill="auto"/>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4.4839</w:t>
            </w:r>
          </w:p>
        </w:tc>
        <w:tc>
          <w:tcPr>
            <w:tcW w:w="828" w:type="dxa"/>
            <w:shd w:val="clear" w:color="auto" w:fill="auto"/>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0.001*</w:t>
            </w:r>
          </w:p>
        </w:tc>
        <w:tc>
          <w:tcPr>
            <w:tcW w:w="1097" w:type="dxa"/>
            <w:shd w:val="clear" w:color="auto" w:fill="auto"/>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3.5149</w:t>
            </w:r>
          </w:p>
        </w:tc>
        <w:tc>
          <w:tcPr>
            <w:tcW w:w="828" w:type="dxa"/>
            <w:shd w:val="clear" w:color="auto" w:fill="auto"/>
            <w:noWrap/>
            <w:hideMark/>
          </w:tcPr>
          <w:p w:rsidR="00DA5A29" w:rsidRPr="00CC18AA" w:rsidRDefault="00DA5A29" w:rsidP="00CC18AA">
            <w:pPr>
              <w:spacing w:before="60" w:after="60"/>
              <w:jc w:val="center"/>
              <w:rPr>
                <w:rFonts w:cs="Arial"/>
                <w:color w:val="000000"/>
                <w:szCs w:val="20"/>
                <w:lang w:val="en-US" w:eastAsia="en-AU"/>
              </w:rPr>
            </w:pPr>
            <w:r w:rsidRPr="00CC18AA">
              <w:rPr>
                <w:rFonts w:cs="Arial"/>
                <w:color w:val="000000"/>
                <w:szCs w:val="20"/>
                <w:lang w:val="en-US" w:eastAsia="en-AU"/>
              </w:rPr>
              <w:t>0.001*</w:t>
            </w:r>
          </w:p>
        </w:tc>
      </w:tr>
    </w:tbl>
    <w:p w:rsidR="007C2E04" w:rsidRDefault="007C2E04" w:rsidP="002E6DCF"/>
    <w:p w:rsidR="00BD0A55" w:rsidRDefault="004176FF" w:rsidP="00BD0A55">
      <w:pPr>
        <w:keepNext/>
        <w:spacing w:line="240" w:lineRule="auto"/>
      </w:pPr>
      <w:r w:rsidRPr="008F5E11">
        <w:rPr>
          <w:noProof/>
          <w:lang w:eastAsia="en-AU"/>
        </w:rPr>
        <w:drawing>
          <wp:inline distT="0" distB="0" distL="0" distR="0">
            <wp:extent cx="5972175" cy="3810000"/>
            <wp:effectExtent l="0" t="0" r="9525" b="0"/>
            <wp:docPr id="52" name="Picture 232" descr="C:\Users\wtsoi\Dropbox\Ecohealth\CEWO\01.Gwydir\Gwydir Reports\2015-16\Micro_Micro\fig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Users\wtsoi\Dropbox\Ecohealth\CEWO\01.Gwydir\Gwydir Reports\2015-16\Micro_Micro\fig14.png"/>
                    <pic:cNvPicPr>
                      <a:picLocks noChangeAspect="1" noChangeArrowheads="1"/>
                    </pic:cNvPicPr>
                  </pic:nvPicPr>
                  <pic:blipFill>
                    <a:blip r:embed="rId83" cstate="email">
                      <a:extLst>
                        <a:ext uri="{28A0092B-C50C-407E-A947-70E740481C1C}">
                          <a14:useLocalDpi xmlns:a14="http://schemas.microsoft.com/office/drawing/2010/main"/>
                        </a:ext>
                      </a:extLst>
                    </a:blip>
                    <a:srcRect l="-233"/>
                    <a:stretch>
                      <a:fillRect/>
                    </a:stretch>
                  </pic:blipFill>
                  <pic:spPr bwMode="auto">
                    <a:xfrm>
                      <a:off x="0" y="0"/>
                      <a:ext cx="5972175" cy="3810000"/>
                    </a:xfrm>
                    <a:prstGeom prst="rect">
                      <a:avLst/>
                    </a:prstGeom>
                    <a:noFill/>
                    <a:ln>
                      <a:noFill/>
                    </a:ln>
                  </pic:spPr>
                </pic:pic>
              </a:graphicData>
            </a:graphic>
          </wp:inline>
        </w:drawing>
      </w:r>
    </w:p>
    <w:p w:rsidR="005F23F1" w:rsidRDefault="00BD0A55" w:rsidP="006606A6">
      <w:pPr>
        <w:pStyle w:val="Caption"/>
      </w:pPr>
      <w:bookmarkStart w:id="61" w:name="_Ref459888425"/>
      <w:r>
        <w:t xml:space="preserve">Figure </w:t>
      </w:r>
      <w:fldSimple w:instr=" STYLEREF 6 \s ">
        <w:r w:rsidR="00673DAF">
          <w:rPr>
            <w:noProof/>
          </w:rPr>
          <w:t>D</w:t>
        </w:r>
      </w:fldSimple>
      <w:r w:rsidR="00673DAF">
        <w:noBreakHyphen/>
      </w:r>
      <w:fldSimple w:instr=" SEQ Figure \* ARABIC \s 6 ">
        <w:r w:rsidR="00673DAF">
          <w:rPr>
            <w:noProof/>
          </w:rPr>
          <w:t>16</w:t>
        </w:r>
      </w:fldSimple>
      <w:bookmarkEnd w:id="61"/>
      <w:r>
        <w:t xml:space="preserve"> n</w:t>
      </w:r>
      <w:r w:rsidRPr="00C96849">
        <w:t xml:space="preserve">MDS ordination of community composition using </w:t>
      </w:r>
      <w:r>
        <w:t xml:space="preserve">microinvertebrate </w:t>
      </w:r>
      <w:r w:rsidRPr="00C96849">
        <w:t>abundance data</w:t>
      </w:r>
      <w:r>
        <w:t xml:space="preserve"> for </w:t>
      </w:r>
      <w:r w:rsidRPr="00C96849">
        <w:t>River</w:t>
      </w:r>
      <w:r>
        <w:t xml:space="preserve"> sites and </w:t>
      </w:r>
      <w:r w:rsidRPr="00C96849">
        <w:t>benthic</w:t>
      </w:r>
      <w:r>
        <w:t xml:space="preserve"> habitats.</w:t>
      </w:r>
      <w:r w:rsidRPr="00C96849">
        <w:t xml:space="preserve"> Sampling occasions </w:t>
      </w:r>
      <w:r>
        <w:t xml:space="preserve">represented by </w:t>
      </w:r>
      <w:r w:rsidRPr="00C96849">
        <w:t>number.</w:t>
      </w:r>
    </w:p>
    <w:p w:rsidR="000B7890" w:rsidRPr="005F23F1" w:rsidRDefault="006606A6" w:rsidP="005F23F1">
      <w:r>
        <w:br w:type="page"/>
      </w:r>
      <w:r w:rsidR="000B7890">
        <w:t xml:space="preserve">In the pelagic habitat, PERMANOVA analyses revealed significant differences in the time and zone </w:t>
      </w:r>
      <w:r w:rsidR="000B7890" w:rsidRPr="005F23F1">
        <w:t>interaction, where abundance data showed a higher significant level than presence-absence data (</w:t>
      </w:r>
      <w:r w:rsidR="000B7890" w:rsidRPr="005F23F1">
        <w:fldChar w:fldCharType="begin"/>
      </w:r>
      <w:r w:rsidR="000B7890" w:rsidRPr="005F23F1">
        <w:instrText xml:space="preserve"> REF _Ref459624194 \h </w:instrText>
      </w:r>
      <w:r w:rsidR="005F23F1" w:rsidRPr="005F23F1">
        <w:instrText xml:space="preserve"> \* MERGEFORMAT </w:instrText>
      </w:r>
      <w:r w:rsidR="000B7890" w:rsidRPr="005F23F1">
        <w:fldChar w:fldCharType="separate"/>
      </w:r>
      <w:r w:rsidR="005D5925" w:rsidRPr="005F23F1">
        <w:t>Table D</w:t>
      </w:r>
      <w:r w:rsidR="005D5925" w:rsidRPr="005F23F1">
        <w:noBreakHyphen/>
        <w:t>6</w:t>
      </w:r>
      <w:r w:rsidR="000B7890" w:rsidRPr="005F23F1">
        <w:fldChar w:fldCharType="end"/>
      </w:r>
      <w:r w:rsidR="000B7890" w:rsidRPr="005F23F1">
        <w:t xml:space="preserve">). </w:t>
      </w:r>
      <w:r w:rsidR="008E049F" w:rsidRPr="005F23F1">
        <w:t xml:space="preserve"> </w:t>
      </w:r>
      <w:r w:rsidR="000B7890" w:rsidRPr="005F23F1">
        <w:t xml:space="preserve">This result suggested that differences in community composition were driven by the absolute abundance of taxa. </w:t>
      </w:r>
      <w:r w:rsidR="008E049F" w:rsidRPr="005F23F1">
        <w:t xml:space="preserve"> </w:t>
      </w:r>
      <w:r w:rsidR="000B7890" w:rsidRPr="005F23F1">
        <w:t>In both datasets, community composition in the Gwydir River was significantly different from the Mehi River and Moomin Creek. Community composition was significantly different between T1 and all other sampling occasions (</w:t>
      </w:r>
      <w:r w:rsidR="000B7890" w:rsidRPr="005F23F1">
        <w:fldChar w:fldCharType="begin"/>
      </w:r>
      <w:r w:rsidR="000B7890" w:rsidRPr="005F23F1">
        <w:instrText xml:space="preserve"> REF _Ref459624194 \h </w:instrText>
      </w:r>
      <w:r w:rsidR="005F23F1" w:rsidRPr="005F23F1">
        <w:instrText xml:space="preserve"> \* MERGEFORMAT </w:instrText>
      </w:r>
      <w:r w:rsidR="000B7890" w:rsidRPr="005F23F1">
        <w:fldChar w:fldCharType="separate"/>
      </w:r>
      <w:r w:rsidR="005D5925" w:rsidRPr="005F23F1">
        <w:t>Table D</w:t>
      </w:r>
      <w:r w:rsidR="005D5925" w:rsidRPr="005F23F1">
        <w:noBreakHyphen/>
        <w:t>6</w:t>
      </w:r>
      <w:r w:rsidR="000B7890" w:rsidRPr="005F23F1">
        <w:fldChar w:fldCharType="end"/>
      </w:r>
      <w:r w:rsidR="000B7890" w:rsidRPr="005F23F1">
        <w:t xml:space="preserve">; </w:t>
      </w:r>
      <w:r w:rsidR="00B97B45" w:rsidRPr="005F23F1">
        <w:fldChar w:fldCharType="begin"/>
      </w:r>
      <w:r w:rsidR="00B97B45" w:rsidRPr="005F23F1">
        <w:instrText xml:space="preserve"> REF _Ref459892666 \h </w:instrText>
      </w:r>
      <w:r w:rsidR="005F23F1" w:rsidRPr="005F23F1">
        <w:instrText xml:space="preserve"> \* MERGEFORMAT </w:instrText>
      </w:r>
      <w:r w:rsidR="00B97B45" w:rsidRPr="005F23F1">
        <w:fldChar w:fldCharType="separate"/>
      </w:r>
      <w:r w:rsidR="005D5925" w:rsidRPr="005F23F1">
        <w:t>Figure D</w:t>
      </w:r>
      <w:r w:rsidR="005D5925" w:rsidRPr="005F23F1">
        <w:noBreakHyphen/>
        <w:t>17</w:t>
      </w:r>
      <w:r w:rsidR="00B97B45" w:rsidRPr="005F23F1">
        <w:fldChar w:fldCharType="end"/>
      </w:r>
      <w:r w:rsidR="000B7890" w:rsidRPr="005F23F1">
        <w:t xml:space="preserve">). </w:t>
      </w:r>
      <w:r w:rsidR="008E049F" w:rsidRPr="005F23F1">
        <w:t xml:space="preserve"> </w:t>
      </w:r>
      <w:r w:rsidR="000B7890" w:rsidRPr="005F23F1">
        <w:t>The community difference between T1 and all other sampling occasions was driven by the higher average abundance of Cladoceran nauplii, Copepod Family Calanoidae, rotifer Family Filiniidae and Copepod Family Cyclopoida in T1, and higher average abundance of the rotifer Families Synchaetidae and Brachionidae in all other sampling occasions (</w:t>
      </w:r>
      <w:r w:rsidR="000B7890" w:rsidRPr="005F23F1">
        <w:fldChar w:fldCharType="begin"/>
      </w:r>
      <w:r w:rsidR="000B7890" w:rsidRPr="005F23F1">
        <w:instrText xml:space="preserve"> REF _Ref458889223 \h </w:instrText>
      </w:r>
      <w:r w:rsidR="005F23F1" w:rsidRPr="005F23F1">
        <w:instrText xml:space="preserve"> \* MERGEFORMAT </w:instrText>
      </w:r>
      <w:r w:rsidR="000B7890" w:rsidRPr="005F23F1">
        <w:fldChar w:fldCharType="separate"/>
      </w:r>
      <w:r w:rsidR="005D5925" w:rsidRPr="005F23F1">
        <w:t>Table D</w:t>
      </w:r>
      <w:r w:rsidR="005D5925" w:rsidRPr="005F23F1">
        <w:noBreakHyphen/>
        <w:t>7</w:t>
      </w:r>
      <w:r w:rsidR="000B7890" w:rsidRPr="005F23F1">
        <w:fldChar w:fldCharType="end"/>
      </w:r>
      <w:r w:rsidR="000B7890" w:rsidRPr="005F23F1">
        <w:t xml:space="preserve">). </w:t>
      </w:r>
      <w:r w:rsidR="008E049F" w:rsidRPr="005F23F1">
        <w:t xml:space="preserve"> </w:t>
      </w:r>
      <w:r w:rsidR="000B7890" w:rsidRPr="005F23F1">
        <w:t>The average abundance of these six taxa contributed 52% to the cumulative dissimilarity between the two sampling occasions.</w:t>
      </w:r>
    </w:p>
    <w:p w:rsidR="00BD0A55" w:rsidRDefault="004176FF" w:rsidP="00BD0A55">
      <w:pPr>
        <w:keepNext/>
        <w:spacing w:line="240" w:lineRule="auto"/>
      </w:pPr>
      <w:r w:rsidRPr="008F5E11">
        <w:rPr>
          <w:noProof/>
          <w:lang w:eastAsia="en-AU"/>
        </w:rPr>
        <w:drawing>
          <wp:inline distT="0" distB="0" distL="0" distR="0">
            <wp:extent cx="5991225" cy="4000500"/>
            <wp:effectExtent l="0" t="0" r="9525" b="0"/>
            <wp:docPr id="53" name="Picture 314" descr="C:\Users\wtsoi\Dropbox\Ecohealth\CEWO\01.Gwydir\Gwydir Reports\2015-16\Micro_Micro\fig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C:\Users\wtsoi\Dropbox\Ecohealth\CEWO\01.Gwydir\Gwydir Reports\2015-16\Micro_Micro\fig14.png"/>
                    <pic:cNvPicPr>
                      <a:picLocks noChangeAspect="1" noChangeArrowheads="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5991225" cy="4000500"/>
                    </a:xfrm>
                    <a:prstGeom prst="rect">
                      <a:avLst/>
                    </a:prstGeom>
                    <a:noFill/>
                    <a:ln>
                      <a:noFill/>
                    </a:ln>
                  </pic:spPr>
                </pic:pic>
              </a:graphicData>
            </a:graphic>
          </wp:inline>
        </w:drawing>
      </w:r>
    </w:p>
    <w:p w:rsidR="005F23F1" w:rsidRDefault="00BD0A55" w:rsidP="00BD0A55">
      <w:pPr>
        <w:pStyle w:val="Caption"/>
        <w:spacing w:after="360"/>
      </w:pPr>
      <w:bookmarkStart w:id="62" w:name="_Ref459892666"/>
      <w:r>
        <w:t xml:space="preserve">Figure </w:t>
      </w:r>
      <w:fldSimple w:instr=" STYLEREF 6 \s ">
        <w:r w:rsidR="00673DAF">
          <w:rPr>
            <w:noProof/>
          </w:rPr>
          <w:t>D</w:t>
        </w:r>
      </w:fldSimple>
      <w:r w:rsidR="00673DAF">
        <w:noBreakHyphen/>
      </w:r>
      <w:fldSimple w:instr=" SEQ Figure \* ARABIC \s 6 ">
        <w:r w:rsidR="00673DAF">
          <w:rPr>
            <w:noProof/>
          </w:rPr>
          <w:t>17</w:t>
        </w:r>
      </w:fldSimple>
      <w:bookmarkEnd w:id="62"/>
      <w:r>
        <w:t xml:space="preserve"> n</w:t>
      </w:r>
      <w:r w:rsidRPr="00421D7D">
        <w:t xml:space="preserve">MDS ordination of community composition using microinvertebrate abundance data for River sites and </w:t>
      </w:r>
      <w:r>
        <w:t>pelagic</w:t>
      </w:r>
      <w:r w:rsidRPr="00421D7D">
        <w:t xml:space="preserve"> habitats. Sampling occasions represented by number.</w:t>
      </w:r>
    </w:p>
    <w:p w:rsidR="003F257A" w:rsidRDefault="006606A6" w:rsidP="007A0923">
      <w:pPr>
        <w:pStyle w:val="Caption"/>
      </w:pPr>
      <w:r>
        <w:br w:type="page"/>
      </w:r>
      <w:bookmarkStart w:id="63" w:name="_Ref458889223"/>
      <w:r w:rsidR="003F257A">
        <w:t xml:space="preserve">Table </w:t>
      </w:r>
      <w:fldSimple w:instr=" STYLEREF 6 \s ">
        <w:r w:rsidR="005D5925">
          <w:rPr>
            <w:noProof/>
          </w:rPr>
          <w:t>D</w:t>
        </w:r>
      </w:fldSimple>
      <w:r w:rsidR="005D4453">
        <w:noBreakHyphen/>
      </w:r>
      <w:fldSimple w:instr=" SEQ Table \* ARABIC \s 6 ">
        <w:r w:rsidR="005D5925">
          <w:rPr>
            <w:noProof/>
          </w:rPr>
          <w:t>7</w:t>
        </w:r>
      </w:fldSimple>
      <w:bookmarkEnd w:id="63"/>
      <w:r w:rsidR="003F257A">
        <w:t xml:space="preserve"> </w:t>
      </w:r>
      <w:r w:rsidR="003F257A" w:rsidRPr="00BA1E3E">
        <w:t>Microinvertebrate taxa contributing most of the dissimilarities between T1 and T3&amp;T4 communities in River benthic habitat and in River pelagic habitat based on abundance dataset. Bold number is the higher average abundance.</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33"/>
        <w:gridCol w:w="1647"/>
        <w:gridCol w:w="1687"/>
        <w:gridCol w:w="1993"/>
        <w:gridCol w:w="1840"/>
      </w:tblGrid>
      <w:tr w:rsidR="00BD0A55" w:rsidRPr="00DA5A29" w:rsidTr="00CC18AA">
        <w:trPr>
          <w:trHeight w:val="300"/>
        </w:trPr>
        <w:tc>
          <w:tcPr>
            <w:tcW w:w="5000" w:type="pct"/>
            <w:gridSpan w:val="5"/>
            <w:shd w:val="clear" w:color="auto" w:fill="D9D9D9"/>
            <w:noWrap/>
            <w:vAlign w:val="center"/>
          </w:tcPr>
          <w:p w:rsidR="00BD0A55" w:rsidRPr="00CC18AA" w:rsidRDefault="00BD0A55" w:rsidP="00CC18AA">
            <w:pPr>
              <w:spacing w:before="60" w:after="60"/>
              <w:jc w:val="center"/>
              <w:rPr>
                <w:rFonts w:cs="Arial"/>
                <w:bCs/>
                <w:color w:val="000000"/>
                <w:szCs w:val="20"/>
                <w:lang w:val="en-US" w:eastAsia="en-AU"/>
              </w:rPr>
            </w:pPr>
            <w:r w:rsidRPr="00CC18AA">
              <w:rPr>
                <w:rFonts w:cs="Arial"/>
                <w:bCs/>
                <w:color w:val="000000"/>
                <w:szCs w:val="20"/>
                <w:lang w:val="en-US" w:eastAsia="en-AU"/>
              </w:rPr>
              <w:t>Benthic Habitat</w:t>
            </w:r>
          </w:p>
        </w:tc>
      </w:tr>
      <w:tr w:rsidR="00CC18AA" w:rsidRPr="00DA5A29" w:rsidTr="00CC18AA">
        <w:trPr>
          <w:trHeight w:val="300"/>
        </w:trPr>
        <w:tc>
          <w:tcPr>
            <w:tcW w:w="1105" w:type="pct"/>
            <w:vMerge w:val="restart"/>
            <w:shd w:val="clear" w:color="auto" w:fill="D9D9D9"/>
            <w:noWrap/>
            <w:vAlign w:val="center"/>
            <w:hideMark/>
          </w:tcPr>
          <w:p w:rsidR="00DB4624" w:rsidRPr="00CC18AA" w:rsidRDefault="00DB4624" w:rsidP="00CC18AA">
            <w:pPr>
              <w:spacing w:before="60" w:after="60"/>
              <w:jc w:val="center"/>
              <w:rPr>
                <w:rFonts w:cs="Arial"/>
                <w:bCs/>
                <w:color w:val="000000"/>
                <w:szCs w:val="20"/>
                <w:lang w:val="en-US" w:eastAsia="en-AU"/>
              </w:rPr>
            </w:pPr>
            <w:r w:rsidRPr="00CC18AA">
              <w:rPr>
                <w:rFonts w:cs="Arial"/>
                <w:bCs/>
                <w:color w:val="000000"/>
                <w:szCs w:val="20"/>
                <w:lang w:val="en-US" w:eastAsia="en-AU"/>
              </w:rPr>
              <w:t>Taxa</w:t>
            </w:r>
          </w:p>
        </w:tc>
        <w:tc>
          <w:tcPr>
            <w:tcW w:w="1812" w:type="pct"/>
            <w:gridSpan w:val="2"/>
            <w:shd w:val="clear" w:color="auto" w:fill="D9D9D9"/>
            <w:noWrap/>
            <w:vAlign w:val="center"/>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Average Abundance</w:t>
            </w:r>
          </w:p>
        </w:tc>
        <w:tc>
          <w:tcPr>
            <w:tcW w:w="1083" w:type="pct"/>
            <w:vMerge w:val="restart"/>
            <w:shd w:val="clear" w:color="auto" w:fill="D9D9D9"/>
            <w:noWrap/>
            <w:vAlign w:val="center"/>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Contribution %</w:t>
            </w:r>
          </w:p>
        </w:tc>
        <w:tc>
          <w:tcPr>
            <w:tcW w:w="1000" w:type="pct"/>
            <w:vMerge w:val="restart"/>
            <w:shd w:val="clear" w:color="auto" w:fill="D9D9D9"/>
            <w:noWrap/>
            <w:vAlign w:val="center"/>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Cumulative %</w:t>
            </w:r>
          </w:p>
        </w:tc>
      </w:tr>
      <w:tr w:rsidR="00CC18AA" w:rsidRPr="00DA5A29" w:rsidTr="00CC18AA">
        <w:trPr>
          <w:trHeight w:val="610"/>
        </w:trPr>
        <w:tc>
          <w:tcPr>
            <w:tcW w:w="1105" w:type="pct"/>
            <w:vMerge/>
            <w:shd w:val="clear" w:color="auto" w:fill="auto"/>
            <w:hideMark/>
          </w:tcPr>
          <w:p w:rsidR="00DB4624" w:rsidRPr="00CC18AA" w:rsidRDefault="00DB4624" w:rsidP="00CC18AA">
            <w:pPr>
              <w:spacing w:before="60" w:after="60"/>
              <w:jc w:val="left"/>
              <w:rPr>
                <w:rFonts w:cs="Arial"/>
                <w:bCs/>
                <w:color w:val="000000"/>
                <w:szCs w:val="20"/>
                <w:lang w:val="en-US" w:eastAsia="en-AU"/>
              </w:rPr>
            </w:pPr>
          </w:p>
        </w:tc>
        <w:tc>
          <w:tcPr>
            <w:tcW w:w="895" w:type="pct"/>
            <w:shd w:val="clear" w:color="auto" w:fill="D9D9D9"/>
            <w:vAlign w:val="center"/>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River benthic T1</w:t>
            </w:r>
          </w:p>
        </w:tc>
        <w:tc>
          <w:tcPr>
            <w:tcW w:w="917" w:type="pct"/>
            <w:shd w:val="clear" w:color="auto" w:fill="D9D9D9"/>
            <w:vAlign w:val="center"/>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River benthic T6, T7&amp;T8</w:t>
            </w:r>
          </w:p>
        </w:tc>
        <w:tc>
          <w:tcPr>
            <w:tcW w:w="1083" w:type="pct"/>
            <w:vMerge/>
            <w:shd w:val="clear" w:color="auto" w:fill="auto"/>
            <w:hideMark/>
          </w:tcPr>
          <w:p w:rsidR="00DB4624" w:rsidRPr="00CC18AA" w:rsidRDefault="00DB4624" w:rsidP="00CC18AA">
            <w:pPr>
              <w:spacing w:before="60" w:after="60"/>
              <w:jc w:val="left"/>
              <w:rPr>
                <w:rFonts w:cs="Arial"/>
                <w:color w:val="000000"/>
                <w:szCs w:val="20"/>
                <w:lang w:val="en-US" w:eastAsia="en-AU"/>
              </w:rPr>
            </w:pPr>
          </w:p>
        </w:tc>
        <w:tc>
          <w:tcPr>
            <w:tcW w:w="1000" w:type="pct"/>
            <w:vMerge/>
            <w:shd w:val="clear" w:color="auto" w:fill="auto"/>
            <w:hideMark/>
          </w:tcPr>
          <w:p w:rsidR="00DB4624" w:rsidRPr="00CC18AA" w:rsidRDefault="00DB4624" w:rsidP="00CC18AA">
            <w:pPr>
              <w:spacing w:before="60" w:after="60"/>
              <w:jc w:val="left"/>
              <w:rPr>
                <w:rFonts w:cs="Arial"/>
                <w:color w:val="000000"/>
                <w:szCs w:val="20"/>
                <w:lang w:val="en-US" w:eastAsia="en-AU"/>
              </w:rPr>
            </w:pPr>
          </w:p>
        </w:tc>
      </w:tr>
      <w:tr w:rsidR="00CC18AA" w:rsidRPr="00DA5A29" w:rsidTr="00CC18AA">
        <w:trPr>
          <w:trHeight w:val="300"/>
        </w:trPr>
        <w:tc>
          <w:tcPr>
            <w:tcW w:w="1105" w:type="pct"/>
            <w:shd w:val="clear" w:color="auto" w:fill="auto"/>
            <w:noWrap/>
            <w:hideMark/>
          </w:tcPr>
          <w:p w:rsidR="00DB4624" w:rsidRPr="00CC18AA" w:rsidRDefault="00DB4624" w:rsidP="00CC18AA">
            <w:pPr>
              <w:spacing w:before="60" w:after="60"/>
              <w:jc w:val="left"/>
              <w:rPr>
                <w:rFonts w:cs="Arial"/>
                <w:bCs/>
                <w:color w:val="000000"/>
                <w:szCs w:val="20"/>
                <w:lang w:val="en-US" w:eastAsia="en-AU"/>
              </w:rPr>
            </w:pPr>
            <w:r w:rsidRPr="00CC18AA">
              <w:rPr>
                <w:rFonts w:cs="Arial"/>
                <w:bCs/>
                <w:color w:val="000000"/>
                <w:szCs w:val="20"/>
                <w:lang w:val="en-US" w:eastAsia="en-AU"/>
              </w:rPr>
              <w:t>O. Bdelloida</w:t>
            </w:r>
          </w:p>
        </w:tc>
        <w:tc>
          <w:tcPr>
            <w:tcW w:w="895" w:type="pct"/>
            <w:shd w:val="clear" w:color="auto" w:fill="auto"/>
            <w:noWrap/>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5.0</w:t>
            </w:r>
          </w:p>
        </w:tc>
        <w:tc>
          <w:tcPr>
            <w:tcW w:w="917" w:type="pct"/>
            <w:shd w:val="clear" w:color="auto" w:fill="auto"/>
            <w:noWrap/>
            <w:hideMark/>
          </w:tcPr>
          <w:p w:rsidR="00DB4624" w:rsidRPr="00CC18AA" w:rsidRDefault="00DB4624" w:rsidP="00CC18AA">
            <w:pPr>
              <w:spacing w:before="60" w:after="60"/>
              <w:jc w:val="center"/>
              <w:rPr>
                <w:rFonts w:cs="Arial"/>
                <w:b/>
                <w:bCs/>
                <w:color w:val="000000"/>
                <w:szCs w:val="20"/>
                <w:lang w:val="en-US" w:eastAsia="en-AU"/>
              </w:rPr>
            </w:pPr>
            <w:r w:rsidRPr="00CC18AA">
              <w:rPr>
                <w:rFonts w:cs="Arial"/>
                <w:b/>
                <w:bCs/>
                <w:color w:val="000000"/>
                <w:szCs w:val="20"/>
                <w:lang w:val="en-US" w:eastAsia="en-AU"/>
              </w:rPr>
              <w:t>35.3</w:t>
            </w:r>
          </w:p>
        </w:tc>
        <w:tc>
          <w:tcPr>
            <w:tcW w:w="1083" w:type="pct"/>
            <w:shd w:val="clear" w:color="auto" w:fill="auto"/>
            <w:noWrap/>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11</w:t>
            </w:r>
          </w:p>
        </w:tc>
        <w:tc>
          <w:tcPr>
            <w:tcW w:w="1000" w:type="pct"/>
            <w:shd w:val="clear" w:color="auto" w:fill="auto"/>
            <w:noWrap/>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11</w:t>
            </w:r>
          </w:p>
        </w:tc>
      </w:tr>
      <w:tr w:rsidR="00CC18AA" w:rsidRPr="00DA5A29" w:rsidTr="00CC18AA">
        <w:trPr>
          <w:trHeight w:val="300"/>
        </w:trPr>
        <w:tc>
          <w:tcPr>
            <w:tcW w:w="1105" w:type="pct"/>
            <w:shd w:val="clear" w:color="auto" w:fill="auto"/>
            <w:noWrap/>
            <w:hideMark/>
          </w:tcPr>
          <w:p w:rsidR="00DB4624" w:rsidRPr="00CC18AA" w:rsidRDefault="00DB4624" w:rsidP="00CC18AA">
            <w:pPr>
              <w:spacing w:before="60" w:after="60"/>
              <w:jc w:val="left"/>
              <w:rPr>
                <w:rFonts w:cs="Arial"/>
                <w:bCs/>
                <w:color w:val="000000"/>
                <w:szCs w:val="20"/>
                <w:lang w:val="en-US" w:eastAsia="en-AU"/>
              </w:rPr>
            </w:pPr>
            <w:r w:rsidRPr="00CC18AA">
              <w:rPr>
                <w:rFonts w:cs="Arial"/>
                <w:bCs/>
                <w:color w:val="000000"/>
                <w:szCs w:val="20"/>
                <w:lang w:val="en-US" w:eastAsia="en-AU"/>
              </w:rPr>
              <w:t>C. Ostracoda</w:t>
            </w:r>
          </w:p>
        </w:tc>
        <w:tc>
          <w:tcPr>
            <w:tcW w:w="895" w:type="pct"/>
            <w:shd w:val="clear" w:color="auto" w:fill="auto"/>
            <w:noWrap/>
            <w:hideMark/>
          </w:tcPr>
          <w:p w:rsidR="00DB4624" w:rsidRPr="00CC18AA" w:rsidRDefault="00DB4624" w:rsidP="00CC18AA">
            <w:pPr>
              <w:spacing w:before="60" w:after="60"/>
              <w:jc w:val="center"/>
              <w:rPr>
                <w:rFonts w:cs="Arial"/>
                <w:b/>
                <w:bCs/>
                <w:color w:val="000000"/>
                <w:szCs w:val="20"/>
                <w:lang w:val="en-US" w:eastAsia="en-AU"/>
              </w:rPr>
            </w:pPr>
            <w:r w:rsidRPr="00CC18AA">
              <w:rPr>
                <w:rFonts w:cs="Arial"/>
                <w:b/>
                <w:bCs/>
                <w:color w:val="000000"/>
                <w:szCs w:val="20"/>
                <w:lang w:val="en-US" w:eastAsia="en-AU"/>
              </w:rPr>
              <w:t>20.0</w:t>
            </w:r>
          </w:p>
        </w:tc>
        <w:tc>
          <w:tcPr>
            <w:tcW w:w="917" w:type="pct"/>
            <w:shd w:val="clear" w:color="auto" w:fill="auto"/>
            <w:noWrap/>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4.1</w:t>
            </w:r>
          </w:p>
        </w:tc>
        <w:tc>
          <w:tcPr>
            <w:tcW w:w="1083" w:type="pct"/>
            <w:shd w:val="clear" w:color="auto" w:fill="auto"/>
            <w:noWrap/>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7</w:t>
            </w:r>
          </w:p>
        </w:tc>
        <w:tc>
          <w:tcPr>
            <w:tcW w:w="1000" w:type="pct"/>
            <w:shd w:val="clear" w:color="auto" w:fill="auto"/>
            <w:noWrap/>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18</w:t>
            </w:r>
          </w:p>
        </w:tc>
      </w:tr>
      <w:tr w:rsidR="00CC18AA" w:rsidRPr="00DA5A29" w:rsidTr="00CC18AA">
        <w:trPr>
          <w:trHeight w:val="300"/>
        </w:trPr>
        <w:tc>
          <w:tcPr>
            <w:tcW w:w="1105" w:type="pct"/>
            <w:shd w:val="clear" w:color="auto" w:fill="auto"/>
            <w:noWrap/>
            <w:hideMark/>
          </w:tcPr>
          <w:p w:rsidR="00DB4624" w:rsidRPr="00CC18AA" w:rsidRDefault="00DB4624" w:rsidP="00CC18AA">
            <w:pPr>
              <w:spacing w:before="60" w:after="60"/>
              <w:jc w:val="left"/>
              <w:rPr>
                <w:rFonts w:cs="Arial"/>
                <w:bCs/>
                <w:color w:val="000000"/>
                <w:szCs w:val="20"/>
                <w:lang w:val="en-US" w:eastAsia="en-AU"/>
              </w:rPr>
            </w:pPr>
            <w:r w:rsidRPr="00CC18AA">
              <w:rPr>
                <w:rFonts w:cs="Arial"/>
                <w:bCs/>
                <w:color w:val="000000"/>
                <w:szCs w:val="20"/>
                <w:lang w:val="en-US" w:eastAsia="en-AU"/>
              </w:rPr>
              <w:t>nauplii</w:t>
            </w:r>
          </w:p>
        </w:tc>
        <w:tc>
          <w:tcPr>
            <w:tcW w:w="895" w:type="pct"/>
            <w:shd w:val="clear" w:color="auto" w:fill="auto"/>
            <w:noWrap/>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21.0</w:t>
            </w:r>
          </w:p>
        </w:tc>
        <w:tc>
          <w:tcPr>
            <w:tcW w:w="917" w:type="pct"/>
            <w:shd w:val="clear" w:color="auto" w:fill="auto"/>
            <w:noWrap/>
            <w:hideMark/>
          </w:tcPr>
          <w:p w:rsidR="00DB4624" w:rsidRPr="00CC18AA" w:rsidRDefault="00DB4624" w:rsidP="00CC18AA">
            <w:pPr>
              <w:spacing w:before="60" w:after="60"/>
              <w:jc w:val="center"/>
              <w:rPr>
                <w:rFonts w:cs="Arial"/>
                <w:b/>
                <w:bCs/>
                <w:color w:val="000000"/>
                <w:szCs w:val="20"/>
                <w:lang w:val="en-US" w:eastAsia="en-AU"/>
              </w:rPr>
            </w:pPr>
            <w:r w:rsidRPr="00CC18AA">
              <w:rPr>
                <w:rFonts w:cs="Arial"/>
                <w:b/>
                <w:bCs/>
                <w:color w:val="000000"/>
                <w:szCs w:val="20"/>
                <w:lang w:val="en-US" w:eastAsia="en-AU"/>
              </w:rPr>
              <w:t>21.9</w:t>
            </w:r>
          </w:p>
        </w:tc>
        <w:tc>
          <w:tcPr>
            <w:tcW w:w="1083" w:type="pct"/>
            <w:shd w:val="clear" w:color="auto" w:fill="auto"/>
            <w:noWrap/>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6</w:t>
            </w:r>
          </w:p>
        </w:tc>
        <w:tc>
          <w:tcPr>
            <w:tcW w:w="1000" w:type="pct"/>
            <w:shd w:val="clear" w:color="auto" w:fill="auto"/>
            <w:noWrap/>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25</w:t>
            </w:r>
          </w:p>
        </w:tc>
      </w:tr>
      <w:tr w:rsidR="00CC18AA" w:rsidRPr="00DA5A29" w:rsidTr="00CC18AA">
        <w:trPr>
          <w:trHeight w:val="300"/>
        </w:trPr>
        <w:tc>
          <w:tcPr>
            <w:tcW w:w="1105" w:type="pct"/>
            <w:shd w:val="clear" w:color="auto" w:fill="auto"/>
            <w:noWrap/>
            <w:hideMark/>
          </w:tcPr>
          <w:p w:rsidR="00DB4624" w:rsidRPr="00CC18AA" w:rsidRDefault="00DB4624" w:rsidP="00CC18AA">
            <w:pPr>
              <w:spacing w:before="60" w:after="60"/>
              <w:jc w:val="left"/>
              <w:rPr>
                <w:rFonts w:cs="Arial"/>
                <w:bCs/>
                <w:color w:val="000000"/>
                <w:szCs w:val="20"/>
                <w:lang w:val="en-US" w:eastAsia="en-AU"/>
              </w:rPr>
            </w:pPr>
            <w:r w:rsidRPr="00CC18AA">
              <w:rPr>
                <w:rFonts w:cs="Arial"/>
                <w:bCs/>
                <w:color w:val="000000"/>
                <w:szCs w:val="20"/>
                <w:lang w:val="en-US" w:eastAsia="en-AU"/>
              </w:rPr>
              <w:t>P. Tardigrada</w:t>
            </w:r>
          </w:p>
        </w:tc>
        <w:tc>
          <w:tcPr>
            <w:tcW w:w="895" w:type="pct"/>
            <w:shd w:val="clear" w:color="auto" w:fill="auto"/>
            <w:noWrap/>
            <w:hideMark/>
          </w:tcPr>
          <w:p w:rsidR="00DB4624" w:rsidRPr="00CC18AA" w:rsidRDefault="00DB4624" w:rsidP="00CC18AA">
            <w:pPr>
              <w:spacing w:before="60" w:after="60"/>
              <w:jc w:val="center"/>
              <w:rPr>
                <w:rFonts w:cs="Arial"/>
                <w:b/>
                <w:bCs/>
                <w:color w:val="000000"/>
                <w:szCs w:val="20"/>
                <w:lang w:val="en-US" w:eastAsia="en-AU"/>
              </w:rPr>
            </w:pPr>
            <w:r w:rsidRPr="00CC18AA">
              <w:rPr>
                <w:rFonts w:cs="Arial"/>
                <w:b/>
                <w:bCs/>
                <w:color w:val="000000"/>
                <w:szCs w:val="20"/>
                <w:lang w:val="en-US" w:eastAsia="en-AU"/>
              </w:rPr>
              <w:t>14.4</w:t>
            </w:r>
          </w:p>
        </w:tc>
        <w:tc>
          <w:tcPr>
            <w:tcW w:w="917" w:type="pct"/>
            <w:shd w:val="clear" w:color="auto" w:fill="auto"/>
            <w:noWrap/>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0.7</w:t>
            </w:r>
          </w:p>
        </w:tc>
        <w:tc>
          <w:tcPr>
            <w:tcW w:w="1083" w:type="pct"/>
            <w:shd w:val="clear" w:color="auto" w:fill="auto"/>
            <w:noWrap/>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6</w:t>
            </w:r>
          </w:p>
        </w:tc>
        <w:tc>
          <w:tcPr>
            <w:tcW w:w="1000" w:type="pct"/>
            <w:shd w:val="clear" w:color="auto" w:fill="auto"/>
            <w:noWrap/>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31</w:t>
            </w:r>
          </w:p>
        </w:tc>
      </w:tr>
      <w:tr w:rsidR="00CC18AA" w:rsidRPr="00DA5A29" w:rsidTr="00CC18AA">
        <w:trPr>
          <w:trHeight w:val="315"/>
        </w:trPr>
        <w:tc>
          <w:tcPr>
            <w:tcW w:w="1105" w:type="pct"/>
            <w:shd w:val="clear" w:color="auto" w:fill="auto"/>
            <w:noWrap/>
            <w:hideMark/>
          </w:tcPr>
          <w:p w:rsidR="00DB4624" w:rsidRPr="00CC18AA" w:rsidRDefault="00DB4624" w:rsidP="00CC18AA">
            <w:pPr>
              <w:spacing w:before="60" w:after="60"/>
              <w:jc w:val="left"/>
              <w:rPr>
                <w:rFonts w:cs="Arial"/>
                <w:bCs/>
                <w:color w:val="000000"/>
                <w:szCs w:val="20"/>
                <w:lang w:val="en-US" w:eastAsia="en-AU"/>
              </w:rPr>
            </w:pPr>
            <w:r w:rsidRPr="00CC18AA">
              <w:rPr>
                <w:rFonts w:cs="Arial"/>
                <w:bCs/>
                <w:color w:val="000000"/>
                <w:szCs w:val="20"/>
                <w:lang w:val="en-US" w:eastAsia="en-AU"/>
              </w:rPr>
              <w:t>F.  Lecanidae</w:t>
            </w:r>
          </w:p>
        </w:tc>
        <w:tc>
          <w:tcPr>
            <w:tcW w:w="895" w:type="pct"/>
            <w:shd w:val="clear" w:color="auto" w:fill="auto"/>
            <w:noWrap/>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8.3</w:t>
            </w:r>
          </w:p>
        </w:tc>
        <w:tc>
          <w:tcPr>
            <w:tcW w:w="917" w:type="pct"/>
            <w:shd w:val="clear" w:color="auto" w:fill="auto"/>
            <w:noWrap/>
            <w:hideMark/>
          </w:tcPr>
          <w:p w:rsidR="00DB4624" w:rsidRPr="00CC18AA" w:rsidRDefault="00DB4624" w:rsidP="00CC18AA">
            <w:pPr>
              <w:spacing w:before="60" w:after="60"/>
              <w:jc w:val="center"/>
              <w:rPr>
                <w:rFonts w:cs="Arial"/>
                <w:b/>
                <w:bCs/>
                <w:color w:val="000000"/>
                <w:szCs w:val="20"/>
                <w:lang w:val="en-US" w:eastAsia="en-AU"/>
              </w:rPr>
            </w:pPr>
            <w:r w:rsidRPr="00CC18AA">
              <w:rPr>
                <w:rFonts w:cs="Arial"/>
                <w:b/>
                <w:bCs/>
                <w:color w:val="000000"/>
                <w:szCs w:val="20"/>
                <w:lang w:val="en-US" w:eastAsia="en-AU"/>
              </w:rPr>
              <w:t>18.4</w:t>
            </w:r>
          </w:p>
        </w:tc>
        <w:tc>
          <w:tcPr>
            <w:tcW w:w="1083" w:type="pct"/>
            <w:shd w:val="clear" w:color="auto" w:fill="auto"/>
            <w:noWrap/>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6</w:t>
            </w:r>
          </w:p>
        </w:tc>
        <w:tc>
          <w:tcPr>
            <w:tcW w:w="1000" w:type="pct"/>
            <w:shd w:val="clear" w:color="auto" w:fill="auto"/>
            <w:noWrap/>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37</w:t>
            </w:r>
          </w:p>
        </w:tc>
      </w:tr>
      <w:tr w:rsidR="00CC18AA" w:rsidRPr="00DA5A29" w:rsidTr="00CC18AA">
        <w:trPr>
          <w:trHeight w:val="300"/>
        </w:trPr>
        <w:tc>
          <w:tcPr>
            <w:tcW w:w="1105" w:type="pct"/>
            <w:shd w:val="clear" w:color="auto" w:fill="auto"/>
            <w:noWrap/>
            <w:hideMark/>
          </w:tcPr>
          <w:p w:rsidR="00DB4624" w:rsidRPr="00CC18AA" w:rsidRDefault="00DB4624" w:rsidP="00CC18AA">
            <w:pPr>
              <w:spacing w:before="60" w:after="60"/>
              <w:jc w:val="left"/>
              <w:rPr>
                <w:rFonts w:cs="Arial"/>
                <w:bCs/>
                <w:color w:val="000000"/>
                <w:szCs w:val="20"/>
                <w:lang w:val="en-US" w:eastAsia="en-AU"/>
              </w:rPr>
            </w:pPr>
            <w:r w:rsidRPr="00CC18AA">
              <w:rPr>
                <w:rFonts w:cs="Arial"/>
                <w:bCs/>
                <w:color w:val="000000"/>
                <w:szCs w:val="20"/>
                <w:lang w:val="en-US" w:eastAsia="en-AU"/>
              </w:rPr>
              <w:t>F.  Brachionidae</w:t>
            </w:r>
          </w:p>
        </w:tc>
        <w:tc>
          <w:tcPr>
            <w:tcW w:w="895" w:type="pct"/>
            <w:shd w:val="clear" w:color="auto" w:fill="auto"/>
            <w:noWrap/>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8.9</w:t>
            </w:r>
          </w:p>
        </w:tc>
        <w:tc>
          <w:tcPr>
            <w:tcW w:w="917" w:type="pct"/>
            <w:shd w:val="clear" w:color="auto" w:fill="auto"/>
            <w:noWrap/>
            <w:hideMark/>
          </w:tcPr>
          <w:p w:rsidR="00DB4624" w:rsidRPr="00CC18AA" w:rsidRDefault="00DB4624" w:rsidP="00CC18AA">
            <w:pPr>
              <w:spacing w:before="60" w:after="60"/>
              <w:jc w:val="center"/>
              <w:rPr>
                <w:rFonts w:cs="Arial"/>
                <w:b/>
                <w:bCs/>
                <w:color w:val="000000"/>
                <w:szCs w:val="20"/>
                <w:lang w:val="en-US" w:eastAsia="en-AU"/>
              </w:rPr>
            </w:pPr>
            <w:r w:rsidRPr="00CC18AA">
              <w:rPr>
                <w:rFonts w:cs="Arial"/>
                <w:b/>
                <w:bCs/>
                <w:color w:val="000000"/>
                <w:szCs w:val="20"/>
                <w:lang w:val="en-US" w:eastAsia="en-AU"/>
              </w:rPr>
              <w:t>19.0</w:t>
            </w:r>
          </w:p>
        </w:tc>
        <w:tc>
          <w:tcPr>
            <w:tcW w:w="1083" w:type="pct"/>
            <w:shd w:val="clear" w:color="auto" w:fill="auto"/>
            <w:noWrap/>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5</w:t>
            </w:r>
          </w:p>
        </w:tc>
        <w:tc>
          <w:tcPr>
            <w:tcW w:w="1000" w:type="pct"/>
            <w:shd w:val="clear" w:color="auto" w:fill="auto"/>
            <w:noWrap/>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42</w:t>
            </w:r>
          </w:p>
        </w:tc>
      </w:tr>
      <w:tr w:rsidR="00CC18AA" w:rsidRPr="00DA5A29" w:rsidTr="00CC18AA">
        <w:trPr>
          <w:trHeight w:val="300"/>
        </w:trPr>
        <w:tc>
          <w:tcPr>
            <w:tcW w:w="1105" w:type="pct"/>
            <w:shd w:val="clear" w:color="auto" w:fill="auto"/>
            <w:noWrap/>
            <w:hideMark/>
          </w:tcPr>
          <w:p w:rsidR="00DB4624" w:rsidRPr="00CC18AA" w:rsidRDefault="00DB4624" w:rsidP="00CC18AA">
            <w:pPr>
              <w:spacing w:before="60" w:after="60"/>
              <w:jc w:val="left"/>
              <w:rPr>
                <w:rFonts w:cs="Arial"/>
                <w:bCs/>
                <w:color w:val="000000"/>
                <w:szCs w:val="20"/>
                <w:lang w:val="en-US" w:eastAsia="en-AU"/>
              </w:rPr>
            </w:pPr>
            <w:r w:rsidRPr="00CC18AA">
              <w:rPr>
                <w:rFonts w:cs="Arial"/>
                <w:bCs/>
                <w:color w:val="000000"/>
                <w:szCs w:val="20"/>
                <w:lang w:val="en-US" w:eastAsia="en-AU"/>
              </w:rPr>
              <w:t>F.  Notommatidae</w:t>
            </w:r>
          </w:p>
        </w:tc>
        <w:tc>
          <w:tcPr>
            <w:tcW w:w="895" w:type="pct"/>
            <w:shd w:val="clear" w:color="auto" w:fill="auto"/>
            <w:noWrap/>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12.5</w:t>
            </w:r>
          </w:p>
        </w:tc>
        <w:tc>
          <w:tcPr>
            <w:tcW w:w="917" w:type="pct"/>
            <w:shd w:val="clear" w:color="auto" w:fill="auto"/>
            <w:noWrap/>
            <w:hideMark/>
          </w:tcPr>
          <w:p w:rsidR="00DB4624" w:rsidRPr="00CC18AA" w:rsidRDefault="00DB4624" w:rsidP="00CC18AA">
            <w:pPr>
              <w:spacing w:before="60" w:after="60"/>
              <w:jc w:val="center"/>
              <w:rPr>
                <w:rFonts w:cs="Arial"/>
                <w:b/>
                <w:bCs/>
                <w:color w:val="000000"/>
                <w:szCs w:val="20"/>
                <w:lang w:val="en-US" w:eastAsia="en-AU"/>
              </w:rPr>
            </w:pPr>
            <w:r w:rsidRPr="00CC18AA">
              <w:rPr>
                <w:rFonts w:cs="Arial"/>
                <w:b/>
                <w:bCs/>
                <w:color w:val="000000"/>
                <w:szCs w:val="20"/>
                <w:lang w:val="en-US" w:eastAsia="en-AU"/>
              </w:rPr>
              <w:t>24.0</w:t>
            </w:r>
          </w:p>
        </w:tc>
        <w:tc>
          <w:tcPr>
            <w:tcW w:w="1083" w:type="pct"/>
            <w:shd w:val="clear" w:color="auto" w:fill="auto"/>
            <w:noWrap/>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5</w:t>
            </w:r>
          </w:p>
        </w:tc>
        <w:tc>
          <w:tcPr>
            <w:tcW w:w="1000" w:type="pct"/>
            <w:shd w:val="clear" w:color="auto" w:fill="auto"/>
            <w:noWrap/>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48</w:t>
            </w:r>
          </w:p>
        </w:tc>
      </w:tr>
      <w:tr w:rsidR="00CC18AA" w:rsidRPr="00DA5A29" w:rsidTr="00CC18AA">
        <w:trPr>
          <w:trHeight w:val="315"/>
        </w:trPr>
        <w:tc>
          <w:tcPr>
            <w:tcW w:w="1105" w:type="pct"/>
            <w:shd w:val="clear" w:color="auto" w:fill="auto"/>
            <w:noWrap/>
            <w:hideMark/>
          </w:tcPr>
          <w:p w:rsidR="00DB4624" w:rsidRPr="00CC18AA" w:rsidRDefault="00DB4624" w:rsidP="00CC18AA">
            <w:pPr>
              <w:spacing w:before="60" w:after="60"/>
              <w:jc w:val="left"/>
              <w:rPr>
                <w:rFonts w:cs="Arial"/>
                <w:bCs/>
                <w:color w:val="000000"/>
                <w:szCs w:val="20"/>
                <w:lang w:val="en-US" w:eastAsia="en-AU"/>
              </w:rPr>
            </w:pPr>
            <w:r w:rsidRPr="00CC18AA">
              <w:rPr>
                <w:rFonts w:cs="Arial"/>
                <w:bCs/>
                <w:color w:val="000000"/>
                <w:szCs w:val="20"/>
                <w:lang w:val="en-US" w:eastAsia="en-AU"/>
              </w:rPr>
              <w:t>F. Macrothricidae</w:t>
            </w:r>
          </w:p>
        </w:tc>
        <w:tc>
          <w:tcPr>
            <w:tcW w:w="895" w:type="pct"/>
            <w:shd w:val="clear" w:color="auto" w:fill="auto"/>
            <w:noWrap/>
            <w:hideMark/>
          </w:tcPr>
          <w:p w:rsidR="00DB4624" w:rsidRPr="00CC18AA" w:rsidRDefault="00DB4624" w:rsidP="00CC18AA">
            <w:pPr>
              <w:spacing w:before="60" w:after="60"/>
              <w:jc w:val="center"/>
              <w:rPr>
                <w:rFonts w:cs="Arial"/>
                <w:b/>
                <w:bCs/>
                <w:color w:val="000000"/>
                <w:szCs w:val="20"/>
                <w:lang w:val="en-US" w:eastAsia="en-AU"/>
              </w:rPr>
            </w:pPr>
            <w:r w:rsidRPr="00CC18AA">
              <w:rPr>
                <w:rFonts w:cs="Arial"/>
                <w:b/>
                <w:bCs/>
                <w:color w:val="000000"/>
                <w:szCs w:val="20"/>
                <w:lang w:val="en-US" w:eastAsia="en-AU"/>
              </w:rPr>
              <w:t>13.2</w:t>
            </w:r>
          </w:p>
        </w:tc>
        <w:tc>
          <w:tcPr>
            <w:tcW w:w="917" w:type="pct"/>
            <w:shd w:val="clear" w:color="auto" w:fill="auto"/>
            <w:noWrap/>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11.6</w:t>
            </w:r>
          </w:p>
        </w:tc>
        <w:tc>
          <w:tcPr>
            <w:tcW w:w="1083" w:type="pct"/>
            <w:shd w:val="clear" w:color="auto" w:fill="auto"/>
            <w:noWrap/>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5</w:t>
            </w:r>
          </w:p>
        </w:tc>
        <w:tc>
          <w:tcPr>
            <w:tcW w:w="1000" w:type="pct"/>
            <w:shd w:val="clear" w:color="auto" w:fill="auto"/>
            <w:noWrap/>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53</w:t>
            </w:r>
          </w:p>
        </w:tc>
      </w:tr>
      <w:tr w:rsidR="00BD0A55" w:rsidRPr="00DA5A29" w:rsidTr="00CC18AA">
        <w:trPr>
          <w:trHeight w:val="315"/>
        </w:trPr>
        <w:tc>
          <w:tcPr>
            <w:tcW w:w="5000" w:type="pct"/>
            <w:gridSpan w:val="5"/>
            <w:shd w:val="clear" w:color="auto" w:fill="D9D9D9"/>
            <w:noWrap/>
          </w:tcPr>
          <w:p w:rsidR="00BD0A55" w:rsidRPr="00CC18AA" w:rsidRDefault="00BD0A55" w:rsidP="00CC18AA">
            <w:pPr>
              <w:spacing w:before="60" w:after="60"/>
              <w:jc w:val="center"/>
              <w:rPr>
                <w:rFonts w:cs="Arial"/>
                <w:bCs/>
                <w:color w:val="000000"/>
                <w:szCs w:val="20"/>
                <w:lang w:val="en-US" w:eastAsia="en-AU"/>
              </w:rPr>
            </w:pPr>
            <w:r w:rsidRPr="00CC18AA">
              <w:rPr>
                <w:rFonts w:cs="Arial"/>
                <w:bCs/>
                <w:color w:val="000000"/>
                <w:szCs w:val="20"/>
                <w:lang w:val="en-US" w:eastAsia="en-AU"/>
              </w:rPr>
              <w:t>Pelagic Habitat</w:t>
            </w:r>
          </w:p>
        </w:tc>
      </w:tr>
      <w:tr w:rsidR="00CC18AA" w:rsidRPr="00DA5A29" w:rsidTr="00CC18AA">
        <w:trPr>
          <w:trHeight w:val="300"/>
        </w:trPr>
        <w:tc>
          <w:tcPr>
            <w:tcW w:w="1105" w:type="pct"/>
            <w:vMerge w:val="restart"/>
            <w:shd w:val="clear" w:color="auto" w:fill="D9D9D9"/>
            <w:noWrap/>
            <w:vAlign w:val="center"/>
            <w:hideMark/>
          </w:tcPr>
          <w:p w:rsidR="00DB4624" w:rsidRPr="00CC18AA" w:rsidRDefault="00DB4624" w:rsidP="00CC18AA">
            <w:pPr>
              <w:spacing w:before="60" w:after="60"/>
              <w:jc w:val="center"/>
              <w:rPr>
                <w:rFonts w:cs="Arial"/>
                <w:bCs/>
                <w:color w:val="000000"/>
                <w:szCs w:val="20"/>
                <w:lang w:val="en-US" w:eastAsia="en-AU"/>
              </w:rPr>
            </w:pPr>
            <w:r w:rsidRPr="00CC18AA">
              <w:rPr>
                <w:rFonts w:cs="Arial"/>
                <w:bCs/>
                <w:color w:val="000000"/>
                <w:szCs w:val="20"/>
                <w:lang w:val="en-US" w:eastAsia="en-AU"/>
              </w:rPr>
              <w:t>Taxa</w:t>
            </w:r>
          </w:p>
        </w:tc>
        <w:tc>
          <w:tcPr>
            <w:tcW w:w="1812" w:type="pct"/>
            <w:gridSpan w:val="2"/>
            <w:shd w:val="clear" w:color="auto" w:fill="D9D9D9"/>
            <w:noWrap/>
            <w:vAlign w:val="center"/>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Average Abundance</w:t>
            </w:r>
          </w:p>
        </w:tc>
        <w:tc>
          <w:tcPr>
            <w:tcW w:w="1083" w:type="pct"/>
            <w:vMerge w:val="restart"/>
            <w:shd w:val="clear" w:color="auto" w:fill="D9D9D9"/>
            <w:noWrap/>
            <w:vAlign w:val="center"/>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Contribution %</w:t>
            </w:r>
          </w:p>
        </w:tc>
        <w:tc>
          <w:tcPr>
            <w:tcW w:w="1000" w:type="pct"/>
            <w:vMerge w:val="restart"/>
            <w:shd w:val="clear" w:color="auto" w:fill="D9D9D9"/>
            <w:noWrap/>
            <w:vAlign w:val="center"/>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Cumulative %</w:t>
            </w:r>
          </w:p>
        </w:tc>
      </w:tr>
      <w:tr w:rsidR="00CC18AA" w:rsidRPr="00DA5A29" w:rsidTr="00CC18AA">
        <w:trPr>
          <w:trHeight w:val="708"/>
        </w:trPr>
        <w:tc>
          <w:tcPr>
            <w:tcW w:w="1105" w:type="pct"/>
            <w:vMerge/>
            <w:shd w:val="clear" w:color="auto" w:fill="auto"/>
            <w:hideMark/>
          </w:tcPr>
          <w:p w:rsidR="00DB4624" w:rsidRPr="00CC18AA" w:rsidRDefault="00DB4624" w:rsidP="00CC18AA">
            <w:pPr>
              <w:spacing w:before="60" w:after="60"/>
              <w:jc w:val="left"/>
              <w:rPr>
                <w:rFonts w:cs="Arial"/>
                <w:bCs/>
                <w:color w:val="000000"/>
                <w:szCs w:val="20"/>
                <w:lang w:val="en-US" w:eastAsia="en-AU"/>
              </w:rPr>
            </w:pPr>
          </w:p>
        </w:tc>
        <w:tc>
          <w:tcPr>
            <w:tcW w:w="895" w:type="pct"/>
            <w:shd w:val="clear" w:color="auto" w:fill="D9D9D9"/>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River pelagic T1</w:t>
            </w:r>
          </w:p>
        </w:tc>
        <w:tc>
          <w:tcPr>
            <w:tcW w:w="917" w:type="pct"/>
            <w:shd w:val="clear" w:color="auto" w:fill="D9D9D9"/>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River pelagic T6, T7&amp;T8</w:t>
            </w:r>
          </w:p>
        </w:tc>
        <w:tc>
          <w:tcPr>
            <w:tcW w:w="1083" w:type="pct"/>
            <w:vMerge/>
            <w:shd w:val="clear" w:color="auto" w:fill="auto"/>
            <w:hideMark/>
          </w:tcPr>
          <w:p w:rsidR="00DB4624" w:rsidRPr="00CC18AA" w:rsidRDefault="00DB4624" w:rsidP="00CC18AA">
            <w:pPr>
              <w:spacing w:before="60" w:after="60"/>
              <w:jc w:val="left"/>
              <w:rPr>
                <w:rFonts w:cs="Arial"/>
                <w:color w:val="000000"/>
                <w:szCs w:val="20"/>
                <w:lang w:val="en-US" w:eastAsia="en-AU"/>
              </w:rPr>
            </w:pPr>
          </w:p>
        </w:tc>
        <w:tc>
          <w:tcPr>
            <w:tcW w:w="1000" w:type="pct"/>
            <w:vMerge/>
            <w:shd w:val="clear" w:color="auto" w:fill="auto"/>
            <w:hideMark/>
          </w:tcPr>
          <w:p w:rsidR="00DB4624" w:rsidRPr="00CC18AA" w:rsidRDefault="00DB4624" w:rsidP="00CC18AA">
            <w:pPr>
              <w:spacing w:before="60" w:after="60"/>
              <w:jc w:val="left"/>
              <w:rPr>
                <w:rFonts w:cs="Arial"/>
                <w:color w:val="000000"/>
                <w:szCs w:val="20"/>
                <w:lang w:val="en-US" w:eastAsia="en-AU"/>
              </w:rPr>
            </w:pPr>
          </w:p>
        </w:tc>
      </w:tr>
      <w:tr w:rsidR="00CC18AA" w:rsidRPr="00DA5A29" w:rsidTr="00CC18AA">
        <w:trPr>
          <w:trHeight w:val="300"/>
        </w:trPr>
        <w:tc>
          <w:tcPr>
            <w:tcW w:w="1105" w:type="pct"/>
            <w:shd w:val="clear" w:color="auto" w:fill="auto"/>
            <w:noWrap/>
            <w:hideMark/>
          </w:tcPr>
          <w:p w:rsidR="00DB4624" w:rsidRPr="00CC18AA" w:rsidRDefault="00DB4624" w:rsidP="00CC18AA">
            <w:pPr>
              <w:spacing w:before="60" w:after="60"/>
              <w:jc w:val="left"/>
              <w:rPr>
                <w:rFonts w:cs="Arial"/>
                <w:bCs/>
                <w:color w:val="000000"/>
                <w:szCs w:val="20"/>
                <w:lang w:val="en-US" w:eastAsia="en-AU"/>
              </w:rPr>
            </w:pPr>
            <w:r w:rsidRPr="00CC18AA">
              <w:rPr>
                <w:rFonts w:cs="Arial"/>
                <w:bCs/>
                <w:color w:val="000000"/>
                <w:szCs w:val="20"/>
                <w:lang w:val="en-US" w:eastAsia="en-AU"/>
              </w:rPr>
              <w:t>nauplii</w:t>
            </w:r>
          </w:p>
        </w:tc>
        <w:tc>
          <w:tcPr>
            <w:tcW w:w="895" w:type="pct"/>
            <w:shd w:val="clear" w:color="auto" w:fill="auto"/>
            <w:noWrap/>
            <w:hideMark/>
          </w:tcPr>
          <w:p w:rsidR="00DB4624" w:rsidRPr="00CC18AA" w:rsidRDefault="00DB4624" w:rsidP="00CC18AA">
            <w:pPr>
              <w:spacing w:before="60" w:after="60"/>
              <w:jc w:val="center"/>
              <w:rPr>
                <w:rFonts w:cs="Arial"/>
                <w:b/>
                <w:bCs/>
                <w:color w:val="000000"/>
                <w:szCs w:val="20"/>
                <w:lang w:val="en-US" w:eastAsia="en-AU"/>
              </w:rPr>
            </w:pPr>
            <w:r w:rsidRPr="00CC18AA">
              <w:rPr>
                <w:rFonts w:cs="Arial"/>
                <w:b/>
                <w:bCs/>
                <w:color w:val="000000"/>
                <w:szCs w:val="20"/>
                <w:lang w:val="en-US" w:eastAsia="en-AU"/>
              </w:rPr>
              <w:t>6.9</w:t>
            </w:r>
          </w:p>
        </w:tc>
        <w:tc>
          <w:tcPr>
            <w:tcW w:w="917" w:type="pct"/>
            <w:shd w:val="clear" w:color="auto" w:fill="auto"/>
            <w:noWrap/>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6.1</w:t>
            </w:r>
          </w:p>
        </w:tc>
        <w:tc>
          <w:tcPr>
            <w:tcW w:w="1083" w:type="pct"/>
            <w:shd w:val="clear" w:color="auto" w:fill="auto"/>
            <w:noWrap/>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13</w:t>
            </w:r>
          </w:p>
        </w:tc>
        <w:tc>
          <w:tcPr>
            <w:tcW w:w="1000" w:type="pct"/>
            <w:shd w:val="clear" w:color="auto" w:fill="auto"/>
            <w:noWrap/>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13</w:t>
            </w:r>
          </w:p>
        </w:tc>
      </w:tr>
      <w:tr w:rsidR="00CC18AA" w:rsidRPr="00DA5A29" w:rsidTr="00CC18AA">
        <w:trPr>
          <w:trHeight w:val="300"/>
        </w:trPr>
        <w:tc>
          <w:tcPr>
            <w:tcW w:w="1105" w:type="pct"/>
            <w:shd w:val="clear" w:color="auto" w:fill="auto"/>
            <w:noWrap/>
            <w:hideMark/>
          </w:tcPr>
          <w:p w:rsidR="00DB4624" w:rsidRPr="00CC18AA" w:rsidRDefault="00DB4624" w:rsidP="00CC18AA">
            <w:pPr>
              <w:spacing w:before="60" w:after="60"/>
              <w:jc w:val="left"/>
              <w:rPr>
                <w:rFonts w:cs="Arial"/>
                <w:bCs/>
                <w:color w:val="000000"/>
                <w:szCs w:val="20"/>
                <w:lang w:val="en-US" w:eastAsia="en-AU"/>
              </w:rPr>
            </w:pPr>
            <w:r w:rsidRPr="00CC18AA">
              <w:rPr>
                <w:rFonts w:cs="Arial"/>
                <w:bCs/>
                <w:color w:val="000000"/>
                <w:szCs w:val="20"/>
                <w:lang w:val="en-US" w:eastAsia="en-AU"/>
              </w:rPr>
              <w:t>F.  Synchaetidae</w:t>
            </w:r>
          </w:p>
        </w:tc>
        <w:tc>
          <w:tcPr>
            <w:tcW w:w="895" w:type="pct"/>
            <w:shd w:val="clear" w:color="auto" w:fill="auto"/>
            <w:noWrap/>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0.6</w:t>
            </w:r>
          </w:p>
        </w:tc>
        <w:tc>
          <w:tcPr>
            <w:tcW w:w="917" w:type="pct"/>
            <w:shd w:val="clear" w:color="auto" w:fill="auto"/>
            <w:noWrap/>
            <w:hideMark/>
          </w:tcPr>
          <w:p w:rsidR="00DB4624" w:rsidRPr="00CC18AA" w:rsidRDefault="00DB4624" w:rsidP="00CC18AA">
            <w:pPr>
              <w:spacing w:before="60" w:after="60"/>
              <w:jc w:val="center"/>
              <w:rPr>
                <w:rFonts w:cs="Arial"/>
                <w:b/>
                <w:bCs/>
                <w:color w:val="000000"/>
                <w:szCs w:val="20"/>
                <w:lang w:val="en-US" w:eastAsia="en-AU"/>
              </w:rPr>
            </w:pPr>
            <w:r w:rsidRPr="00CC18AA">
              <w:rPr>
                <w:rFonts w:cs="Arial"/>
                <w:b/>
                <w:bCs/>
                <w:color w:val="000000"/>
                <w:szCs w:val="20"/>
                <w:lang w:val="en-US" w:eastAsia="en-AU"/>
              </w:rPr>
              <w:t>5.7</w:t>
            </w:r>
          </w:p>
        </w:tc>
        <w:tc>
          <w:tcPr>
            <w:tcW w:w="1083" w:type="pct"/>
            <w:shd w:val="clear" w:color="auto" w:fill="auto"/>
            <w:noWrap/>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10</w:t>
            </w:r>
          </w:p>
        </w:tc>
        <w:tc>
          <w:tcPr>
            <w:tcW w:w="1000" w:type="pct"/>
            <w:shd w:val="clear" w:color="auto" w:fill="auto"/>
            <w:noWrap/>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22</w:t>
            </w:r>
          </w:p>
        </w:tc>
      </w:tr>
      <w:tr w:rsidR="00CC18AA" w:rsidRPr="00DA5A29" w:rsidTr="00CC18AA">
        <w:trPr>
          <w:trHeight w:val="300"/>
        </w:trPr>
        <w:tc>
          <w:tcPr>
            <w:tcW w:w="1105" w:type="pct"/>
            <w:shd w:val="clear" w:color="auto" w:fill="auto"/>
            <w:noWrap/>
            <w:hideMark/>
          </w:tcPr>
          <w:p w:rsidR="00DB4624" w:rsidRPr="00CC18AA" w:rsidRDefault="00DB4624" w:rsidP="00CC18AA">
            <w:pPr>
              <w:spacing w:before="60" w:after="60"/>
              <w:jc w:val="left"/>
              <w:rPr>
                <w:rFonts w:cs="Arial"/>
                <w:bCs/>
                <w:color w:val="000000"/>
                <w:szCs w:val="20"/>
                <w:lang w:val="en-US" w:eastAsia="en-AU"/>
              </w:rPr>
            </w:pPr>
            <w:r w:rsidRPr="00CC18AA">
              <w:rPr>
                <w:rFonts w:cs="Arial"/>
                <w:bCs/>
                <w:color w:val="000000"/>
                <w:szCs w:val="20"/>
                <w:lang w:val="en-US" w:eastAsia="en-AU"/>
              </w:rPr>
              <w:t>F.  Brachionidae</w:t>
            </w:r>
          </w:p>
        </w:tc>
        <w:tc>
          <w:tcPr>
            <w:tcW w:w="895" w:type="pct"/>
            <w:shd w:val="clear" w:color="auto" w:fill="auto"/>
            <w:noWrap/>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2.3</w:t>
            </w:r>
          </w:p>
        </w:tc>
        <w:tc>
          <w:tcPr>
            <w:tcW w:w="917" w:type="pct"/>
            <w:shd w:val="clear" w:color="auto" w:fill="auto"/>
            <w:noWrap/>
            <w:hideMark/>
          </w:tcPr>
          <w:p w:rsidR="00DB4624" w:rsidRPr="00CC18AA" w:rsidRDefault="00DB4624" w:rsidP="00CC18AA">
            <w:pPr>
              <w:spacing w:before="60" w:after="60"/>
              <w:jc w:val="center"/>
              <w:rPr>
                <w:rFonts w:cs="Arial"/>
                <w:b/>
                <w:bCs/>
                <w:color w:val="000000"/>
                <w:szCs w:val="20"/>
                <w:lang w:val="en-US" w:eastAsia="en-AU"/>
              </w:rPr>
            </w:pPr>
            <w:r w:rsidRPr="00CC18AA">
              <w:rPr>
                <w:rFonts w:cs="Arial"/>
                <w:b/>
                <w:bCs/>
                <w:color w:val="000000"/>
                <w:szCs w:val="20"/>
                <w:lang w:val="en-US" w:eastAsia="en-AU"/>
              </w:rPr>
              <w:t>6.4</w:t>
            </w:r>
          </w:p>
        </w:tc>
        <w:tc>
          <w:tcPr>
            <w:tcW w:w="1083" w:type="pct"/>
            <w:shd w:val="clear" w:color="auto" w:fill="auto"/>
            <w:noWrap/>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9</w:t>
            </w:r>
          </w:p>
        </w:tc>
        <w:tc>
          <w:tcPr>
            <w:tcW w:w="1000" w:type="pct"/>
            <w:shd w:val="clear" w:color="auto" w:fill="auto"/>
            <w:noWrap/>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31</w:t>
            </w:r>
          </w:p>
        </w:tc>
      </w:tr>
      <w:tr w:rsidR="00CC18AA" w:rsidRPr="00DA5A29" w:rsidTr="00CC18AA">
        <w:trPr>
          <w:trHeight w:val="300"/>
        </w:trPr>
        <w:tc>
          <w:tcPr>
            <w:tcW w:w="1105" w:type="pct"/>
            <w:shd w:val="clear" w:color="auto" w:fill="auto"/>
            <w:noWrap/>
            <w:hideMark/>
          </w:tcPr>
          <w:p w:rsidR="00DB4624" w:rsidRPr="00CC18AA" w:rsidRDefault="00DB4624" w:rsidP="00CC18AA">
            <w:pPr>
              <w:spacing w:before="60" w:after="60"/>
              <w:jc w:val="left"/>
              <w:rPr>
                <w:rFonts w:cs="Arial"/>
                <w:bCs/>
                <w:color w:val="000000"/>
                <w:szCs w:val="20"/>
                <w:lang w:val="en-US" w:eastAsia="en-AU"/>
              </w:rPr>
            </w:pPr>
            <w:r w:rsidRPr="00CC18AA">
              <w:rPr>
                <w:rFonts w:cs="Arial"/>
                <w:bCs/>
                <w:color w:val="000000"/>
                <w:szCs w:val="20"/>
                <w:lang w:val="en-US" w:eastAsia="en-AU"/>
              </w:rPr>
              <w:t>O. Calanoida</w:t>
            </w:r>
          </w:p>
        </w:tc>
        <w:tc>
          <w:tcPr>
            <w:tcW w:w="895" w:type="pct"/>
            <w:shd w:val="clear" w:color="auto" w:fill="auto"/>
            <w:noWrap/>
            <w:hideMark/>
          </w:tcPr>
          <w:p w:rsidR="00DB4624" w:rsidRPr="00CC18AA" w:rsidRDefault="00DB4624" w:rsidP="00CC18AA">
            <w:pPr>
              <w:spacing w:before="60" w:after="60"/>
              <w:jc w:val="center"/>
              <w:rPr>
                <w:rFonts w:cs="Arial"/>
                <w:b/>
                <w:bCs/>
                <w:color w:val="000000"/>
                <w:szCs w:val="20"/>
                <w:lang w:val="en-US" w:eastAsia="en-AU"/>
              </w:rPr>
            </w:pPr>
            <w:r w:rsidRPr="00CC18AA">
              <w:rPr>
                <w:rFonts w:cs="Arial"/>
                <w:b/>
                <w:bCs/>
                <w:color w:val="000000"/>
                <w:szCs w:val="20"/>
                <w:lang w:val="en-US" w:eastAsia="en-AU"/>
              </w:rPr>
              <w:t>4.0</w:t>
            </w:r>
          </w:p>
        </w:tc>
        <w:tc>
          <w:tcPr>
            <w:tcW w:w="917" w:type="pct"/>
            <w:shd w:val="clear" w:color="auto" w:fill="auto"/>
            <w:noWrap/>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1.8</w:t>
            </w:r>
          </w:p>
        </w:tc>
        <w:tc>
          <w:tcPr>
            <w:tcW w:w="1083" w:type="pct"/>
            <w:shd w:val="clear" w:color="auto" w:fill="auto"/>
            <w:noWrap/>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8</w:t>
            </w:r>
          </w:p>
        </w:tc>
        <w:tc>
          <w:tcPr>
            <w:tcW w:w="1000" w:type="pct"/>
            <w:shd w:val="clear" w:color="auto" w:fill="auto"/>
            <w:noWrap/>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39</w:t>
            </w:r>
          </w:p>
        </w:tc>
      </w:tr>
      <w:tr w:rsidR="00CC18AA" w:rsidRPr="00DA5A29" w:rsidTr="00CC18AA">
        <w:trPr>
          <w:trHeight w:val="300"/>
        </w:trPr>
        <w:tc>
          <w:tcPr>
            <w:tcW w:w="1105" w:type="pct"/>
            <w:shd w:val="clear" w:color="auto" w:fill="auto"/>
            <w:noWrap/>
            <w:hideMark/>
          </w:tcPr>
          <w:p w:rsidR="00DB4624" w:rsidRPr="00CC18AA" w:rsidRDefault="00DB4624" w:rsidP="00CC18AA">
            <w:pPr>
              <w:spacing w:before="60" w:after="60"/>
              <w:jc w:val="left"/>
              <w:rPr>
                <w:rFonts w:cs="Arial"/>
                <w:bCs/>
                <w:color w:val="000000"/>
                <w:szCs w:val="20"/>
                <w:lang w:val="en-US" w:eastAsia="en-AU"/>
              </w:rPr>
            </w:pPr>
            <w:r w:rsidRPr="00CC18AA">
              <w:rPr>
                <w:rFonts w:cs="Arial"/>
                <w:bCs/>
                <w:color w:val="000000"/>
                <w:szCs w:val="20"/>
                <w:lang w:val="en-US" w:eastAsia="en-AU"/>
              </w:rPr>
              <w:t>F.  Filiniidae</w:t>
            </w:r>
          </w:p>
        </w:tc>
        <w:tc>
          <w:tcPr>
            <w:tcW w:w="895" w:type="pct"/>
            <w:shd w:val="clear" w:color="auto" w:fill="auto"/>
            <w:noWrap/>
            <w:hideMark/>
          </w:tcPr>
          <w:p w:rsidR="00DB4624" w:rsidRPr="00CC18AA" w:rsidRDefault="00DB4624" w:rsidP="00CC18AA">
            <w:pPr>
              <w:spacing w:before="60" w:after="60"/>
              <w:jc w:val="center"/>
              <w:rPr>
                <w:rFonts w:cs="Arial"/>
                <w:b/>
                <w:bCs/>
                <w:color w:val="000000"/>
                <w:szCs w:val="20"/>
                <w:lang w:val="en-US" w:eastAsia="en-AU"/>
              </w:rPr>
            </w:pPr>
            <w:r w:rsidRPr="00CC18AA">
              <w:rPr>
                <w:rFonts w:cs="Arial"/>
                <w:b/>
                <w:bCs/>
                <w:color w:val="000000"/>
                <w:szCs w:val="20"/>
                <w:lang w:val="en-US" w:eastAsia="en-AU"/>
              </w:rPr>
              <w:t>3.2</w:t>
            </w:r>
          </w:p>
        </w:tc>
        <w:tc>
          <w:tcPr>
            <w:tcW w:w="917" w:type="pct"/>
            <w:shd w:val="clear" w:color="auto" w:fill="auto"/>
            <w:noWrap/>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2.9</w:t>
            </w:r>
          </w:p>
        </w:tc>
        <w:tc>
          <w:tcPr>
            <w:tcW w:w="1083" w:type="pct"/>
            <w:shd w:val="clear" w:color="auto" w:fill="auto"/>
            <w:noWrap/>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7</w:t>
            </w:r>
          </w:p>
        </w:tc>
        <w:tc>
          <w:tcPr>
            <w:tcW w:w="1000" w:type="pct"/>
            <w:shd w:val="clear" w:color="auto" w:fill="auto"/>
            <w:noWrap/>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46</w:t>
            </w:r>
          </w:p>
        </w:tc>
      </w:tr>
      <w:tr w:rsidR="00CC18AA" w:rsidRPr="00DA5A29" w:rsidTr="00CC18AA">
        <w:trPr>
          <w:trHeight w:val="300"/>
        </w:trPr>
        <w:tc>
          <w:tcPr>
            <w:tcW w:w="1105" w:type="pct"/>
            <w:shd w:val="clear" w:color="auto" w:fill="auto"/>
            <w:noWrap/>
            <w:hideMark/>
          </w:tcPr>
          <w:p w:rsidR="00DB4624" w:rsidRPr="00CC18AA" w:rsidRDefault="00DB4624" w:rsidP="00CC18AA">
            <w:pPr>
              <w:spacing w:before="60" w:after="60"/>
              <w:jc w:val="left"/>
              <w:rPr>
                <w:rFonts w:cs="Arial"/>
                <w:bCs/>
                <w:color w:val="000000"/>
                <w:szCs w:val="20"/>
                <w:lang w:val="en-US" w:eastAsia="en-AU"/>
              </w:rPr>
            </w:pPr>
            <w:r w:rsidRPr="00CC18AA">
              <w:rPr>
                <w:rFonts w:cs="Arial"/>
                <w:bCs/>
                <w:color w:val="000000"/>
                <w:szCs w:val="20"/>
                <w:lang w:val="en-US" w:eastAsia="en-AU"/>
              </w:rPr>
              <w:t>O. Cyclopoida</w:t>
            </w:r>
          </w:p>
        </w:tc>
        <w:tc>
          <w:tcPr>
            <w:tcW w:w="895" w:type="pct"/>
            <w:shd w:val="clear" w:color="auto" w:fill="auto"/>
            <w:noWrap/>
            <w:hideMark/>
          </w:tcPr>
          <w:p w:rsidR="00DB4624" w:rsidRPr="00CC18AA" w:rsidRDefault="00DB4624" w:rsidP="00CC18AA">
            <w:pPr>
              <w:spacing w:before="60" w:after="60"/>
              <w:jc w:val="center"/>
              <w:rPr>
                <w:rFonts w:cs="Arial"/>
                <w:b/>
                <w:bCs/>
                <w:color w:val="000000"/>
                <w:szCs w:val="20"/>
                <w:lang w:val="en-US" w:eastAsia="en-AU"/>
              </w:rPr>
            </w:pPr>
            <w:r w:rsidRPr="00CC18AA">
              <w:rPr>
                <w:rFonts w:cs="Arial"/>
                <w:b/>
                <w:bCs/>
                <w:color w:val="000000"/>
                <w:szCs w:val="20"/>
                <w:lang w:val="en-US" w:eastAsia="en-AU"/>
              </w:rPr>
              <w:t>2.6</w:t>
            </w:r>
          </w:p>
        </w:tc>
        <w:tc>
          <w:tcPr>
            <w:tcW w:w="917" w:type="pct"/>
            <w:shd w:val="clear" w:color="auto" w:fill="auto"/>
            <w:noWrap/>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2.2</w:t>
            </w:r>
          </w:p>
        </w:tc>
        <w:tc>
          <w:tcPr>
            <w:tcW w:w="1083" w:type="pct"/>
            <w:shd w:val="clear" w:color="auto" w:fill="auto"/>
            <w:noWrap/>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6</w:t>
            </w:r>
          </w:p>
        </w:tc>
        <w:tc>
          <w:tcPr>
            <w:tcW w:w="1000" w:type="pct"/>
            <w:shd w:val="clear" w:color="auto" w:fill="auto"/>
            <w:noWrap/>
            <w:hideMark/>
          </w:tcPr>
          <w:p w:rsidR="00DB4624" w:rsidRPr="00CC18AA" w:rsidRDefault="00DB4624" w:rsidP="00CC18AA">
            <w:pPr>
              <w:spacing w:before="60" w:after="60"/>
              <w:jc w:val="center"/>
              <w:rPr>
                <w:rFonts w:cs="Arial"/>
                <w:color w:val="000000"/>
                <w:szCs w:val="20"/>
                <w:lang w:val="en-US" w:eastAsia="en-AU"/>
              </w:rPr>
            </w:pPr>
            <w:r w:rsidRPr="00CC18AA">
              <w:rPr>
                <w:rFonts w:cs="Arial"/>
                <w:color w:val="000000"/>
                <w:szCs w:val="20"/>
                <w:lang w:val="en-US" w:eastAsia="en-AU"/>
              </w:rPr>
              <w:t>52</w:t>
            </w:r>
          </w:p>
        </w:tc>
      </w:tr>
    </w:tbl>
    <w:p w:rsidR="00DB4624" w:rsidRDefault="00DB4624" w:rsidP="00CD2D1C">
      <w:pPr>
        <w:pStyle w:val="Heading7"/>
      </w:pPr>
      <w:r>
        <w:t>Discussion</w:t>
      </w:r>
    </w:p>
    <w:p w:rsidR="00BB7F34" w:rsidRDefault="00BB7F34" w:rsidP="000B7890">
      <w:r>
        <w:t xml:space="preserve">Microinvertebrate sampling in the lower Gwydir successfully captured the inundation and contraction cycle of Commonwealth environmental watering actions as well as local rainfall events in the Selected Area. </w:t>
      </w:r>
      <w:r w:rsidR="008E049F">
        <w:t xml:space="preserve"> </w:t>
      </w:r>
      <w:r>
        <w:t xml:space="preserve">During late September, the river and wetland systems in the Selected Area experienced low and stable flow condition after local rainfall events in late August, representing conditions prior to environmental watering actions. </w:t>
      </w:r>
      <w:r w:rsidR="008E049F">
        <w:t xml:space="preserve"> </w:t>
      </w:r>
      <w:r>
        <w:t>The early Fe</w:t>
      </w:r>
      <w:r w:rsidR="000B7890">
        <w:t>bruary sampling captured the ‘</w:t>
      </w:r>
      <w:r>
        <w:t xml:space="preserve">wet’ phase from ongoing environmental watering actions. </w:t>
      </w:r>
      <w:r w:rsidR="008E049F">
        <w:t xml:space="preserve"> </w:t>
      </w:r>
      <w:r>
        <w:t xml:space="preserve">Mid-March sampling was in the contraction cycle of residual environmental water when some of the river channel contracted into disconnected pools, and water levels in the Gingham </w:t>
      </w:r>
      <w:r w:rsidR="001C3C04">
        <w:t>watercourse</w:t>
      </w:r>
      <w:r>
        <w:t xml:space="preserve"> had begun to recede. </w:t>
      </w:r>
      <w:r w:rsidR="008E049F">
        <w:t xml:space="preserve"> </w:t>
      </w:r>
      <w:r>
        <w:t xml:space="preserve">The late April sampling captured very low flow conditions in the Selected Area, evidenced by the Mehi River and Moomin Creek contracting to disconnected pools and the edge water couch sites in the Gingham </w:t>
      </w:r>
      <w:r w:rsidR="001C3C04">
        <w:t>watercourse</w:t>
      </w:r>
      <w:r>
        <w:t xml:space="preserve"> drying. </w:t>
      </w:r>
      <w:r w:rsidR="008E049F">
        <w:t xml:space="preserve"> </w:t>
      </w:r>
      <w:r>
        <w:t>However, a small environmental water release in late April influenced the water quality, metabolism and microinvertebrates in Gwydir River chann</w:t>
      </w:r>
      <w:r w:rsidR="00780059">
        <w:t>el upstream and downstream of Ta</w:t>
      </w:r>
      <w:r>
        <w:t>reelaroi.</w:t>
      </w:r>
    </w:p>
    <w:p w:rsidR="00BB7F34" w:rsidRDefault="00BB7F34" w:rsidP="000B7890">
      <w:r>
        <w:t>All zones within the Selected Area had exceptionally high nitrogen and phosphorus concentrations consistent with observations from the 2014-15</w:t>
      </w:r>
      <w:r w:rsidR="000B7890">
        <w:t xml:space="preserve"> watering year. </w:t>
      </w:r>
      <w:r w:rsidR="008E049F">
        <w:t xml:space="preserve"> </w:t>
      </w:r>
      <w:r w:rsidR="000B7890">
        <w:t>In particular, t</w:t>
      </w:r>
      <w:r>
        <w:t xml:space="preserve">otal </w:t>
      </w:r>
      <w:r w:rsidR="000B7890">
        <w:t>nitrogen and n</w:t>
      </w:r>
      <w:r>
        <w:t xml:space="preserve">itrate-nitrite concentrations at the Gingham </w:t>
      </w:r>
      <w:r w:rsidR="001C3C04">
        <w:t>watercourse</w:t>
      </w:r>
      <w:r>
        <w:t xml:space="preserve"> were 12</w:t>
      </w:r>
      <w:r w:rsidR="000B7890">
        <w:t xml:space="preserve"> times</w:t>
      </w:r>
      <w:r>
        <w:t xml:space="preserve"> higher than the ANZECC water</w:t>
      </w:r>
      <w:r w:rsidR="000B7890">
        <w:t xml:space="preserve"> quality guideline. Similarly, t</w:t>
      </w:r>
      <w:r>
        <w:t xml:space="preserve">otal </w:t>
      </w:r>
      <w:r w:rsidR="000B7890">
        <w:t>phosphorus and f</w:t>
      </w:r>
      <w:r>
        <w:t xml:space="preserve">ilterable </w:t>
      </w:r>
      <w:r w:rsidR="000B7890">
        <w:t>reactive p</w:t>
      </w:r>
      <w:r>
        <w:t>hosphorus concentrations in the Mehi River were 6</w:t>
      </w:r>
      <w:r w:rsidR="000B7890">
        <w:t xml:space="preserve"> times</w:t>
      </w:r>
      <w:r>
        <w:t xml:space="preserve"> higher than the ANZECC water quality guideline.</w:t>
      </w:r>
      <w:r w:rsidR="008E049F">
        <w:t xml:space="preserve"> </w:t>
      </w:r>
      <w:r>
        <w:t xml:space="preserve"> The highest concentrations of nutrients were generally recorded in the contraction phase suggesting the evapoconcentration of nutrients as water levels recede.</w:t>
      </w:r>
      <w:r w:rsidR="008E049F">
        <w:t xml:space="preserve"> </w:t>
      </w:r>
      <w:r>
        <w:t xml:space="preserve"> In contrast, </w:t>
      </w:r>
      <w:r w:rsidR="000B7890">
        <w:t>n</w:t>
      </w:r>
      <w:r>
        <w:t xml:space="preserve">itrogen concentrations of over 6000 ug/L were recorded in the Gingham </w:t>
      </w:r>
      <w:r w:rsidR="001C3C04">
        <w:t>watercourse</w:t>
      </w:r>
      <w:r>
        <w:t xml:space="preserve"> prior to </w:t>
      </w:r>
      <w:r w:rsidR="006C0AD3">
        <w:t>environmental water</w:t>
      </w:r>
      <w:r>
        <w:t xml:space="preserve"> delivery, identifying the potential for </w:t>
      </w:r>
      <w:r w:rsidR="006C0AD3">
        <w:t>environmental water</w:t>
      </w:r>
      <w:r>
        <w:t xml:space="preserve"> to also dilute potentially poor water quality. </w:t>
      </w:r>
      <w:r w:rsidR="008E049F">
        <w:t xml:space="preserve"> </w:t>
      </w:r>
      <w:r w:rsidR="000B7890">
        <w:t>W</w:t>
      </w:r>
      <w:r>
        <w:t xml:space="preserve">atercourse nutrient concentrations were consistently higher than in river sites (even those occurring as disconnected pools), reinforcing </w:t>
      </w:r>
      <w:r w:rsidR="000B7890">
        <w:t xml:space="preserve">the role of </w:t>
      </w:r>
      <w:r>
        <w:t xml:space="preserve">wetlands as a long term sink for nutrients. </w:t>
      </w:r>
      <w:r w:rsidR="008E049F">
        <w:t xml:space="preserve"> </w:t>
      </w:r>
      <w:r>
        <w:t xml:space="preserve">The response of algal biomass </w:t>
      </w:r>
      <w:r w:rsidR="000B7890">
        <w:t>(</w:t>
      </w:r>
      <w:r>
        <w:t xml:space="preserve">measured as </w:t>
      </w:r>
      <w:r w:rsidR="000B7890">
        <w:t>c</w:t>
      </w:r>
      <w:r>
        <w:t xml:space="preserve">hlorophyll </w:t>
      </w:r>
      <w:r w:rsidRPr="004F3738">
        <w:rPr>
          <w:i/>
        </w:rPr>
        <w:t>a</w:t>
      </w:r>
      <w:r w:rsidR="000B7890" w:rsidRPr="000B7890">
        <w:t>)</w:t>
      </w:r>
      <w:r>
        <w:t xml:space="preserve"> to shifts in nutrient concentrations were less clear, and</w:t>
      </w:r>
      <w:r w:rsidR="000B7890">
        <w:t xml:space="preserve"> appear to better reflect short-</w:t>
      </w:r>
      <w:r>
        <w:t>term changes in hydrology that either dilute or evapoconcentrate nutrients, overlying the</w:t>
      </w:r>
      <w:r w:rsidR="000B7890">
        <w:t>-</w:t>
      </w:r>
      <w:r>
        <w:t xml:space="preserve">long term patterns of nutrient storage in wetland and watercourse systems. </w:t>
      </w:r>
    </w:p>
    <w:p w:rsidR="00BB7F34" w:rsidRDefault="00BB7F34" w:rsidP="000B7890">
      <w:r>
        <w:t xml:space="preserve">The increase in rates of GPP and ER correspond to higher carbon and phosphorus availability in the </w:t>
      </w:r>
      <w:r w:rsidR="000B7890">
        <w:t>‘</w:t>
      </w:r>
      <w:r>
        <w:t xml:space="preserve">wet’ phase, which are either </w:t>
      </w:r>
      <w:r w:rsidR="000B7890">
        <w:t>transported</w:t>
      </w:r>
      <w:r>
        <w:t xml:space="preserve"> along with the environmental water or released in situ from freshly inundated sediments. </w:t>
      </w:r>
      <w:r w:rsidR="008E049F">
        <w:t xml:space="preserve"> </w:t>
      </w:r>
      <w:r>
        <w:t xml:space="preserve">This pattern is consistent among sites and suggests the management of carbon or phosphorus concentrations will regulate metabolism in these systems. </w:t>
      </w:r>
      <w:r w:rsidR="008E049F">
        <w:t xml:space="preserve"> </w:t>
      </w:r>
      <w:r>
        <w:t xml:space="preserve">Consistent with nutrient concentrations, wetland and watercourse habitats had higher rates of GPP and NPP. </w:t>
      </w:r>
      <w:r w:rsidR="008E049F">
        <w:t xml:space="preserve"> </w:t>
      </w:r>
      <w:r>
        <w:t xml:space="preserve">These shallow and no flow environments with long water residence times in the Gingham </w:t>
      </w:r>
      <w:r w:rsidR="001C3C04">
        <w:t>watercourse</w:t>
      </w:r>
      <w:r w:rsidR="000B7890">
        <w:t xml:space="preserve"> provide ideal conditions to</w:t>
      </w:r>
      <w:r>
        <w:t xml:space="preserve"> improv</w:t>
      </w:r>
      <w:r w:rsidR="000B7890">
        <w:t>e</w:t>
      </w:r>
      <w:r>
        <w:t xml:space="preserve"> </w:t>
      </w:r>
      <w:r w:rsidR="000B7890">
        <w:t>light penetration and regenerate</w:t>
      </w:r>
      <w:r>
        <w:t xml:space="preserve"> inorganic nutrients through anoxic sediment processes to stimulate </w:t>
      </w:r>
      <w:r w:rsidR="000B7890">
        <w:t>algal</w:t>
      </w:r>
      <w:r>
        <w:t xml:space="preserve"> productivity. </w:t>
      </w:r>
    </w:p>
    <w:p w:rsidR="00BB7F34" w:rsidRDefault="00BB7F34" w:rsidP="000B7890">
      <w:r>
        <w:t>All sites and sampling occasions</w:t>
      </w:r>
      <w:r w:rsidRPr="00882E6F">
        <w:t xml:space="preserve"> </w:t>
      </w:r>
      <w:r>
        <w:t>were net heterotrophic as the rates of respiration exceeded primary production (except Gin</w:t>
      </w:r>
      <w:r w:rsidR="006C0AD3">
        <w:t>g</w:t>
      </w:r>
      <w:r>
        <w:t xml:space="preserve">ham </w:t>
      </w:r>
      <w:r w:rsidR="001C3C04">
        <w:t>watercourse</w:t>
      </w:r>
      <w:r w:rsidR="000B7890">
        <w:t xml:space="preserve"> during the contraction phase</w:t>
      </w:r>
      <w:r>
        <w:t xml:space="preserve">). </w:t>
      </w:r>
      <w:r w:rsidR="008E049F">
        <w:t xml:space="preserve"> </w:t>
      </w:r>
      <w:r w:rsidRPr="00741587">
        <w:t>It is common</w:t>
      </w:r>
      <w:r>
        <w:t xml:space="preserve">ly accepted that </w:t>
      </w:r>
      <w:r w:rsidRPr="00741587">
        <w:t xml:space="preserve">large rivers </w:t>
      </w:r>
      <w:r>
        <w:t xml:space="preserve">and terminal wetlands are </w:t>
      </w:r>
      <w:r w:rsidRPr="00741587">
        <w:t xml:space="preserve">net </w:t>
      </w:r>
      <w:r w:rsidR="00561C43" w:rsidRPr="00741587">
        <w:t>heterotrophic</w:t>
      </w:r>
      <w:r w:rsidRPr="00741587">
        <w:t xml:space="preserve"> (Kobayashi et al</w:t>
      </w:r>
      <w:r>
        <w:t>.</w:t>
      </w:r>
      <w:r w:rsidRPr="00741587">
        <w:t xml:space="preserve"> 2011)</w:t>
      </w:r>
      <w:r>
        <w:t xml:space="preserve">, and the </w:t>
      </w:r>
      <w:r w:rsidR="001C3C04">
        <w:t>lower</w:t>
      </w:r>
      <w:r>
        <w:t xml:space="preserve"> Gwydir conforms to this model irrespective of water depth or volume, or time of year</w:t>
      </w:r>
      <w:r w:rsidRPr="00741587">
        <w:t>.</w:t>
      </w:r>
      <w:r>
        <w:t xml:space="preserve"> </w:t>
      </w:r>
      <w:r w:rsidR="008E049F">
        <w:t xml:space="preserve"> </w:t>
      </w:r>
      <w:r>
        <w:t xml:space="preserve">This result reflects the dominance of the microbial loop and decomposer pathways either through pelagic decomposition of DOC or benthic decomposition of organic matter deposited from wetland macrophyte productivity.  Therefore, </w:t>
      </w:r>
      <w:r w:rsidR="006C0AD3">
        <w:t>environmental water</w:t>
      </w:r>
      <w:r>
        <w:t xml:space="preserve"> can </w:t>
      </w:r>
      <w:r w:rsidR="00C71D2B">
        <w:t xml:space="preserve">help to </w:t>
      </w:r>
      <w:r>
        <w:t>foster</w:t>
      </w:r>
      <w:r w:rsidR="00C71D2B">
        <w:t xml:space="preserve"> </w:t>
      </w:r>
      <w:r>
        <w:t>these processes through the longitudinal delivery of DOC to wetlands, and promot</w:t>
      </w:r>
      <w:r w:rsidR="00C71D2B">
        <w:t>e</w:t>
      </w:r>
      <w:r>
        <w:t xml:space="preserve"> wetland vegetation growth and inundat</w:t>
      </w:r>
      <w:r w:rsidR="00C71D2B">
        <w:t>ion of</w:t>
      </w:r>
      <w:r>
        <w:t xml:space="preserve"> organic sediments. </w:t>
      </w:r>
    </w:p>
    <w:p w:rsidR="00BB7F34" w:rsidRDefault="00BB7F34" w:rsidP="000B7890">
      <w:r>
        <w:t xml:space="preserve">Microinvertebrate densities in both benthic and pelagic habitats were substantially higher </w:t>
      </w:r>
      <w:r w:rsidR="00C71D2B">
        <w:t>at the end of the sampling period</w:t>
      </w:r>
      <w:r>
        <w:t xml:space="preserve"> when systems </w:t>
      </w:r>
      <w:r w:rsidR="00C71D2B">
        <w:t>had</w:t>
      </w:r>
      <w:r>
        <w:t xml:space="preserve"> contracted to remnant pools. </w:t>
      </w:r>
      <w:r w:rsidR="008E049F">
        <w:t xml:space="preserve"> </w:t>
      </w:r>
      <w:r>
        <w:t xml:space="preserve">In contrast, the diversity of microinvertebrates was enhanced following inundation by environmental water. </w:t>
      </w:r>
      <w:r w:rsidR="008E049F">
        <w:t xml:space="preserve"> </w:t>
      </w:r>
      <w:r>
        <w:t>Densities and diversity were consistently higher in wetland</w:t>
      </w:r>
      <w:r w:rsidR="00C71D2B">
        <w:t>s</w:t>
      </w:r>
      <w:r>
        <w:t xml:space="preserve"> compared with river site</w:t>
      </w:r>
      <w:r w:rsidR="006C0AD3">
        <w:t>s</w:t>
      </w:r>
      <w:r>
        <w:t xml:space="preserve">. </w:t>
      </w:r>
      <w:r w:rsidR="008E049F">
        <w:t xml:space="preserve"> </w:t>
      </w:r>
      <w:r>
        <w:t xml:space="preserve">Benthic habitats </w:t>
      </w:r>
      <w:r w:rsidR="006C0AD3">
        <w:t xml:space="preserve">had </w:t>
      </w:r>
      <w:r>
        <w:t xml:space="preserve">consistently high abundances but low diversity, compared with pelagic microinvertebrates that had higher diversities and low densities. </w:t>
      </w:r>
      <w:r w:rsidR="008E049F">
        <w:t xml:space="preserve"> </w:t>
      </w:r>
      <w:r>
        <w:t>This highlights the role environmental watering can play</w:t>
      </w:r>
      <w:r w:rsidR="00C71D2B">
        <w:t xml:space="preserve"> to i</w:t>
      </w:r>
      <w:r>
        <w:t>nfluenc</w:t>
      </w:r>
      <w:r w:rsidR="00C71D2B">
        <w:t>e</w:t>
      </w:r>
      <w:r>
        <w:t xml:space="preserve"> both the depth and extent of wetland systems that will each contribute to enhanc</w:t>
      </w:r>
      <w:r w:rsidR="00C71D2B">
        <w:t>e</w:t>
      </w:r>
      <w:r>
        <w:t xml:space="preserve"> microinvertebrate d</w:t>
      </w:r>
      <w:r w:rsidR="00C71D2B">
        <w:t>ensity</w:t>
      </w:r>
      <w:r>
        <w:t xml:space="preserve"> and diversity. </w:t>
      </w:r>
      <w:r w:rsidR="008E049F">
        <w:t xml:space="preserve"> </w:t>
      </w:r>
      <w:r>
        <w:t xml:space="preserve">Similarly, microinvertebrate community composition was significantly different in T4 (more diversity and density) between the Gwydir receiving environmental water and the Mehi and Moomin Rivers that were contracting to disconnected pools. </w:t>
      </w:r>
    </w:p>
    <w:p w:rsidR="00DB4624" w:rsidRDefault="00DB4624" w:rsidP="00CD2D1C">
      <w:pPr>
        <w:pStyle w:val="Heading7"/>
      </w:pPr>
      <w:r>
        <w:t>Conclusion</w:t>
      </w:r>
    </w:p>
    <w:p w:rsidR="00DB4624" w:rsidRDefault="00BB7F34" w:rsidP="000B7890">
      <w:r>
        <w:t>The delivery of Commonwealth e</w:t>
      </w:r>
      <w:r w:rsidRPr="008012B1">
        <w:t xml:space="preserve">nvironmental water </w:t>
      </w:r>
      <w:r w:rsidR="006C0AD3">
        <w:t>to the</w:t>
      </w:r>
      <w:r>
        <w:t xml:space="preserve"> Gwydir </w:t>
      </w:r>
      <w:r w:rsidR="006C0AD3">
        <w:t xml:space="preserve">river system </w:t>
      </w:r>
      <w:r>
        <w:t xml:space="preserve">Selected Area resulted in a pulse of carbon and phosphorus concentrations that stimulated rates of both primary and </w:t>
      </w:r>
      <w:r w:rsidRPr="008012B1">
        <w:t>microbial productivity,</w:t>
      </w:r>
      <w:r>
        <w:t xml:space="preserve"> yet resulted in a negative net production that was evident throughout all periods of inundation. </w:t>
      </w:r>
      <w:r w:rsidR="008E049F">
        <w:t xml:space="preserve"> </w:t>
      </w:r>
      <w:r>
        <w:t xml:space="preserve">Wetland and </w:t>
      </w:r>
      <w:r w:rsidR="001C3C04">
        <w:t>watercourse</w:t>
      </w:r>
      <w:r>
        <w:t xml:space="preserve"> systems </w:t>
      </w:r>
      <w:r w:rsidR="00C71D2B">
        <w:t xml:space="preserve">had </w:t>
      </w:r>
      <w:r>
        <w:t xml:space="preserve">significantly higher nutrient and algal </w:t>
      </w:r>
      <w:r w:rsidR="00C71D2B">
        <w:t xml:space="preserve">levels </w:t>
      </w:r>
      <w:r>
        <w:t xml:space="preserve">and microinvertebrate production compared with river sites, reinforcing the importance of environmental water to promote </w:t>
      </w:r>
      <w:r w:rsidR="00C71D2B">
        <w:t xml:space="preserve">the </w:t>
      </w:r>
      <w:r>
        <w:t xml:space="preserve">regional diversity </w:t>
      </w:r>
      <w:r w:rsidR="00C71D2B">
        <w:t>of</w:t>
      </w:r>
      <w:r>
        <w:t xml:space="preserve"> biota. </w:t>
      </w:r>
      <w:r w:rsidR="008E049F">
        <w:t xml:space="preserve"> </w:t>
      </w:r>
      <w:r>
        <w:t xml:space="preserve">This increased productivity further supported secondary production measured as microinvertebrate density, with the delivery of Commonwealth environmental increasing microinvertebrate diversity and therefore potential food resources for fish. </w:t>
      </w:r>
    </w:p>
    <w:p w:rsidR="00DB4624" w:rsidRDefault="00DB4624" w:rsidP="00CD2D1C">
      <w:pPr>
        <w:pStyle w:val="Heading7"/>
      </w:pPr>
      <w:r>
        <w:t>References</w:t>
      </w:r>
    </w:p>
    <w:p w:rsidR="00DB4624" w:rsidRDefault="00DB4624" w:rsidP="00DB4624">
      <w:pPr>
        <w:jc w:val="left"/>
      </w:pPr>
      <w:r>
        <w:t>Cl</w:t>
      </w:r>
      <w:r w:rsidR="009F0217">
        <w:t>arke, D.R. and Warwick, R.</w:t>
      </w:r>
      <w:r w:rsidR="003B535A">
        <w:t xml:space="preserve">M. </w:t>
      </w:r>
      <w:r>
        <w:t>2001</w:t>
      </w:r>
      <w:r w:rsidR="003B535A">
        <w:t>.</w:t>
      </w:r>
      <w:r>
        <w:t xml:space="preserve"> </w:t>
      </w:r>
      <w:r w:rsidRPr="003B535A">
        <w:rPr>
          <w:i/>
        </w:rPr>
        <w:t>Changes in marine communities: an approach to statistical analysis and interpretation</w:t>
      </w:r>
      <w:r>
        <w:t>. Natural Environmental Research Council, Plymouth, UK.</w:t>
      </w:r>
    </w:p>
    <w:p w:rsidR="003B535A" w:rsidRPr="003B535A" w:rsidRDefault="003B535A" w:rsidP="003B535A">
      <w:r>
        <w:t>Commonwealth of Australia. 2014.</w:t>
      </w:r>
      <w:r w:rsidRPr="004335CD">
        <w:t xml:space="preserve"> </w:t>
      </w:r>
      <w:r w:rsidRPr="00F51322">
        <w:rPr>
          <w:i/>
        </w:rPr>
        <w:t>Commonwealth Environmental Water Office Long Term Intervention Monitoring Project Gwydir River System Selected Area</w:t>
      </w:r>
      <w:r>
        <w:rPr>
          <w:i/>
        </w:rPr>
        <w:t>.</w:t>
      </w:r>
      <w:r>
        <w:t xml:space="preserve"> Commonwealth of Australia.</w:t>
      </w:r>
    </w:p>
    <w:p w:rsidR="003B535A" w:rsidRDefault="003B535A" w:rsidP="003B535A">
      <w:r>
        <w:t xml:space="preserve">Commonwealth of Australia. 2015. </w:t>
      </w:r>
      <w:r w:rsidRPr="008A7199">
        <w:rPr>
          <w:i/>
        </w:rPr>
        <w:t>Commonwealth Environmental Water Office Long Term intervention Monitoring Project Gwydir River System Selected Area – 2014-15 Evaluation Report</w:t>
      </w:r>
      <w:r>
        <w:t>. Commonwealth of Australia.</w:t>
      </w:r>
    </w:p>
    <w:p w:rsidR="00DB4624" w:rsidRPr="000F4876" w:rsidRDefault="009F0217" w:rsidP="00DB4624">
      <w:pPr>
        <w:rPr>
          <w:rFonts w:cs="Arial"/>
          <w:szCs w:val="20"/>
          <w:lang w:eastAsia="en-AU"/>
        </w:rPr>
      </w:pPr>
      <w:r>
        <w:rPr>
          <w:rFonts w:cs="Arial"/>
          <w:szCs w:val="20"/>
          <w:lang w:eastAsia="en-AU"/>
        </w:rPr>
        <w:t>Kobayashi, T., Ryder, D.</w:t>
      </w:r>
      <w:r w:rsidR="00DB4624" w:rsidRPr="000F4876">
        <w:rPr>
          <w:rFonts w:cs="Arial"/>
          <w:szCs w:val="20"/>
          <w:lang w:eastAsia="en-AU"/>
        </w:rPr>
        <w:t>S., Ralp</w:t>
      </w:r>
      <w:r>
        <w:rPr>
          <w:rFonts w:cs="Arial"/>
          <w:szCs w:val="20"/>
          <w:lang w:eastAsia="en-AU"/>
        </w:rPr>
        <w:t>h, T.</w:t>
      </w:r>
      <w:r w:rsidR="00DB4624" w:rsidRPr="000F4876">
        <w:rPr>
          <w:rFonts w:cs="Arial"/>
          <w:szCs w:val="20"/>
          <w:lang w:eastAsia="en-AU"/>
        </w:rPr>
        <w:t>J., Mazumder, D., Saintilan, N., Iles, J.,</w:t>
      </w:r>
      <w:r w:rsidR="00DB4624">
        <w:rPr>
          <w:rFonts w:cs="Arial"/>
          <w:szCs w:val="20"/>
          <w:lang w:eastAsia="en-AU"/>
        </w:rPr>
        <w:t xml:space="preserve"> Knowles, L., Thomas, R. </w:t>
      </w:r>
      <w:r w:rsidR="004F68E6">
        <w:rPr>
          <w:rFonts w:cs="Arial"/>
          <w:szCs w:val="20"/>
          <w:lang w:eastAsia="en-AU"/>
        </w:rPr>
        <w:t>&amp; Hunter, S. 2011</w:t>
      </w:r>
      <w:r w:rsidR="00DB4624" w:rsidRPr="000F4876">
        <w:rPr>
          <w:rFonts w:cs="Arial"/>
          <w:szCs w:val="20"/>
          <w:lang w:eastAsia="en-AU"/>
        </w:rPr>
        <w:t>. Longitudinal spatial variation in ecological conditions in an in</w:t>
      </w:r>
      <w:r w:rsidR="00DB4624" w:rsidRPr="000F4876">
        <w:rPr>
          <w:rFonts w:ascii="Cambria Math" w:hAnsi="Cambria Math" w:cs="Cambria Math"/>
          <w:szCs w:val="20"/>
          <w:lang w:eastAsia="en-AU"/>
        </w:rPr>
        <w:t>‐</w:t>
      </w:r>
      <w:r w:rsidR="00DB4624" w:rsidRPr="000F4876">
        <w:rPr>
          <w:rFonts w:cs="Arial"/>
          <w:szCs w:val="20"/>
          <w:lang w:eastAsia="en-AU"/>
        </w:rPr>
        <w:t xml:space="preserve">channel floodplain river system during flow pulses. </w:t>
      </w:r>
      <w:r w:rsidR="00DB4624" w:rsidRPr="000F4876">
        <w:rPr>
          <w:rFonts w:cs="Arial"/>
          <w:i/>
          <w:iCs/>
          <w:szCs w:val="20"/>
          <w:lang w:eastAsia="en-AU"/>
        </w:rPr>
        <w:t>River research and applications</w:t>
      </w:r>
      <w:r w:rsidR="00DB4624" w:rsidRPr="000F4876">
        <w:rPr>
          <w:rFonts w:cs="Arial"/>
          <w:szCs w:val="20"/>
          <w:lang w:eastAsia="en-AU"/>
        </w:rPr>
        <w:t xml:space="preserve">, </w:t>
      </w:r>
      <w:r w:rsidR="00DB4624" w:rsidRPr="000F4876">
        <w:rPr>
          <w:rFonts w:cs="Arial"/>
          <w:i/>
          <w:iCs/>
          <w:szCs w:val="20"/>
          <w:lang w:eastAsia="en-AU"/>
        </w:rPr>
        <w:t>27</w:t>
      </w:r>
      <w:r w:rsidR="00DB4624" w:rsidRPr="000F4876">
        <w:rPr>
          <w:rFonts w:cs="Arial"/>
          <w:szCs w:val="20"/>
          <w:lang w:eastAsia="en-AU"/>
        </w:rPr>
        <w:t>(4), 461-472.</w:t>
      </w:r>
    </w:p>
    <w:p w:rsidR="009F3BFA" w:rsidRDefault="009F3BFA" w:rsidP="00480B7E">
      <w:pPr>
        <w:rPr>
          <w:highlight w:val="yellow"/>
        </w:rPr>
      </w:pPr>
    </w:p>
    <w:p w:rsidR="00364243" w:rsidRDefault="00364243" w:rsidP="00480B7E">
      <w:pPr>
        <w:rPr>
          <w:highlight w:val="yellow"/>
        </w:rPr>
        <w:sectPr w:rsidR="00364243" w:rsidSect="00BD0A55">
          <w:headerReference w:type="default" r:id="rId85"/>
          <w:footerReference w:type="default" r:id="rId86"/>
          <w:type w:val="nextColumn"/>
          <w:pgSz w:w="11899" w:h="16838"/>
          <w:pgMar w:top="1508" w:right="1219" w:bottom="1418" w:left="1480" w:header="811" w:footer="205" w:gutter="0"/>
          <w:pgNumType w:chapStyle="6"/>
          <w:cols w:space="708"/>
          <w:docGrid w:linePitch="360"/>
        </w:sectPr>
      </w:pPr>
    </w:p>
    <w:p w:rsidR="00C46513" w:rsidRPr="00C46513" w:rsidRDefault="00480B7E" w:rsidP="004F411E">
      <w:pPr>
        <w:pStyle w:val="Heading6"/>
        <w:ind w:right="-280"/>
      </w:pPr>
      <w:r w:rsidRPr="00C46513">
        <w:t xml:space="preserve"> Macroinvertebrates</w:t>
      </w:r>
    </w:p>
    <w:p w:rsidR="00C46513" w:rsidRPr="004B35C2" w:rsidRDefault="00C46513" w:rsidP="004F411E">
      <w:pPr>
        <w:pStyle w:val="Heading7"/>
        <w:ind w:right="-280"/>
      </w:pPr>
      <w:r w:rsidRPr="004B35C2">
        <w:t>Introduction</w:t>
      </w:r>
    </w:p>
    <w:p w:rsidR="00C46513" w:rsidRDefault="00185253" w:rsidP="004F411E">
      <w:pPr>
        <w:ind w:right="-280"/>
      </w:pPr>
      <w:r>
        <w:t>The M</w:t>
      </w:r>
      <w:r w:rsidR="00C46513" w:rsidRPr="004B35C2">
        <w:t>acroinvertebrate</w:t>
      </w:r>
      <w:r>
        <w:t>s</w:t>
      </w:r>
      <w:r w:rsidR="00C46513" w:rsidRPr="004B35C2">
        <w:t xml:space="preserve"> indicator aims to assess the contribution of Commonwealth environmental watering to macroinvertebrate diversity. </w:t>
      </w:r>
      <w:r w:rsidR="008E049F">
        <w:t xml:space="preserve"> </w:t>
      </w:r>
      <w:r w:rsidR="00C46513" w:rsidRPr="004B35C2">
        <w:t>A specific question was addressed through th</w:t>
      </w:r>
      <w:r w:rsidR="00234CC4">
        <w:t>is indicator within the Gwydir r</w:t>
      </w:r>
      <w:r w:rsidR="00C46513" w:rsidRPr="004B35C2">
        <w:t xml:space="preserve">iver </w:t>
      </w:r>
      <w:r w:rsidR="00234CC4">
        <w:t xml:space="preserve">system </w:t>
      </w:r>
      <w:r w:rsidR="00C46513" w:rsidRPr="004B35C2">
        <w:t>Selected Area during the 2015-16 water year:</w:t>
      </w:r>
    </w:p>
    <w:p w:rsidR="00C46513" w:rsidRDefault="00C46513" w:rsidP="005E1E2E">
      <w:pPr>
        <w:pStyle w:val="Bullets1"/>
        <w:numPr>
          <w:ilvl w:val="0"/>
          <w:numId w:val="10"/>
        </w:numPr>
        <w:ind w:left="1134" w:hanging="567"/>
      </w:pPr>
      <w:r>
        <w:t>Wh</w:t>
      </w:r>
      <w:r w:rsidRPr="00092A42">
        <w:t>at did C</w:t>
      </w:r>
      <w:r w:rsidR="00185253">
        <w:t>ommonwealth environmental water</w:t>
      </w:r>
      <w:r w:rsidRPr="00092A42">
        <w:t xml:space="preserve"> contribute to m</w:t>
      </w:r>
      <w:r>
        <w:t>a</w:t>
      </w:r>
      <w:r w:rsidRPr="00092A42">
        <w:t>cro</w:t>
      </w:r>
      <w:r>
        <w:t>invertebrate diversity?</w:t>
      </w:r>
      <w:r w:rsidRPr="00B57802">
        <w:t xml:space="preserve"> </w:t>
      </w:r>
    </w:p>
    <w:p w:rsidR="00C46513" w:rsidRDefault="00C46513" w:rsidP="004F411E">
      <w:pPr>
        <w:pStyle w:val="Heading8"/>
        <w:ind w:right="-280"/>
      </w:pPr>
      <w:r>
        <w:t>Environmental watering in 2015-16</w:t>
      </w:r>
    </w:p>
    <w:p w:rsidR="00234CC4" w:rsidRDefault="00234CC4" w:rsidP="004F411E">
      <w:pPr>
        <w:ind w:right="-280"/>
      </w:pPr>
      <w:r w:rsidRPr="004335CD">
        <w:t xml:space="preserve">During </w:t>
      </w:r>
      <w:r>
        <w:t>2015-16</w:t>
      </w:r>
      <w:r w:rsidRPr="004335CD">
        <w:t xml:space="preserve"> </w:t>
      </w:r>
      <w:r>
        <w:t xml:space="preserve">Commonwealth </w:t>
      </w:r>
      <w:r w:rsidRPr="004335CD">
        <w:t>environmental water was delivered to a number of assets within the Gwydir River system (</w:t>
      </w:r>
      <w:r>
        <w:fldChar w:fldCharType="begin"/>
      </w:r>
      <w:r>
        <w:instrText xml:space="preserve"> REF _Ref457987841 \r \h </w:instrText>
      </w:r>
      <w:r>
        <w:fldChar w:fldCharType="separate"/>
      </w:r>
      <w:r w:rsidR="005D5925">
        <w:t>Appendix A</w:t>
      </w:r>
      <w:r>
        <w:fldChar w:fldCharType="end"/>
      </w:r>
      <w:r w:rsidRPr="004335CD">
        <w:t xml:space="preserve">). </w:t>
      </w:r>
      <w:r w:rsidR="007F49F9">
        <w:t xml:space="preserve"> </w:t>
      </w:r>
      <w:r>
        <w:t xml:space="preserve">In November 2015, a flow event occurred down the Mehi River and supplementary water licences owned by the CEWO were triggered. </w:t>
      </w:r>
      <w:r w:rsidR="008E049F">
        <w:t xml:space="preserve"> </w:t>
      </w:r>
      <w:r>
        <w:t>A total of 1,300 ML were accounted for with 964 ML of this water flowing down the Mehi River, and 336 ML directed down Mallowa Creek.</w:t>
      </w:r>
    </w:p>
    <w:p w:rsidR="00234CC4" w:rsidRDefault="00234CC4" w:rsidP="004F411E">
      <w:pPr>
        <w:ind w:right="-280"/>
      </w:pPr>
      <w:r>
        <w:t xml:space="preserve">Through January 2016, flows were delivered into the Mallowa Creek system to inundate fringing wetlands in association with WaterNSW water bulk water deliveries. </w:t>
      </w:r>
      <w:r w:rsidR="007F49F9">
        <w:t xml:space="preserve"> </w:t>
      </w:r>
      <w:r>
        <w:t xml:space="preserve">Flows were also delivered into the lower Gwydir River and Gingham watercourse in February 2016, to replace flows that were abstracted in a supplementary flow event. </w:t>
      </w:r>
      <w:r w:rsidR="008E049F">
        <w:t xml:space="preserve"> </w:t>
      </w:r>
      <w:r>
        <w:t>While not large in volume, these flows made it into the wetlands.</w:t>
      </w:r>
    </w:p>
    <w:p w:rsidR="00234CC4" w:rsidRDefault="00234CC4" w:rsidP="004F411E">
      <w:pPr>
        <w:ind w:right="-280"/>
      </w:pPr>
      <w:r>
        <w:t xml:space="preserve">Due to critically low flows experienced in the lower Gwydir system in March and April 2016, water was delivered down the lower Gwydir, Gingham, Mehi and Carole channels as part of a dry river flow action in early April. </w:t>
      </w:r>
      <w:r w:rsidR="007F49F9">
        <w:t xml:space="preserve"> </w:t>
      </w:r>
      <w:r>
        <w:t>This followed a period of 30-40 days of nil flows conditions across the catchment.</w:t>
      </w:r>
    </w:p>
    <w:p w:rsidR="00234CC4" w:rsidRDefault="00234CC4" w:rsidP="004F411E">
      <w:pPr>
        <w:pStyle w:val="Heading8"/>
        <w:ind w:right="-280"/>
      </w:pPr>
      <w:r>
        <w:t>Previous monitoring</w:t>
      </w:r>
    </w:p>
    <w:p w:rsidR="00234CC4" w:rsidRDefault="00234CC4" w:rsidP="004F411E">
      <w:pPr>
        <w:ind w:right="-280"/>
        <w:rPr>
          <w:lang w:eastAsia="en-AU"/>
        </w:rPr>
      </w:pPr>
      <w:r>
        <w:rPr>
          <w:lang w:eastAsia="en-AU"/>
        </w:rPr>
        <w:t xml:space="preserve">In the 2014-15 water year, the delivery of environmental water increased regional scale density and diversity of aquatic macroinvertebrates (Commonwealth of Australia 2015). </w:t>
      </w:r>
      <w:r w:rsidR="007F49F9">
        <w:rPr>
          <w:lang w:eastAsia="en-AU"/>
        </w:rPr>
        <w:t xml:space="preserve"> </w:t>
      </w:r>
      <w:r>
        <w:rPr>
          <w:lang w:eastAsia="en-AU"/>
        </w:rPr>
        <w:t>The significant difference in aquatic macroinvertebrate community composition between the Gingham and lower Gwydir wetlands indicated that each area supports a distinct macroinvertebrate community and highlights the importance of watering both areas.</w:t>
      </w:r>
    </w:p>
    <w:p w:rsidR="00234CC4" w:rsidRDefault="00234CC4" w:rsidP="004F411E">
      <w:pPr>
        <w:pStyle w:val="Heading7"/>
        <w:ind w:right="-280"/>
      </w:pPr>
      <w:r>
        <w:t>Methods</w:t>
      </w:r>
    </w:p>
    <w:p w:rsidR="00234CC4" w:rsidRDefault="00234CC4" w:rsidP="004F411E">
      <w:pPr>
        <w:pStyle w:val="Heading8"/>
        <w:ind w:right="-280"/>
      </w:pPr>
      <w:r>
        <w:t>Design</w:t>
      </w:r>
    </w:p>
    <w:p w:rsidR="00C46513" w:rsidRDefault="00234CC4" w:rsidP="004F411E">
      <w:pPr>
        <w:ind w:right="-280"/>
        <w:jc w:val="left"/>
      </w:pPr>
      <w:r>
        <w:t>Ma</w:t>
      </w:r>
      <w:r w:rsidRPr="007762E8">
        <w:t>croinvertebrate</w:t>
      </w:r>
      <w:r>
        <w:t xml:space="preserve"> sampling</w:t>
      </w:r>
      <w:r w:rsidR="00C46513">
        <w:t xml:space="preserve"> took place on four occasions to capture the inundation and contraction cycle of environmental water delivery (</w:t>
      </w:r>
      <w:r w:rsidR="002E6DCF">
        <w:rPr>
          <w:highlight w:val="yellow"/>
        </w:rPr>
        <w:fldChar w:fldCharType="begin"/>
      </w:r>
      <w:r w:rsidR="002E6DCF">
        <w:instrText xml:space="preserve"> REF _Ref458697759 \r \h </w:instrText>
      </w:r>
      <w:r w:rsidR="002E6DCF">
        <w:rPr>
          <w:highlight w:val="yellow"/>
        </w:rPr>
      </w:r>
      <w:r w:rsidR="002E6DCF">
        <w:rPr>
          <w:highlight w:val="yellow"/>
        </w:rPr>
        <w:fldChar w:fldCharType="separate"/>
      </w:r>
      <w:r w:rsidR="005D5925">
        <w:t>Appendix D</w:t>
      </w:r>
      <w:r w:rsidR="002E6DCF">
        <w:rPr>
          <w:highlight w:val="yellow"/>
        </w:rPr>
        <w:fldChar w:fldCharType="end"/>
      </w:r>
      <w:r w:rsidR="002E6DCF">
        <w:t xml:space="preserve">; </w:t>
      </w:r>
      <w:r w:rsidR="003956BA">
        <w:fldChar w:fldCharType="begin"/>
      </w:r>
      <w:r w:rsidR="003956BA">
        <w:instrText xml:space="preserve"> REF _Ref459892403 \h </w:instrText>
      </w:r>
      <w:r w:rsidR="003956BA">
        <w:fldChar w:fldCharType="separate"/>
      </w:r>
      <w:r w:rsidR="005D5925">
        <w:t xml:space="preserve">Figure </w:t>
      </w:r>
      <w:r w:rsidR="005D5925">
        <w:rPr>
          <w:noProof/>
        </w:rPr>
        <w:t>D</w:t>
      </w:r>
      <w:r w:rsidR="005D5925">
        <w:noBreakHyphen/>
      </w:r>
      <w:r w:rsidR="005D5925">
        <w:rPr>
          <w:noProof/>
        </w:rPr>
        <w:t>1</w:t>
      </w:r>
      <w:r w:rsidR="003956BA">
        <w:fldChar w:fldCharType="end"/>
      </w:r>
      <w:r w:rsidR="003956BA">
        <w:t>;</w:t>
      </w:r>
      <w:r>
        <w:t xml:space="preserve"> </w:t>
      </w:r>
      <w:r>
        <w:fldChar w:fldCharType="begin"/>
      </w:r>
      <w:r>
        <w:instrText xml:space="preserve"> REF _Ref458697808 \h </w:instrText>
      </w:r>
      <w:r>
        <w:fldChar w:fldCharType="separate"/>
      </w:r>
      <w:r w:rsidR="005D5925">
        <w:t xml:space="preserve">Table </w:t>
      </w:r>
      <w:r w:rsidR="005D5925">
        <w:rPr>
          <w:noProof/>
        </w:rPr>
        <w:t>D</w:t>
      </w:r>
      <w:r w:rsidR="005D5925">
        <w:noBreakHyphen/>
      </w:r>
      <w:r w:rsidR="005D5925">
        <w:rPr>
          <w:noProof/>
        </w:rPr>
        <w:t>1</w:t>
      </w:r>
      <w:r>
        <w:fldChar w:fldCharType="end"/>
      </w:r>
      <w:r>
        <w:t xml:space="preserve"> )</w:t>
      </w:r>
      <w:r w:rsidR="00C46513">
        <w:t xml:space="preserve">. </w:t>
      </w:r>
      <w:r w:rsidR="007F49F9">
        <w:t xml:space="preserve"> </w:t>
      </w:r>
      <w:r w:rsidR="00C46513">
        <w:t>Hereafter, sampling occasion codes are arranged in chronological order from T1 to T4.</w:t>
      </w:r>
    </w:p>
    <w:p w:rsidR="00185253" w:rsidRDefault="00185253" w:rsidP="005E1E2E">
      <w:pPr>
        <w:pStyle w:val="Bullets1"/>
        <w:numPr>
          <w:ilvl w:val="0"/>
          <w:numId w:val="10"/>
        </w:numPr>
        <w:ind w:left="1134" w:hanging="567"/>
      </w:pPr>
      <w:r>
        <w:t>T1 ‘Pre-environmental water’ phase - During late September sampling (28 Sep</w:t>
      </w:r>
      <w:r w:rsidR="008E049F">
        <w:t>tember</w:t>
      </w:r>
      <w:r>
        <w:t xml:space="preserve"> - 1 Oct</w:t>
      </w:r>
      <w:r w:rsidR="008E049F">
        <w:t>ober</w:t>
      </w:r>
      <w:r>
        <w:t xml:space="preserve"> 2015), the Selected Area experienced low and stable flow condition after local rainfall events in late August (</w:t>
      </w:r>
      <w:r w:rsidR="003956BA">
        <w:fldChar w:fldCharType="begin"/>
      </w:r>
      <w:r w:rsidR="003956BA">
        <w:instrText xml:space="preserve"> REF _Ref459892403 \h </w:instrText>
      </w:r>
      <w:r w:rsidR="003956BA">
        <w:fldChar w:fldCharType="separate"/>
      </w:r>
      <w:r w:rsidR="005D5925">
        <w:t xml:space="preserve">Figure </w:t>
      </w:r>
      <w:r w:rsidR="005D5925">
        <w:rPr>
          <w:noProof/>
        </w:rPr>
        <w:t>D</w:t>
      </w:r>
      <w:r w:rsidR="005D5925">
        <w:noBreakHyphen/>
      </w:r>
      <w:r w:rsidR="005D5925">
        <w:rPr>
          <w:noProof/>
        </w:rPr>
        <w:t>1</w:t>
      </w:r>
      <w:r w:rsidR="003956BA">
        <w:fldChar w:fldCharType="end"/>
      </w:r>
      <w:r w:rsidR="008E049F">
        <w:t>a and</w:t>
      </w:r>
      <w:r>
        <w:t xml:space="preserve"> c). </w:t>
      </w:r>
      <w:r w:rsidR="008E049F">
        <w:t xml:space="preserve"> </w:t>
      </w:r>
      <w:r>
        <w:t xml:space="preserve">This sampling occasion represents conditions prior to environmental watering actions. </w:t>
      </w:r>
    </w:p>
    <w:p w:rsidR="00185253" w:rsidRDefault="00185253" w:rsidP="005E1E2E">
      <w:pPr>
        <w:pStyle w:val="Bullets1"/>
        <w:numPr>
          <w:ilvl w:val="0"/>
          <w:numId w:val="10"/>
        </w:numPr>
        <w:ind w:left="1134" w:hanging="567"/>
      </w:pPr>
      <w:r>
        <w:t>T2 ‘environmental water Wet’ phase - Early February sampling (4-8 Feb</w:t>
      </w:r>
      <w:r w:rsidR="008E049F">
        <w:t>ruary</w:t>
      </w:r>
      <w:r>
        <w:t xml:space="preserve"> 2016) captured the ‘wettest’ phase of the Selected Area from ongoing environmental watering actions and local rainfall. </w:t>
      </w:r>
    </w:p>
    <w:p w:rsidR="00185253" w:rsidRDefault="00185253" w:rsidP="005E1E2E">
      <w:pPr>
        <w:pStyle w:val="Bullets1"/>
        <w:numPr>
          <w:ilvl w:val="0"/>
          <w:numId w:val="10"/>
        </w:numPr>
        <w:ind w:left="1134" w:hanging="567"/>
      </w:pPr>
      <w:r>
        <w:t>T3 ‘Contraction I’ phase – Mid March sampling (14-17 Mar</w:t>
      </w:r>
      <w:r w:rsidR="008E049F">
        <w:t>ch</w:t>
      </w:r>
      <w:r>
        <w:t xml:space="preserve"> 2016) was in the contraction cycle of residual environmental water.</w:t>
      </w:r>
      <w:r w:rsidRPr="00DD3B9A">
        <w:t xml:space="preserve"> </w:t>
      </w:r>
      <w:r w:rsidR="008E049F">
        <w:t xml:space="preserve"> </w:t>
      </w:r>
      <w:r>
        <w:t>Some of the river channels contracted to disconnected pools.</w:t>
      </w:r>
    </w:p>
    <w:p w:rsidR="00234CC4" w:rsidRDefault="00185253" w:rsidP="005E1E2E">
      <w:pPr>
        <w:pStyle w:val="Bullets1"/>
        <w:numPr>
          <w:ilvl w:val="0"/>
          <w:numId w:val="10"/>
        </w:numPr>
        <w:spacing w:after="240"/>
        <w:ind w:left="1134" w:hanging="567"/>
      </w:pPr>
      <w:r>
        <w:t>T4 ‘Contraction II’ phase – Late April sampling (18-21 Apr</w:t>
      </w:r>
      <w:r w:rsidR="008E049F">
        <w:t>il</w:t>
      </w:r>
      <w:r>
        <w:t xml:space="preserve"> 2016) was designed to capture the base flow condition. </w:t>
      </w:r>
      <w:r w:rsidR="008E049F">
        <w:t xml:space="preserve"> </w:t>
      </w:r>
      <w:r>
        <w:t xml:space="preserve">During this sampling period, all Mehi River and Moomin Creek channels contracted to disconnected pools and the water couch habitats at the perimeter of the Gingham </w:t>
      </w:r>
      <w:r w:rsidR="001C3C04">
        <w:t>watercourse</w:t>
      </w:r>
      <w:r>
        <w:t xml:space="preserve">s were dry. </w:t>
      </w:r>
      <w:r w:rsidR="008E049F">
        <w:t xml:space="preserve"> </w:t>
      </w:r>
      <w:r>
        <w:t>An environmental water release during the late April sampling period affected the Gwydir Rive</w:t>
      </w:r>
      <w:r w:rsidR="00780059">
        <w:t>r channel sites downstream of Ta</w:t>
      </w:r>
      <w:r>
        <w:t>reelaroi.</w:t>
      </w:r>
    </w:p>
    <w:p w:rsidR="00234CC4" w:rsidRDefault="00C46513" w:rsidP="009F3BFA">
      <w:r>
        <w:t xml:space="preserve">Sampling sites were located in four Sampling </w:t>
      </w:r>
      <w:r w:rsidR="00F00C5A">
        <w:t>zone</w:t>
      </w:r>
      <w:r>
        <w:t xml:space="preserve">s within the Selected Area: Gingham </w:t>
      </w:r>
      <w:r w:rsidR="001C3C04">
        <w:t>watercourse</w:t>
      </w:r>
      <w:r>
        <w:t>, Gwydir River, Mehi River and Moomin Creek (</w:t>
      </w:r>
      <w:r w:rsidR="00C02454">
        <w:fldChar w:fldCharType="begin"/>
      </w:r>
      <w:r w:rsidR="00C02454">
        <w:instrText xml:space="preserve"> REF _Ref458699787 \h </w:instrText>
      </w:r>
      <w:r w:rsidR="00C02454">
        <w:fldChar w:fldCharType="separate"/>
      </w:r>
      <w:r w:rsidR="005D5925">
        <w:t xml:space="preserve">Table </w:t>
      </w:r>
      <w:r w:rsidR="005D5925">
        <w:rPr>
          <w:noProof/>
        </w:rPr>
        <w:t>E</w:t>
      </w:r>
      <w:r w:rsidR="005D5925">
        <w:noBreakHyphen/>
      </w:r>
      <w:r w:rsidR="005D5925">
        <w:rPr>
          <w:noProof/>
        </w:rPr>
        <w:t>1</w:t>
      </w:r>
      <w:r w:rsidR="00C02454">
        <w:fldChar w:fldCharType="end"/>
      </w:r>
      <w:r>
        <w:t>).</w:t>
      </w:r>
      <w:r w:rsidR="008E049F">
        <w:t xml:space="preserve"> </w:t>
      </w:r>
      <w:r>
        <w:t xml:space="preserve"> The lower Gwydir wetlands (Old Dromana) were not sampled as there was insufficient surface water at all events for sampling.</w:t>
      </w:r>
    </w:p>
    <w:p w:rsidR="00C46513" w:rsidRDefault="00C46513" w:rsidP="00C46513">
      <w:pPr>
        <w:pStyle w:val="Caption"/>
        <w:keepNext/>
      </w:pPr>
      <w:bookmarkStart w:id="64" w:name="_Ref458699787"/>
      <w:r>
        <w:t xml:space="preserve">Table </w:t>
      </w:r>
      <w:fldSimple w:instr=" STYLEREF 6 \s ">
        <w:r w:rsidR="005D5925">
          <w:rPr>
            <w:noProof/>
          </w:rPr>
          <w:t>E</w:t>
        </w:r>
      </w:fldSimple>
      <w:r w:rsidR="005D4453">
        <w:noBreakHyphen/>
      </w:r>
      <w:fldSimple w:instr=" SEQ Table \* ARABIC \s 6 ">
        <w:r w:rsidR="005D5925">
          <w:rPr>
            <w:noProof/>
          </w:rPr>
          <w:t>1</w:t>
        </w:r>
      </w:fldSimple>
      <w:bookmarkEnd w:id="64"/>
      <w:r>
        <w:t xml:space="preserve"> </w:t>
      </w:r>
      <w:r w:rsidRPr="00327C15">
        <w:t>Location of sites on the Gwydir River Selected Area for macroinvertebrate surveys.</w:t>
      </w:r>
      <w:r w:rsidR="00C02454">
        <w:t xml:space="preserve"> </w:t>
      </w:r>
    </w:p>
    <w:tbl>
      <w:tblPr>
        <w:tblW w:w="9072"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1562"/>
        <w:gridCol w:w="1070"/>
        <w:gridCol w:w="1229"/>
        <w:gridCol w:w="1274"/>
        <w:gridCol w:w="680"/>
        <w:gridCol w:w="597"/>
        <w:gridCol w:w="679"/>
        <w:gridCol w:w="708"/>
      </w:tblGrid>
      <w:tr w:rsidR="005F23F1" w:rsidRPr="00C95C8D" w:rsidTr="00CC18AA">
        <w:trPr>
          <w:trHeight w:val="300"/>
        </w:trPr>
        <w:tc>
          <w:tcPr>
            <w:tcW w:w="1273" w:type="dxa"/>
            <w:vMerge w:val="restart"/>
            <w:shd w:val="clear" w:color="auto" w:fill="D9D9D9"/>
            <w:noWrap/>
            <w:vAlign w:val="center"/>
            <w:hideMark/>
          </w:tcPr>
          <w:p w:rsidR="00C46513" w:rsidRPr="00CC18AA" w:rsidRDefault="00C46513" w:rsidP="00CC18AA">
            <w:pPr>
              <w:spacing w:before="60" w:after="60"/>
              <w:jc w:val="center"/>
              <w:rPr>
                <w:rFonts w:cs="Arial"/>
                <w:bCs/>
                <w:color w:val="000000"/>
                <w:szCs w:val="20"/>
                <w:lang w:val="en-US" w:eastAsia="en-AU"/>
              </w:rPr>
            </w:pPr>
            <w:r w:rsidRPr="00CC18AA">
              <w:rPr>
                <w:rFonts w:cs="Arial"/>
                <w:bCs/>
                <w:color w:val="000000"/>
                <w:szCs w:val="20"/>
                <w:lang w:val="en-US" w:eastAsia="en-AU"/>
              </w:rPr>
              <w:t>Ecosystem</w:t>
            </w:r>
          </w:p>
        </w:tc>
        <w:tc>
          <w:tcPr>
            <w:tcW w:w="1562" w:type="dxa"/>
            <w:vMerge w:val="restart"/>
            <w:shd w:val="clear" w:color="auto" w:fill="D9D9D9"/>
            <w:noWrap/>
            <w:vAlign w:val="center"/>
            <w:hideMark/>
          </w:tcPr>
          <w:p w:rsidR="00C46513" w:rsidRPr="00CC18AA" w:rsidRDefault="00C46513" w:rsidP="00CC18AA">
            <w:pPr>
              <w:spacing w:before="60" w:after="60"/>
              <w:jc w:val="center"/>
              <w:rPr>
                <w:rFonts w:cs="Arial"/>
                <w:bCs/>
                <w:color w:val="000000"/>
                <w:szCs w:val="20"/>
                <w:lang w:val="en-US" w:eastAsia="en-AU"/>
              </w:rPr>
            </w:pPr>
            <w:r w:rsidRPr="00CC18AA">
              <w:rPr>
                <w:rFonts w:cs="Arial"/>
                <w:bCs/>
                <w:color w:val="000000"/>
                <w:szCs w:val="20"/>
                <w:lang w:val="en-US" w:eastAsia="en-AU"/>
              </w:rPr>
              <w:t xml:space="preserve">Sampling </w:t>
            </w:r>
            <w:r w:rsidR="00F00C5A" w:rsidRPr="00CC18AA">
              <w:rPr>
                <w:rFonts w:cs="Arial"/>
                <w:bCs/>
                <w:color w:val="000000"/>
                <w:szCs w:val="20"/>
                <w:lang w:val="en-US" w:eastAsia="en-AU"/>
              </w:rPr>
              <w:t>zone</w:t>
            </w:r>
          </w:p>
        </w:tc>
        <w:tc>
          <w:tcPr>
            <w:tcW w:w="1070" w:type="dxa"/>
            <w:vMerge w:val="restart"/>
            <w:shd w:val="clear" w:color="auto" w:fill="D9D9D9"/>
            <w:noWrap/>
            <w:vAlign w:val="center"/>
            <w:hideMark/>
          </w:tcPr>
          <w:p w:rsidR="00C46513" w:rsidRPr="00CC18AA" w:rsidRDefault="00C46513" w:rsidP="00CC18AA">
            <w:pPr>
              <w:spacing w:before="60" w:after="60"/>
              <w:jc w:val="center"/>
              <w:rPr>
                <w:rFonts w:cs="Arial"/>
                <w:bCs/>
                <w:color w:val="000000"/>
                <w:szCs w:val="20"/>
                <w:lang w:val="en-US" w:eastAsia="en-AU"/>
              </w:rPr>
            </w:pPr>
            <w:r w:rsidRPr="00CC18AA">
              <w:rPr>
                <w:rFonts w:cs="Arial"/>
                <w:bCs/>
                <w:color w:val="000000"/>
                <w:szCs w:val="20"/>
                <w:lang w:val="en-US" w:eastAsia="en-AU"/>
              </w:rPr>
              <w:t>Site</w:t>
            </w:r>
          </w:p>
        </w:tc>
        <w:tc>
          <w:tcPr>
            <w:tcW w:w="1229" w:type="dxa"/>
            <w:vMerge w:val="restart"/>
            <w:shd w:val="clear" w:color="auto" w:fill="D9D9D9"/>
            <w:noWrap/>
            <w:vAlign w:val="center"/>
            <w:hideMark/>
          </w:tcPr>
          <w:p w:rsidR="00C46513" w:rsidRPr="00CC18AA" w:rsidRDefault="00C46513" w:rsidP="00CC18AA">
            <w:pPr>
              <w:spacing w:before="60" w:after="60"/>
              <w:jc w:val="center"/>
              <w:rPr>
                <w:rFonts w:cs="Arial"/>
                <w:bCs/>
                <w:color w:val="000000"/>
                <w:szCs w:val="20"/>
                <w:lang w:val="en-US" w:eastAsia="en-AU"/>
              </w:rPr>
            </w:pPr>
            <w:r w:rsidRPr="00CC18AA">
              <w:rPr>
                <w:rFonts w:cs="Arial"/>
                <w:bCs/>
                <w:color w:val="000000"/>
                <w:szCs w:val="20"/>
                <w:lang w:val="en-US" w:eastAsia="en-AU"/>
              </w:rPr>
              <w:t>Latitude</w:t>
            </w:r>
          </w:p>
        </w:tc>
        <w:tc>
          <w:tcPr>
            <w:tcW w:w="1274" w:type="dxa"/>
            <w:vMerge w:val="restart"/>
            <w:shd w:val="clear" w:color="auto" w:fill="D9D9D9"/>
            <w:noWrap/>
            <w:vAlign w:val="center"/>
            <w:hideMark/>
          </w:tcPr>
          <w:p w:rsidR="00C46513" w:rsidRPr="00CC18AA" w:rsidRDefault="00C46513" w:rsidP="00CC18AA">
            <w:pPr>
              <w:spacing w:before="60" w:after="60"/>
              <w:jc w:val="center"/>
              <w:rPr>
                <w:rFonts w:cs="Arial"/>
                <w:bCs/>
                <w:color w:val="000000"/>
                <w:szCs w:val="20"/>
                <w:lang w:val="en-US" w:eastAsia="en-AU"/>
              </w:rPr>
            </w:pPr>
            <w:r w:rsidRPr="00CC18AA">
              <w:rPr>
                <w:rFonts w:cs="Arial"/>
                <w:bCs/>
                <w:color w:val="000000"/>
                <w:szCs w:val="20"/>
                <w:lang w:val="en-US" w:eastAsia="en-AU"/>
              </w:rPr>
              <w:t>Longitude</w:t>
            </w:r>
          </w:p>
        </w:tc>
        <w:tc>
          <w:tcPr>
            <w:tcW w:w="2664" w:type="dxa"/>
            <w:gridSpan w:val="4"/>
            <w:shd w:val="clear" w:color="auto" w:fill="D9D9D9"/>
            <w:noWrap/>
            <w:vAlign w:val="center"/>
            <w:hideMark/>
          </w:tcPr>
          <w:p w:rsidR="00C46513" w:rsidRPr="00CC18AA" w:rsidRDefault="00C46513" w:rsidP="00CC18AA">
            <w:pPr>
              <w:spacing w:before="60" w:after="60"/>
              <w:jc w:val="center"/>
              <w:rPr>
                <w:rFonts w:cs="Arial"/>
                <w:bCs/>
                <w:color w:val="000000"/>
                <w:szCs w:val="20"/>
                <w:lang w:val="en-US" w:eastAsia="en-AU"/>
              </w:rPr>
            </w:pPr>
            <w:r w:rsidRPr="00CC18AA">
              <w:rPr>
                <w:rFonts w:cs="Arial"/>
                <w:bCs/>
                <w:color w:val="000000"/>
                <w:szCs w:val="20"/>
                <w:lang w:val="en-US" w:eastAsia="en-AU"/>
              </w:rPr>
              <w:t>Inundation</w:t>
            </w:r>
          </w:p>
        </w:tc>
      </w:tr>
      <w:tr w:rsidR="005F23F1" w:rsidRPr="00C95C8D" w:rsidTr="00CC18AA">
        <w:trPr>
          <w:trHeight w:val="400"/>
        </w:trPr>
        <w:tc>
          <w:tcPr>
            <w:tcW w:w="1273" w:type="dxa"/>
            <w:vMerge/>
            <w:shd w:val="clear" w:color="auto" w:fill="auto"/>
            <w:vAlign w:val="center"/>
            <w:hideMark/>
          </w:tcPr>
          <w:p w:rsidR="00C46513" w:rsidRPr="00CC18AA" w:rsidRDefault="00C46513" w:rsidP="00CC18AA">
            <w:pPr>
              <w:spacing w:before="60" w:after="60"/>
              <w:jc w:val="center"/>
              <w:rPr>
                <w:rFonts w:cs="Arial"/>
                <w:bCs/>
                <w:color w:val="000000"/>
                <w:szCs w:val="20"/>
                <w:lang w:val="en-US" w:eastAsia="en-AU"/>
              </w:rPr>
            </w:pPr>
          </w:p>
        </w:tc>
        <w:tc>
          <w:tcPr>
            <w:tcW w:w="1562" w:type="dxa"/>
            <w:vMerge/>
            <w:shd w:val="clear" w:color="auto" w:fill="auto"/>
            <w:vAlign w:val="center"/>
            <w:hideMark/>
          </w:tcPr>
          <w:p w:rsidR="00C46513" w:rsidRPr="00CC18AA" w:rsidRDefault="00C46513" w:rsidP="00CC18AA">
            <w:pPr>
              <w:spacing w:before="60" w:after="60"/>
              <w:jc w:val="center"/>
              <w:rPr>
                <w:rFonts w:cs="Arial"/>
                <w:color w:val="000000"/>
                <w:szCs w:val="20"/>
                <w:lang w:val="en-US" w:eastAsia="en-AU"/>
              </w:rPr>
            </w:pPr>
          </w:p>
        </w:tc>
        <w:tc>
          <w:tcPr>
            <w:tcW w:w="1070" w:type="dxa"/>
            <w:vMerge/>
            <w:shd w:val="clear" w:color="auto" w:fill="auto"/>
            <w:vAlign w:val="center"/>
            <w:hideMark/>
          </w:tcPr>
          <w:p w:rsidR="00C46513" w:rsidRPr="00CC18AA" w:rsidRDefault="00C46513" w:rsidP="00CC18AA">
            <w:pPr>
              <w:spacing w:before="60" w:after="60"/>
              <w:jc w:val="center"/>
              <w:rPr>
                <w:rFonts w:cs="Arial"/>
                <w:color w:val="000000"/>
                <w:szCs w:val="20"/>
                <w:lang w:val="en-US" w:eastAsia="en-AU"/>
              </w:rPr>
            </w:pPr>
          </w:p>
        </w:tc>
        <w:tc>
          <w:tcPr>
            <w:tcW w:w="1229" w:type="dxa"/>
            <w:vMerge/>
            <w:shd w:val="clear" w:color="auto" w:fill="auto"/>
            <w:vAlign w:val="center"/>
            <w:hideMark/>
          </w:tcPr>
          <w:p w:rsidR="00C46513" w:rsidRPr="00CC18AA" w:rsidRDefault="00C46513" w:rsidP="00CC18AA">
            <w:pPr>
              <w:spacing w:before="60" w:after="60"/>
              <w:jc w:val="center"/>
              <w:rPr>
                <w:rFonts w:cs="Arial"/>
                <w:color w:val="000000"/>
                <w:szCs w:val="20"/>
                <w:highlight w:val="green"/>
                <w:lang w:val="en-US" w:eastAsia="en-AU"/>
              </w:rPr>
            </w:pPr>
          </w:p>
        </w:tc>
        <w:tc>
          <w:tcPr>
            <w:tcW w:w="1274" w:type="dxa"/>
            <w:vMerge/>
            <w:shd w:val="clear" w:color="auto" w:fill="auto"/>
            <w:vAlign w:val="center"/>
            <w:hideMark/>
          </w:tcPr>
          <w:p w:rsidR="00C46513" w:rsidRPr="00CC18AA" w:rsidRDefault="00C46513" w:rsidP="00CC18AA">
            <w:pPr>
              <w:spacing w:before="60" w:after="60"/>
              <w:jc w:val="center"/>
              <w:rPr>
                <w:rFonts w:cs="Arial"/>
                <w:color w:val="000000"/>
                <w:szCs w:val="20"/>
                <w:highlight w:val="green"/>
                <w:lang w:val="en-US" w:eastAsia="en-AU"/>
              </w:rPr>
            </w:pPr>
          </w:p>
        </w:tc>
        <w:tc>
          <w:tcPr>
            <w:tcW w:w="680" w:type="dxa"/>
            <w:vMerge w:val="restart"/>
            <w:shd w:val="clear" w:color="auto" w:fill="D9D9D9"/>
            <w:noWrap/>
            <w:vAlign w:val="center"/>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Sep-15</w:t>
            </w:r>
          </w:p>
        </w:tc>
        <w:tc>
          <w:tcPr>
            <w:tcW w:w="597" w:type="dxa"/>
            <w:vMerge w:val="restart"/>
            <w:shd w:val="clear" w:color="auto" w:fill="D9D9D9"/>
            <w:noWrap/>
            <w:vAlign w:val="center"/>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Feb-16</w:t>
            </w:r>
          </w:p>
        </w:tc>
        <w:tc>
          <w:tcPr>
            <w:tcW w:w="679" w:type="dxa"/>
            <w:vMerge w:val="restart"/>
            <w:shd w:val="clear" w:color="auto" w:fill="D9D9D9"/>
            <w:noWrap/>
            <w:vAlign w:val="center"/>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Mar-16</w:t>
            </w:r>
          </w:p>
        </w:tc>
        <w:tc>
          <w:tcPr>
            <w:tcW w:w="708" w:type="dxa"/>
            <w:vMerge w:val="restart"/>
            <w:shd w:val="clear" w:color="auto" w:fill="D9D9D9"/>
            <w:noWrap/>
            <w:vAlign w:val="center"/>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Apr-16</w:t>
            </w:r>
          </w:p>
        </w:tc>
      </w:tr>
      <w:tr w:rsidR="005F23F1" w:rsidRPr="00C95C8D" w:rsidTr="00CC18AA">
        <w:trPr>
          <w:trHeight w:val="400"/>
        </w:trPr>
        <w:tc>
          <w:tcPr>
            <w:tcW w:w="1273" w:type="dxa"/>
            <w:vMerge/>
            <w:shd w:val="clear" w:color="auto" w:fill="auto"/>
            <w:hideMark/>
          </w:tcPr>
          <w:p w:rsidR="00C46513" w:rsidRPr="00CC18AA" w:rsidRDefault="00C46513" w:rsidP="00CC18AA">
            <w:pPr>
              <w:spacing w:before="60" w:after="60"/>
              <w:rPr>
                <w:rFonts w:cs="Arial"/>
                <w:bCs/>
                <w:color w:val="000000"/>
                <w:szCs w:val="20"/>
                <w:lang w:val="en-US" w:eastAsia="en-AU"/>
              </w:rPr>
            </w:pPr>
          </w:p>
        </w:tc>
        <w:tc>
          <w:tcPr>
            <w:tcW w:w="1562" w:type="dxa"/>
            <w:vMerge/>
            <w:shd w:val="clear" w:color="auto" w:fill="auto"/>
            <w:hideMark/>
          </w:tcPr>
          <w:p w:rsidR="00C46513" w:rsidRPr="00CC18AA" w:rsidRDefault="00C46513" w:rsidP="00CC18AA">
            <w:pPr>
              <w:spacing w:before="60" w:after="60"/>
              <w:rPr>
                <w:rFonts w:cs="Arial"/>
                <w:color w:val="000000"/>
                <w:szCs w:val="20"/>
                <w:lang w:val="en-US" w:eastAsia="en-AU"/>
              </w:rPr>
            </w:pPr>
          </w:p>
        </w:tc>
        <w:tc>
          <w:tcPr>
            <w:tcW w:w="1070" w:type="dxa"/>
            <w:vMerge/>
            <w:shd w:val="clear" w:color="auto" w:fill="auto"/>
            <w:hideMark/>
          </w:tcPr>
          <w:p w:rsidR="00C46513" w:rsidRPr="00CC18AA" w:rsidRDefault="00C46513" w:rsidP="00CC18AA">
            <w:pPr>
              <w:spacing w:before="60" w:after="60"/>
              <w:rPr>
                <w:rFonts w:cs="Arial"/>
                <w:color w:val="000000"/>
                <w:szCs w:val="20"/>
                <w:lang w:val="en-US" w:eastAsia="en-AU"/>
              </w:rPr>
            </w:pPr>
          </w:p>
        </w:tc>
        <w:tc>
          <w:tcPr>
            <w:tcW w:w="1229" w:type="dxa"/>
            <w:vMerge/>
            <w:shd w:val="clear" w:color="auto" w:fill="auto"/>
            <w:hideMark/>
          </w:tcPr>
          <w:p w:rsidR="00C46513" w:rsidRPr="00CC18AA" w:rsidRDefault="00C46513" w:rsidP="00CC18AA">
            <w:pPr>
              <w:spacing w:before="60" w:after="60"/>
              <w:rPr>
                <w:rFonts w:cs="Arial"/>
                <w:color w:val="000000"/>
                <w:szCs w:val="20"/>
                <w:highlight w:val="green"/>
                <w:lang w:val="en-US" w:eastAsia="en-AU"/>
              </w:rPr>
            </w:pPr>
          </w:p>
        </w:tc>
        <w:tc>
          <w:tcPr>
            <w:tcW w:w="1274" w:type="dxa"/>
            <w:vMerge/>
            <w:shd w:val="clear" w:color="auto" w:fill="auto"/>
            <w:hideMark/>
          </w:tcPr>
          <w:p w:rsidR="00C46513" w:rsidRPr="00CC18AA" w:rsidRDefault="00C46513" w:rsidP="00CC18AA">
            <w:pPr>
              <w:spacing w:before="60" w:after="60"/>
              <w:rPr>
                <w:rFonts w:cs="Arial"/>
                <w:color w:val="000000"/>
                <w:szCs w:val="20"/>
                <w:highlight w:val="green"/>
                <w:lang w:val="en-US" w:eastAsia="en-AU"/>
              </w:rPr>
            </w:pPr>
          </w:p>
        </w:tc>
        <w:tc>
          <w:tcPr>
            <w:tcW w:w="680" w:type="dxa"/>
            <w:vMerge/>
            <w:shd w:val="clear" w:color="auto" w:fill="D9D9D9"/>
            <w:hideMark/>
          </w:tcPr>
          <w:p w:rsidR="00C46513" w:rsidRPr="00CC18AA" w:rsidRDefault="00C46513" w:rsidP="00CC18AA">
            <w:pPr>
              <w:spacing w:before="60" w:after="60"/>
              <w:rPr>
                <w:rFonts w:cs="Arial"/>
                <w:color w:val="000000"/>
                <w:szCs w:val="20"/>
                <w:lang w:val="en-US" w:eastAsia="en-AU"/>
              </w:rPr>
            </w:pPr>
          </w:p>
        </w:tc>
        <w:tc>
          <w:tcPr>
            <w:tcW w:w="597" w:type="dxa"/>
            <w:vMerge/>
            <w:shd w:val="clear" w:color="auto" w:fill="D9D9D9"/>
            <w:hideMark/>
          </w:tcPr>
          <w:p w:rsidR="00C46513" w:rsidRPr="00CC18AA" w:rsidRDefault="00C46513" w:rsidP="00CC18AA">
            <w:pPr>
              <w:spacing w:before="60" w:after="60"/>
              <w:rPr>
                <w:rFonts w:cs="Arial"/>
                <w:color w:val="000000"/>
                <w:szCs w:val="20"/>
                <w:lang w:val="en-US" w:eastAsia="en-AU"/>
              </w:rPr>
            </w:pPr>
          </w:p>
        </w:tc>
        <w:tc>
          <w:tcPr>
            <w:tcW w:w="679" w:type="dxa"/>
            <w:vMerge/>
            <w:shd w:val="clear" w:color="auto" w:fill="D9D9D9"/>
            <w:hideMark/>
          </w:tcPr>
          <w:p w:rsidR="00C46513" w:rsidRPr="00CC18AA" w:rsidRDefault="00C46513" w:rsidP="00CC18AA">
            <w:pPr>
              <w:spacing w:before="60" w:after="60"/>
              <w:rPr>
                <w:rFonts w:cs="Arial"/>
                <w:color w:val="000000"/>
                <w:szCs w:val="20"/>
                <w:lang w:val="en-US" w:eastAsia="en-AU"/>
              </w:rPr>
            </w:pPr>
          </w:p>
        </w:tc>
        <w:tc>
          <w:tcPr>
            <w:tcW w:w="708" w:type="dxa"/>
            <w:vMerge/>
            <w:shd w:val="clear" w:color="auto" w:fill="D9D9D9"/>
            <w:hideMark/>
          </w:tcPr>
          <w:p w:rsidR="00C46513" w:rsidRPr="00CC18AA" w:rsidRDefault="00C46513" w:rsidP="00CC18AA">
            <w:pPr>
              <w:spacing w:before="60" w:after="60"/>
              <w:rPr>
                <w:rFonts w:cs="Arial"/>
                <w:color w:val="000000"/>
                <w:szCs w:val="20"/>
                <w:lang w:val="en-US" w:eastAsia="en-AU"/>
              </w:rPr>
            </w:pPr>
          </w:p>
        </w:tc>
      </w:tr>
      <w:tr w:rsidR="005F23F1" w:rsidRPr="00C95C8D" w:rsidTr="00CC18AA">
        <w:trPr>
          <w:trHeight w:val="300"/>
        </w:trPr>
        <w:tc>
          <w:tcPr>
            <w:tcW w:w="1273" w:type="dxa"/>
            <w:vMerge w:val="restart"/>
            <w:shd w:val="clear" w:color="auto" w:fill="auto"/>
            <w:noWrap/>
            <w:vAlign w:val="center"/>
            <w:hideMark/>
          </w:tcPr>
          <w:p w:rsidR="002F658F" w:rsidRPr="00CC18AA" w:rsidRDefault="002F658F" w:rsidP="00CC18AA">
            <w:pPr>
              <w:spacing w:before="60" w:after="60"/>
              <w:jc w:val="left"/>
              <w:rPr>
                <w:rFonts w:cs="Arial"/>
                <w:bCs/>
                <w:color w:val="000000"/>
                <w:szCs w:val="20"/>
                <w:lang w:val="en-US" w:eastAsia="en-AU"/>
              </w:rPr>
            </w:pPr>
            <w:r w:rsidRPr="00CC18AA">
              <w:rPr>
                <w:rFonts w:cs="Arial"/>
                <w:bCs/>
                <w:color w:val="000000"/>
                <w:szCs w:val="20"/>
                <w:lang w:val="en-US" w:eastAsia="en-AU"/>
              </w:rPr>
              <w:t>Wetland</w:t>
            </w:r>
          </w:p>
        </w:tc>
        <w:tc>
          <w:tcPr>
            <w:tcW w:w="1562" w:type="dxa"/>
            <w:vMerge w:val="restar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Gingham watercourse</w:t>
            </w:r>
          </w:p>
        </w:tc>
        <w:tc>
          <w:tcPr>
            <w:tcW w:w="1070"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BUNOW</w:t>
            </w:r>
          </w:p>
        </w:tc>
        <w:tc>
          <w:tcPr>
            <w:tcW w:w="1229" w:type="dxa"/>
            <w:shd w:val="clear" w:color="auto" w:fill="auto"/>
            <w:vAlign w:val="center"/>
            <w:hideMark/>
          </w:tcPr>
          <w:p w:rsidR="002F658F" w:rsidRPr="00CC18AA" w:rsidRDefault="002F658F" w:rsidP="00CC18AA">
            <w:pPr>
              <w:spacing w:before="60" w:after="60"/>
              <w:jc w:val="center"/>
              <w:rPr>
                <w:rFonts w:cs="Arial"/>
                <w:color w:val="000000"/>
                <w:szCs w:val="20"/>
                <w:highlight w:val="green"/>
                <w:lang w:val="en-US" w:eastAsia="en-AU"/>
              </w:rPr>
            </w:pPr>
            <w:r w:rsidRPr="00CC18AA">
              <w:rPr>
                <w:rFonts w:cs="Arial"/>
                <w:color w:val="000000"/>
                <w:szCs w:val="20"/>
                <w:lang w:val="en-US"/>
              </w:rPr>
              <w:t>731410</w:t>
            </w:r>
          </w:p>
        </w:tc>
        <w:tc>
          <w:tcPr>
            <w:tcW w:w="1274" w:type="dxa"/>
            <w:shd w:val="clear" w:color="auto" w:fill="auto"/>
            <w:vAlign w:val="center"/>
            <w:hideMark/>
          </w:tcPr>
          <w:p w:rsidR="002F658F" w:rsidRPr="00CC18AA" w:rsidRDefault="002F658F" w:rsidP="00CC18AA">
            <w:pPr>
              <w:spacing w:before="60" w:after="60"/>
              <w:jc w:val="center"/>
              <w:rPr>
                <w:rFonts w:cs="Arial"/>
                <w:color w:val="000000"/>
                <w:szCs w:val="20"/>
                <w:highlight w:val="green"/>
                <w:lang w:val="en-US" w:eastAsia="en-AU"/>
              </w:rPr>
            </w:pPr>
            <w:r w:rsidRPr="00CC18AA">
              <w:rPr>
                <w:rFonts w:cs="Arial"/>
                <w:color w:val="000000"/>
                <w:szCs w:val="20"/>
                <w:lang w:val="en-US"/>
              </w:rPr>
              <w:t>6759165</w:t>
            </w:r>
          </w:p>
        </w:tc>
        <w:tc>
          <w:tcPr>
            <w:tcW w:w="680"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597"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679"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708"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r>
      <w:tr w:rsidR="005F23F1" w:rsidRPr="00C95C8D" w:rsidTr="00CC18AA">
        <w:trPr>
          <w:trHeight w:val="300"/>
        </w:trPr>
        <w:tc>
          <w:tcPr>
            <w:tcW w:w="1273" w:type="dxa"/>
            <w:vMerge/>
            <w:shd w:val="clear" w:color="auto" w:fill="auto"/>
            <w:vAlign w:val="center"/>
            <w:hideMark/>
          </w:tcPr>
          <w:p w:rsidR="002F658F" w:rsidRPr="00CC18AA" w:rsidRDefault="002F658F" w:rsidP="00CC18AA">
            <w:pPr>
              <w:spacing w:before="60" w:after="60"/>
              <w:jc w:val="left"/>
              <w:rPr>
                <w:rFonts w:cs="Arial"/>
                <w:bCs/>
                <w:color w:val="000000"/>
                <w:szCs w:val="20"/>
                <w:lang w:val="en-US" w:eastAsia="en-AU"/>
              </w:rPr>
            </w:pPr>
          </w:p>
        </w:tc>
        <w:tc>
          <w:tcPr>
            <w:tcW w:w="1562" w:type="dxa"/>
            <w:vMerge/>
            <w:shd w:val="clear" w:color="auto" w:fill="auto"/>
            <w:vAlign w:val="center"/>
            <w:hideMark/>
          </w:tcPr>
          <w:p w:rsidR="002F658F" w:rsidRPr="00CC18AA" w:rsidRDefault="002F658F" w:rsidP="00CC18AA">
            <w:pPr>
              <w:spacing w:before="60" w:after="60"/>
              <w:jc w:val="left"/>
              <w:rPr>
                <w:rFonts w:cs="Arial"/>
                <w:color w:val="000000"/>
                <w:szCs w:val="20"/>
                <w:lang w:val="en-US" w:eastAsia="en-AU"/>
              </w:rPr>
            </w:pPr>
          </w:p>
        </w:tc>
        <w:tc>
          <w:tcPr>
            <w:tcW w:w="1070"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BUNWC</w:t>
            </w:r>
          </w:p>
        </w:tc>
        <w:tc>
          <w:tcPr>
            <w:tcW w:w="1229" w:type="dxa"/>
            <w:shd w:val="clear" w:color="auto" w:fill="auto"/>
            <w:vAlign w:val="center"/>
            <w:hideMark/>
          </w:tcPr>
          <w:p w:rsidR="002F658F" w:rsidRPr="00CC18AA" w:rsidRDefault="002F658F" w:rsidP="00CC18AA">
            <w:pPr>
              <w:spacing w:before="60" w:after="60"/>
              <w:jc w:val="center"/>
              <w:rPr>
                <w:rFonts w:cs="Arial"/>
                <w:color w:val="000000"/>
                <w:szCs w:val="20"/>
                <w:highlight w:val="green"/>
                <w:lang w:val="en-US" w:eastAsia="en-AU"/>
              </w:rPr>
            </w:pPr>
            <w:r w:rsidRPr="00CC18AA">
              <w:rPr>
                <w:rFonts w:cs="Arial"/>
                <w:color w:val="000000"/>
                <w:szCs w:val="20"/>
                <w:lang w:val="en-US"/>
              </w:rPr>
              <w:t>731567</w:t>
            </w:r>
          </w:p>
        </w:tc>
        <w:tc>
          <w:tcPr>
            <w:tcW w:w="1274" w:type="dxa"/>
            <w:shd w:val="clear" w:color="auto" w:fill="auto"/>
            <w:vAlign w:val="center"/>
            <w:hideMark/>
          </w:tcPr>
          <w:p w:rsidR="002F658F" w:rsidRPr="00CC18AA" w:rsidRDefault="002F658F" w:rsidP="00CC18AA">
            <w:pPr>
              <w:spacing w:before="60" w:after="60"/>
              <w:jc w:val="center"/>
              <w:rPr>
                <w:rFonts w:cs="Arial"/>
                <w:color w:val="000000"/>
                <w:szCs w:val="20"/>
                <w:highlight w:val="green"/>
                <w:lang w:val="en-US" w:eastAsia="en-AU"/>
              </w:rPr>
            </w:pPr>
            <w:r w:rsidRPr="00CC18AA">
              <w:rPr>
                <w:rFonts w:cs="Arial"/>
                <w:color w:val="000000"/>
                <w:szCs w:val="20"/>
                <w:lang w:val="en-US"/>
              </w:rPr>
              <w:t>6759220</w:t>
            </w:r>
          </w:p>
        </w:tc>
        <w:tc>
          <w:tcPr>
            <w:tcW w:w="680"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597"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679"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708"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Dry</w:t>
            </w:r>
          </w:p>
        </w:tc>
      </w:tr>
      <w:tr w:rsidR="005F23F1" w:rsidRPr="00C95C8D" w:rsidTr="00CC18AA">
        <w:trPr>
          <w:trHeight w:val="300"/>
        </w:trPr>
        <w:tc>
          <w:tcPr>
            <w:tcW w:w="1273" w:type="dxa"/>
            <w:vMerge/>
            <w:shd w:val="clear" w:color="auto" w:fill="auto"/>
            <w:vAlign w:val="center"/>
            <w:hideMark/>
          </w:tcPr>
          <w:p w:rsidR="002F658F" w:rsidRPr="00CC18AA" w:rsidRDefault="002F658F" w:rsidP="00CC18AA">
            <w:pPr>
              <w:spacing w:before="60" w:after="60"/>
              <w:jc w:val="left"/>
              <w:rPr>
                <w:rFonts w:cs="Arial"/>
                <w:bCs/>
                <w:color w:val="000000"/>
                <w:szCs w:val="20"/>
                <w:lang w:val="en-US" w:eastAsia="en-AU"/>
              </w:rPr>
            </w:pPr>
          </w:p>
        </w:tc>
        <w:tc>
          <w:tcPr>
            <w:tcW w:w="1562" w:type="dxa"/>
            <w:vMerge/>
            <w:shd w:val="clear" w:color="auto" w:fill="auto"/>
            <w:vAlign w:val="center"/>
            <w:hideMark/>
          </w:tcPr>
          <w:p w:rsidR="002F658F" w:rsidRPr="00CC18AA" w:rsidRDefault="002F658F" w:rsidP="00CC18AA">
            <w:pPr>
              <w:spacing w:before="60" w:after="60"/>
              <w:jc w:val="left"/>
              <w:rPr>
                <w:rFonts w:cs="Arial"/>
                <w:color w:val="000000"/>
                <w:szCs w:val="20"/>
                <w:lang w:val="en-US" w:eastAsia="en-AU"/>
              </w:rPr>
            </w:pPr>
          </w:p>
        </w:tc>
        <w:tc>
          <w:tcPr>
            <w:tcW w:w="1070"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GINOW</w:t>
            </w:r>
          </w:p>
        </w:tc>
        <w:tc>
          <w:tcPr>
            <w:tcW w:w="1229" w:type="dxa"/>
            <w:shd w:val="clear" w:color="auto" w:fill="auto"/>
            <w:vAlign w:val="center"/>
            <w:hideMark/>
          </w:tcPr>
          <w:p w:rsidR="002F658F" w:rsidRPr="00CC18AA" w:rsidRDefault="002F658F" w:rsidP="00CC18AA">
            <w:pPr>
              <w:spacing w:before="60" w:after="60"/>
              <w:jc w:val="center"/>
              <w:rPr>
                <w:rFonts w:cs="Arial"/>
                <w:color w:val="000000"/>
                <w:szCs w:val="20"/>
                <w:highlight w:val="green"/>
                <w:lang w:val="en-US" w:eastAsia="en-AU"/>
              </w:rPr>
            </w:pPr>
            <w:r w:rsidRPr="00CC18AA">
              <w:rPr>
                <w:rFonts w:cs="Arial"/>
                <w:color w:val="000000"/>
                <w:szCs w:val="20"/>
                <w:lang w:val="en-US"/>
              </w:rPr>
              <w:t>724103</w:t>
            </w:r>
          </w:p>
        </w:tc>
        <w:tc>
          <w:tcPr>
            <w:tcW w:w="1274" w:type="dxa"/>
            <w:shd w:val="clear" w:color="auto" w:fill="auto"/>
            <w:vAlign w:val="center"/>
            <w:hideMark/>
          </w:tcPr>
          <w:p w:rsidR="002F658F" w:rsidRPr="00CC18AA" w:rsidRDefault="002F658F" w:rsidP="00CC18AA">
            <w:pPr>
              <w:spacing w:before="60" w:after="60"/>
              <w:jc w:val="center"/>
              <w:rPr>
                <w:rFonts w:cs="Arial"/>
                <w:color w:val="000000"/>
                <w:szCs w:val="20"/>
                <w:highlight w:val="green"/>
                <w:lang w:val="en-US" w:eastAsia="en-AU"/>
              </w:rPr>
            </w:pPr>
            <w:r w:rsidRPr="00CC18AA">
              <w:rPr>
                <w:rFonts w:cs="Arial"/>
                <w:color w:val="000000"/>
                <w:szCs w:val="20"/>
                <w:lang w:val="en-US"/>
              </w:rPr>
              <w:t>6762962</w:t>
            </w:r>
          </w:p>
        </w:tc>
        <w:tc>
          <w:tcPr>
            <w:tcW w:w="680"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597"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679"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708"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r>
      <w:tr w:rsidR="005F23F1" w:rsidRPr="00C95C8D" w:rsidTr="00CC18AA">
        <w:trPr>
          <w:trHeight w:val="300"/>
        </w:trPr>
        <w:tc>
          <w:tcPr>
            <w:tcW w:w="1273" w:type="dxa"/>
            <w:vMerge w:val="restart"/>
            <w:shd w:val="clear" w:color="auto" w:fill="auto"/>
            <w:noWrap/>
            <w:vAlign w:val="center"/>
            <w:hideMark/>
          </w:tcPr>
          <w:p w:rsidR="002F658F" w:rsidRPr="00CC18AA" w:rsidRDefault="002F658F" w:rsidP="00CC18AA">
            <w:pPr>
              <w:spacing w:before="60" w:after="60"/>
              <w:jc w:val="left"/>
              <w:rPr>
                <w:rFonts w:cs="Arial"/>
                <w:bCs/>
                <w:color w:val="000000"/>
                <w:szCs w:val="20"/>
                <w:lang w:val="en-US" w:eastAsia="en-AU"/>
              </w:rPr>
            </w:pPr>
            <w:r w:rsidRPr="00CC18AA">
              <w:rPr>
                <w:rFonts w:cs="Arial"/>
                <w:bCs/>
                <w:color w:val="000000"/>
                <w:szCs w:val="20"/>
                <w:lang w:val="en-US" w:eastAsia="en-AU"/>
              </w:rPr>
              <w:t>River</w:t>
            </w:r>
          </w:p>
        </w:tc>
        <w:tc>
          <w:tcPr>
            <w:tcW w:w="1562" w:type="dxa"/>
            <w:vMerge w:val="restar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Gwydir River</w:t>
            </w:r>
          </w:p>
        </w:tc>
        <w:tc>
          <w:tcPr>
            <w:tcW w:w="1070"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GW1</w:t>
            </w:r>
          </w:p>
        </w:tc>
        <w:tc>
          <w:tcPr>
            <w:tcW w:w="1229" w:type="dxa"/>
            <w:shd w:val="clear" w:color="auto" w:fill="auto"/>
            <w:noWrap/>
            <w:vAlign w:val="center"/>
            <w:hideMark/>
          </w:tcPr>
          <w:p w:rsidR="002F658F" w:rsidRPr="00CC18AA" w:rsidRDefault="002F658F" w:rsidP="00CC18AA">
            <w:pPr>
              <w:spacing w:before="60" w:after="60"/>
              <w:jc w:val="center"/>
              <w:rPr>
                <w:rFonts w:cs="Arial"/>
                <w:color w:val="000000"/>
                <w:szCs w:val="20"/>
                <w:highlight w:val="green"/>
                <w:lang w:val="en-US" w:eastAsia="en-AU"/>
              </w:rPr>
            </w:pPr>
            <w:r w:rsidRPr="00CC18AA">
              <w:rPr>
                <w:rFonts w:cs="Arial"/>
                <w:color w:val="000000"/>
                <w:szCs w:val="20"/>
                <w:lang w:val="en-US"/>
              </w:rPr>
              <w:t>803980</w:t>
            </w:r>
          </w:p>
        </w:tc>
        <w:tc>
          <w:tcPr>
            <w:tcW w:w="1274" w:type="dxa"/>
            <w:shd w:val="clear" w:color="auto" w:fill="auto"/>
            <w:noWrap/>
            <w:vAlign w:val="center"/>
            <w:hideMark/>
          </w:tcPr>
          <w:p w:rsidR="002F658F" w:rsidRPr="00CC18AA" w:rsidRDefault="002F658F" w:rsidP="00CC18AA">
            <w:pPr>
              <w:spacing w:before="60" w:after="60"/>
              <w:jc w:val="center"/>
              <w:rPr>
                <w:rFonts w:cs="Arial"/>
                <w:color w:val="000000"/>
                <w:szCs w:val="20"/>
                <w:highlight w:val="green"/>
                <w:lang w:val="en-US" w:eastAsia="en-AU"/>
              </w:rPr>
            </w:pPr>
            <w:r w:rsidRPr="00CC18AA">
              <w:rPr>
                <w:rFonts w:cs="Arial"/>
                <w:color w:val="000000"/>
                <w:szCs w:val="20"/>
                <w:lang w:val="en-US"/>
              </w:rPr>
              <w:t>6735027</w:t>
            </w:r>
          </w:p>
        </w:tc>
        <w:tc>
          <w:tcPr>
            <w:tcW w:w="680"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597"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679"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708"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r>
      <w:tr w:rsidR="005F23F1" w:rsidRPr="00C95C8D" w:rsidTr="00CC18AA">
        <w:trPr>
          <w:trHeight w:val="300"/>
        </w:trPr>
        <w:tc>
          <w:tcPr>
            <w:tcW w:w="1273" w:type="dxa"/>
            <w:vMerge/>
            <w:shd w:val="clear" w:color="auto" w:fill="auto"/>
            <w:vAlign w:val="center"/>
            <w:hideMark/>
          </w:tcPr>
          <w:p w:rsidR="002F658F" w:rsidRPr="00CC18AA" w:rsidRDefault="002F658F" w:rsidP="00CC18AA">
            <w:pPr>
              <w:spacing w:before="60" w:after="60"/>
              <w:jc w:val="left"/>
              <w:rPr>
                <w:rFonts w:cs="Arial"/>
                <w:bCs/>
                <w:color w:val="000000"/>
                <w:szCs w:val="20"/>
                <w:lang w:val="en-US" w:eastAsia="en-AU"/>
              </w:rPr>
            </w:pPr>
          </w:p>
        </w:tc>
        <w:tc>
          <w:tcPr>
            <w:tcW w:w="1562" w:type="dxa"/>
            <w:vMerge/>
            <w:shd w:val="clear" w:color="auto" w:fill="auto"/>
            <w:vAlign w:val="center"/>
            <w:hideMark/>
          </w:tcPr>
          <w:p w:rsidR="002F658F" w:rsidRPr="00CC18AA" w:rsidRDefault="002F658F" w:rsidP="00CC18AA">
            <w:pPr>
              <w:spacing w:before="60" w:after="60"/>
              <w:jc w:val="left"/>
              <w:rPr>
                <w:rFonts w:cs="Arial"/>
                <w:color w:val="000000"/>
                <w:szCs w:val="20"/>
                <w:lang w:val="en-US" w:eastAsia="en-AU"/>
              </w:rPr>
            </w:pPr>
          </w:p>
        </w:tc>
        <w:tc>
          <w:tcPr>
            <w:tcW w:w="1070"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GW2</w:t>
            </w:r>
          </w:p>
        </w:tc>
        <w:tc>
          <w:tcPr>
            <w:tcW w:w="1229" w:type="dxa"/>
            <w:shd w:val="clear" w:color="auto" w:fill="auto"/>
            <w:vAlign w:val="center"/>
            <w:hideMark/>
          </w:tcPr>
          <w:p w:rsidR="002F658F" w:rsidRPr="00CC18AA" w:rsidRDefault="002F658F" w:rsidP="00CC18AA">
            <w:pPr>
              <w:spacing w:before="60" w:after="60"/>
              <w:jc w:val="center"/>
              <w:rPr>
                <w:rFonts w:cs="Arial"/>
                <w:color w:val="000000"/>
                <w:szCs w:val="20"/>
                <w:highlight w:val="green"/>
                <w:lang w:val="en-US" w:eastAsia="en-AU"/>
              </w:rPr>
            </w:pPr>
            <w:r w:rsidRPr="00CC18AA">
              <w:rPr>
                <w:rFonts w:cs="Arial"/>
                <w:color w:val="000000"/>
                <w:szCs w:val="20"/>
                <w:lang w:val="en-US"/>
              </w:rPr>
              <w:t>791299</w:t>
            </w:r>
          </w:p>
        </w:tc>
        <w:tc>
          <w:tcPr>
            <w:tcW w:w="1274" w:type="dxa"/>
            <w:shd w:val="clear" w:color="auto" w:fill="auto"/>
            <w:vAlign w:val="center"/>
            <w:hideMark/>
          </w:tcPr>
          <w:p w:rsidR="002F658F" w:rsidRPr="00CC18AA" w:rsidRDefault="002F658F" w:rsidP="00CC18AA">
            <w:pPr>
              <w:spacing w:before="60" w:after="60"/>
              <w:jc w:val="center"/>
              <w:rPr>
                <w:rFonts w:cs="Arial"/>
                <w:color w:val="000000"/>
                <w:szCs w:val="20"/>
                <w:highlight w:val="green"/>
                <w:lang w:val="en-US" w:eastAsia="en-AU"/>
              </w:rPr>
            </w:pPr>
            <w:r w:rsidRPr="00CC18AA">
              <w:rPr>
                <w:rFonts w:cs="Arial"/>
                <w:color w:val="000000"/>
                <w:szCs w:val="20"/>
                <w:lang w:val="en-US"/>
              </w:rPr>
              <w:t>6740442</w:t>
            </w:r>
          </w:p>
        </w:tc>
        <w:tc>
          <w:tcPr>
            <w:tcW w:w="680"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597"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679"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708"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r>
      <w:tr w:rsidR="005F23F1" w:rsidRPr="00C95C8D" w:rsidTr="00CC18AA">
        <w:trPr>
          <w:trHeight w:val="300"/>
        </w:trPr>
        <w:tc>
          <w:tcPr>
            <w:tcW w:w="1273" w:type="dxa"/>
            <w:vMerge/>
            <w:shd w:val="clear" w:color="auto" w:fill="auto"/>
            <w:vAlign w:val="center"/>
            <w:hideMark/>
          </w:tcPr>
          <w:p w:rsidR="002F658F" w:rsidRPr="00CC18AA" w:rsidRDefault="002F658F" w:rsidP="00CC18AA">
            <w:pPr>
              <w:spacing w:before="60" w:after="60"/>
              <w:jc w:val="left"/>
              <w:rPr>
                <w:rFonts w:cs="Arial"/>
                <w:bCs/>
                <w:color w:val="000000"/>
                <w:szCs w:val="20"/>
                <w:lang w:val="en-US" w:eastAsia="en-AU"/>
              </w:rPr>
            </w:pPr>
          </w:p>
        </w:tc>
        <w:tc>
          <w:tcPr>
            <w:tcW w:w="1562" w:type="dxa"/>
            <w:vMerge/>
            <w:shd w:val="clear" w:color="auto" w:fill="auto"/>
            <w:vAlign w:val="center"/>
            <w:hideMark/>
          </w:tcPr>
          <w:p w:rsidR="002F658F" w:rsidRPr="00CC18AA" w:rsidRDefault="002F658F" w:rsidP="00CC18AA">
            <w:pPr>
              <w:spacing w:before="60" w:after="60"/>
              <w:jc w:val="left"/>
              <w:rPr>
                <w:rFonts w:cs="Arial"/>
                <w:color w:val="000000"/>
                <w:szCs w:val="20"/>
                <w:lang w:val="en-US" w:eastAsia="en-AU"/>
              </w:rPr>
            </w:pPr>
          </w:p>
        </w:tc>
        <w:tc>
          <w:tcPr>
            <w:tcW w:w="1070"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GW3</w:t>
            </w:r>
          </w:p>
        </w:tc>
        <w:tc>
          <w:tcPr>
            <w:tcW w:w="1229" w:type="dxa"/>
            <w:shd w:val="clear" w:color="auto" w:fill="auto"/>
            <w:vAlign w:val="center"/>
            <w:hideMark/>
          </w:tcPr>
          <w:p w:rsidR="002F658F" w:rsidRPr="00CC18AA" w:rsidRDefault="002F658F" w:rsidP="00CC18AA">
            <w:pPr>
              <w:spacing w:before="60" w:after="60"/>
              <w:jc w:val="center"/>
              <w:rPr>
                <w:rFonts w:cs="Arial"/>
                <w:color w:val="000000"/>
                <w:szCs w:val="20"/>
                <w:highlight w:val="green"/>
                <w:lang w:val="en-US" w:eastAsia="en-AU"/>
              </w:rPr>
            </w:pPr>
            <w:r w:rsidRPr="00CC18AA">
              <w:rPr>
                <w:rFonts w:cs="Arial"/>
                <w:color w:val="000000"/>
                <w:szCs w:val="20"/>
                <w:lang w:val="en-US"/>
              </w:rPr>
              <w:t>783417</w:t>
            </w:r>
          </w:p>
        </w:tc>
        <w:tc>
          <w:tcPr>
            <w:tcW w:w="1274" w:type="dxa"/>
            <w:shd w:val="clear" w:color="auto" w:fill="auto"/>
            <w:vAlign w:val="center"/>
            <w:hideMark/>
          </w:tcPr>
          <w:p w:rsidR="002F658F" w:rsidRPr="00CC18AA" w:rsidRDefault="002F658F" w:rsidP="00CC18AA">
            <w:pPr>
              <w:spacing w:before="60" w:after="60"/>
              <w:jc w:val="center"/>
              <w:rPr>
                <w:rFonts w:cs="Arial"/>
                <w:color w:val="000000"/>
                <w:szCs w:val="20"/>
                <w:highlight w:val="green"/>
                <w:lang w:val="en-US" w:eastAsia="en-AU"/>
              </w:rPr>
            </w:pPr>
            <w:r w:rsidRPr="00CC18AA">
              <w:rPr>
                <w:rFonts w:cs="Arial"/>
                <w:color w:val="000000"/>
                <w:szCs w:val="20"/>
                <w:lang w:val="en-US"/>
              </w:rPr>
              <w:t>6743136</w:t>
            </w:r>
          </w:p>
        </w:tc>
        <w:tc>
          <w:tcPr>
            <w:tcW w:w="680"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597"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679"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708"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r>
      <w:tr w:rsidR="005F23F1" w:rsidRPr="00C95C8D" w:rsidTr="00CC18AA">
        <w:trPr>
          <w:trHeight w:val="300"/>
        </w:trPr>
        <w:tc>
          <w:tcPr>
            <w:tcW w:w="1273" w:type="dxa"/>
            <w:vMerge/>
            <w:shd w:val="clear" w:color="auto" w:fill="auto"/>
            <w:vAlign w:val="center"/>
            <w:hideMark/>
          </w:tcPr>
          <w:p w:rsidR="002F658F" w:rsidRPr="00CC18AA" w:rsidRDefault="002F658F" w:rsidP="00CC18AA">
            <w:pPr>
              <w:spacing w:before="60" w:after="60"/>
              <w:jc w:val="left"/>
              <w:rPr>
                <w:rFonts w:cs="Arial"/>
                <w:bCs/>
                <w:color w:val="000000"/>
                <w:szCs w:val="20"/>
                <w:lang w:val="en-US" w:eastAsia="en-AU"/>
              </w:rPr>
            </w:pPr>
          </w:p>
        </w:tc>
        <w:tc>
          <w:tcPr>
            <w:tcW w:w="1562" w:type="dxa"/>
            <w:vMerge/>
            <w:shd w:val="clear" w:color="auto" w:fill="auto"/>
            <w:vAlign w:val="center"/>
            <w:hideMark/>
          </w:tcPr>
          <w:p w:rsidR="002F658F" w:rsidRPr="00CC18AA" w:rsidRDefault="002F658F" w:rsidP="00CC18AA">
            <w:pPr>
              <w:spacing w:before="60" w:after="60"/>
              <w:jc w:val="left"/>
              <w:rPr>
                <w:rFonts w:cs="Arial"/>
                <w:color w:val="000000"/>
                <w:szCs w:val="20"/>
                <w:lang w:val="en-US" w:eastAsia="en-AU"/>
              </w:rPr>
            </w:pPr>
          </w:p>
        </w:tc>
        <w:tc>
          <w:tcPr>
            <w:tcW w:w="1070"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GW4</w:t>
            </w:r>
          </w:p>
        </w:tc>
        <w:tc>
          <w:tcPr>
            <w:tcW w:w="1229" w:type="dxa"/>
            <w:shd w:val="clear" w:color="auto" w:fill="auto"/>
            <w:vAlign w:val="center"/>
            <w:hideMark/>
          </w:tcPr>
          <w:p w:rsidR="002F658F" w:rsidRPr="00CC18AA" w:rsidRDefault="002F658F" w:rsidP="00CC18AA">
            <w:pPr>
              <w:spacing w:before="60" w:after="60"/>
              <w:jc w:val="center"/>
              <w:rPr>
                <w:rFonts w:cs="Arial"/>
                <w:color w:val="000000"/>
                <w:szCs w:val="20"/>
                <w:highlight w:val="green"/>
                <w:lang w:val="en-US" w:eastAsia="en-AU"/>
              </w:rPr>
            </w:pPr>
            <w:r w:rsidRPr="00CC18AA">
              <w:rPr>
                <w:rFonts w:cs="Arial"/>
                <w:color w:val="000000"/>
                <w:szCs w:val="20"/>
                <w:lang w:val="en-US"/>
              </w:rPr>
              <w:t>775598</w:t>
            </w:r>
          </w:p>
        </w:tc>
        <w:tc>
          <w:tcPr>
            <w:tcW w:w="1274" w:type="dxa"/>
            <w:shd w:val="clear" w:color="auto" w:fill="auto"/>
            <w:vAlign w:val="center"/>
            <w:hideMark/>
          </w:tcPr>
          <w:p w:rsidR="002F658F" w:rsidRPr="00CC18AA" w:rsidRDefault="002F658F" w:rsidP="00CC18AA">
            <w:pPr>
              <w:spacing w:before="60" w:after="60"/>
              <w:jc w:val="center"/>
              <w:rPr>
                <w:rFonts w:cs="Arial"/>
                <w:color w:val="000000"/>
                <w:szCs w:val="20"/>
                <w:highlight w:val="green"/>
                <w:lang w:val="en-US" w:eastAsia="en-AU"/>
              </w:rPr>
            </w:pPr>
            <w:r w:rsidRPr="00CC18AA">
              <w:rPr>
                <w:rFonts w:cs="Arial"/>
                <w:color w:val="000000"/>
                <w:szCs w:val="20"/>
                <w:lang w:val="en-US"/>
              </w:rPr>
              <w:t>6741492</w:t>
            </w:r>
          </w:p>
        </w:tc>
        <w:tc>
          <w:tcPr>
            <w:tcW w:w="680"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597"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679"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708"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r>
      <w:tr w:rsidR="005F23F1" w:rsidRPr="00C95C8D" w:rsidTr="00CC18AA">
        <w:trPr>
          <w:trHeight w:val="300"/>
        </w:trPr>
        <w:tc>
          <w:tcPr>
            <w:tcW w:w="1273" w:type="dxa"/>
            <w:vMerge/>
            <w:shd w:val="clear" w:color="auto" w:fill="auto"/>
            <w:vAlign w:val="center"/>
            <w:hideMark/>
          </w:tcPr>
          <w:p w:rsidR="002F658F" w:rsidRPr="00CC18AA" w:rsidRDefault="002F658F" w:rsidP="00CC18AA">
            <w:pPr>
              <w:spacing w:before="60" w:after="60"/>
              <w:jc w:val="left"/>
              <w:rPr>
                <w:rFonts w:cs="Arial"/>
                <w:bCs/>
                <w:color w:val="000000"/>
                <w:szCs w:val="20"/>
                <w:lang w:val="en-US" w:eastAsia="en-AU"/>
              </w:rPr>
            </w:pPr>
          </w:p>
        </w:tc>
        <w:tc>
          <w:tcPr>
            <w:tcW w:w="1562" w:type="dxa"/>
            <w:vMerge/>
            <w:shd w:val="clear" w:color="auto" w:fill="auto"/>
            <w:vAlign w:val="center"/>
            <w:hideMark/>
          </w:tcPr>
          <w:p w:rsidR="002F658F" w:rsidRPr="00CC18AA" w:rsidRDefault="002F658F" w:rsidP="00CC18AA">
            <w:pPr>
              <w:spacing w:before="60" w:after="60"/>
              <w:jc w:val="left"/>
              <w:rPr>
                <w:rFonts w:cs="Arial"/>
                <w:color w:val="000000"/>
                <w:szCs w:val="20"/>
                <w:lang w:val="en-US" w:eastAsia="en-AU"/>
              </w:rPr>
            </w:pPr>
          </w:p>
        </w:tc>
        <w:tc>
          <w:tcPr>
            <w:tcW w:w="1070"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GW5</w:t>
            </w:r>
          </w:p>
        </w:tc>
        <w:tc>
          <w:tcPr>
            <w:tcW w:w="1229" w:type="dxa"/>
            <w:shd w:val="clear" w:color="auto" w:fill="auto"/>
            <w:noWrap/>
            <w:vAlign w:val="center"/>
            <w:hideMark/>
          </w:tcPr>
          <w:p w:rsidR="002F658F" w:rsidRPr="00CC18AA" w:rsidRDefault="002F658F" w:rsidP="00CC18AA">
            <w:pPr>
              <w:spacing w:before="60" w:after="60"/>
              <w:jc w:val="center"/>
              <w:rPr>
                <w:rFonts w:cs="Arial"/>
                <w:color w:val="000000"/>
                <w:szCs w:val="20"/>
                <w:highlight w:val="green"/>
                <w:lang w:val="en-US" w:eastAsia="en-AU"/>
              </w:rPr>
            </w:pPr>
            <w:r w:rsidRPr="00CC18AA">
              <w:rPr>
                <w:rFonts w:cs="Arial"/>
                <w:color w:val="000000"/>
                <w:szCs w:val="20"/>
                <w:lang w:val="en-US"/>
              </w:rPr>
              <w:t>747063</w:t>
            </w:r>
          </w:p>
        </w:tc>
        <w:tc>
          <w:tcPr>
            <w:tcW w:w="1274" w:type="dxa"/>
            <w:shd w:val="clear" w:color="auto" w:fill="auto"/>
            <w:vAlign w:val="center"/>
            <w:hideMark/>
          </w:tcPr>
          <w:p w:rsidR="002F658F" w:rsidRPr="00CC18AA" w:rsidRDefault="002F658F" w:rsidP="00CC18AA">
            <w:pPr>
              <w:spacing w:before="60" w:after="60"/>
              <w:jc w:val="center"/>
              <w:rPr>
                <w:rFonts w:cs="Arial"/>
                <w:color w:val="000000"/>
                <w:szCs w:val="20"/>
                <w:highlight w:val="green"/>
                <w:lang w:val="en-US" w:eastAsia="en-AU"/>
              </w:rPr>
            </w:pPr>
            <w:r w:rsidRPr="00CC18AA">
              <w:rPr>
                <w:rFonts w:cs="Arial"/>
                <w:color w:val="000000"/>
                <w:szCs w:val="20"/>
                <w:lang w:val="en-US"/>
              </w:rPr>
              <w:t>6745337</w:t>
            </w:r>
          </w:p>
        </w:tc>
        <w:tc>
          <w:tcPr>
            <w:tcW w:w="680"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597"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679"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708"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Dry</w:t>
            </w:r>
          </w:p>
        </w:tc>
      </w:tr>
      <w:tr w:rsidR="005F23F1" w:rsidRPr="00C95C8D" w:rsidTr="00CC18AA">
        <w:trPr>
          <w:trHeight w:val="300"/>
        </w:trPr>
        <w:tc>
          <w:tcPr>
            <w:tcW w:w="1273" w:type="dxa"/>
            <w:vMerge/>
            <w:shd w:val="clear" w:color="auto" w:fill="auto"/>
            <w:vAlign w:val="center"/>
            <w:hideMark/>
          </w:tcPr>
          <w:p w:rsidR="002F658F" w:rsidRPr="00CC18AA" w:rsidRDefault="002F658F" w:rsidP="00CC18AA">
            <w:pPr>
              <w:spacing w:before="60" w:after="60"/>
              <w:jc w:val="left"/>
              <w:rPr>
                <w:rFonts w:cs="Arial"/>
                <w:bCs/>
                <w:color w:val="000000"/>
                <w:szCs w:val="20"/>
                <w:lang w:val="en-US" w:eastAsia="en-AU"/>
              </w:rPr>
            </w:pPr>
          </w:p>
        </w:tc>
        <w:tc>
          <w:tcPr>
            <w:tcW w:w="1562" w:type="dxa"/>
            <w:vMerge/>
            <w:shd w:val="clear" w:color="auto" w:fill="auto"/>
            <w:vAlign w:val="center"/>
            <w:hideMark/>
          </w:tcPr>
          <w:p w:rsidR="002F658F" w:rsidRPr="00CC18AA" w:rsidRDefault="002F658F" w:rsidP="00CC18AA">
            <w:pPr>
              <w:spacing w:before="60" w:after="60"/>
              <w:jc w:val="left"/>
              <w:rPr>
                <w:rFonts w:cs="Arial"/>
                <w:color w:val="000000"/>
                <w:szCs w:val="20"/>
                <w:lang w:val="en-US" w:eastAsia="en-AU"/>
              </w:rPr>
            </w:pPr>
          </w:p>
        </w:tc>
        <w:tc>
          <w:tcPr>
            <w:tcW w:w="1070"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GW6</w:t>
            </w:r>
          </w:p>
        </w:tc>
        <w:tc>
          <w:tcPr>
            <w:tcW w:w="1229" w:type="dxa"/>
            <w:shd w:val="clear" w:color="auto" w:fill="auto"/>
            <w:noWrap/>
            <w:vAlign w:val="center"/>
            <w:hideMark/>
          </w:tcPr>
          <w:p w:rsidR="002F658F" w:rsidRPr="00CC18AA" w:rsidRDefault="002F658F" w:rsidP="00CC18AA">
            <w:pPr>
              <w:spacing w:before="60" w:after="60"/>
              <w:jc w:val="center"/>
              <w:rPr>
                <w:rFonts w:cs="Arial"/>
                <w:color w:val="000000"/>
                <w:szCs w:val="20"/>
                <w:highlight w:val="green"/>
                <w:lang w:val="en-US" w:eastAsia="en-AU"/>
              </w:rPr>
            </w:pPr>
            <w:r w:rsidRPr="00CC18AA">
              <w:rPr>
                <w:rFonts w:cs="Arial"/>
                <w:color w:val="000000"/>
                <w:szCs w:val="20"/>
                <w:lang w:val="en-US"/>
              </w:rPr>
              <w:t>735918</w:t>
            </w:r>
          </w:p>
        </w:tc>
        <w:tc>
          <w:tcPr>
            <w:tcW w:w="1274" w:type="dxa"/>
            <w:shd w:val="clear" w:color="auto" w:fill="auto"/>
            <w:vAlign w:val="center"/>
            <w:hideMark/>
          </w:tcPr>
          <w:p w:rsidR="002F658F" w:rsidRPr="00CC18AA" w:rsidRDefault="002F658F" w:rsidP="00CC18AA">
            <w:pPr>
              <w:spacing w:before="60" w:after="60"/>
              <w:jc w:val="center"/>
              <w:rPr>
                <w:rFonts w:cs="Arial"/>
                <w:color w:val="000000"/>
                <w:szCs w:val="20"/>
                <w:highlight w:val="green"/>
                <w:lang w:val="en-US" w:eastAsia="en-AU"/>
              </w:rPr>
            </w:pPr>
            <w:r w:rsidRPr="00CC18AA">
              <w:rPr>
                <w:rFonts w:cs="Arial"/>
                <w:color w:val="000000"/>
                <w:szCs w:val="20"/>
                <w:lang w:val="en-US"/>
              </w:rPr>
              <w:t>6751398</w:t>
            </w:r>
          </w:p>
        </w:tc>
        <w:tc>
          <w:tcPr>
            <w:tcW w:w="680"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597"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679"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708"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Dry</w:t>
            </w:r>
          </w:p>
        </w:tc>
      </w:tr>
      <w:tr w:rsidR="005F23F1" w:rsidRPr="00C95C8D" w:rsidTr="00CC18AA">
        <w:trPr>
          <w:trHeight w:val="300"/>
        </w:trPr>
        <w:tc>
          <w:tcPr>
            <w:tcW w:w="1273" w:type="dxa"/>
            <w:vMerge/>
            <w:shd w:val="clear" w:color="auto" w:fill="auto"/>
            <w:vAlign w:val="center"/>
            <w:hideMark/>
          </w:tcPr>
          <w:p w:rsidR="002F658F" w:rsidRPr="00CC18AA" w:rsidRDefault="002F658F" w:rsidP="00CC18AA">
            <w:pPr>
              <w:spacing w:before="60" w:after="60"/>
              <w:jc w:val="left"/>
              <w:rPr>
                <w:rFonts w:cs="Arial"/>
                <w:bCs/>
                <w:color w:val="000000"/>
                <w:szCs w:val="20"/>
                <w:lang w:val="en-US" w:eastAsia="en-AU"/>
              </w:rPr>
            </w:pPr>
          </w:p>
        </w:tc>
        <w:tc>
          <w:tcPr>
            <w:tcW w:w="1562" w:type="dxa"/>
            <w:vMerge w:val="restar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Mehi River</w:t>
            </w:r>
          </w:p>
        </w:tc>
        <w:tc>
          <w:tcPr>
            <w:tcW w:w="1070"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ME1</w:t>
            </w:r>
          </w:p>
        </w:tc>
        <w:tc>
          <w:tcPr>
            <w:tcW w:w="1229" w:type="dxa"/>
            <w:shd w:val="clear" w:color="auto" w:fill="auto"/>
            <w:vAlign w:val="center"/>
            <w:hideMark/>
          </w:tcPr>
          <w:p w:rsidR="002F658F" w:rsidRPr="00CC18AA" w:rsidRDefault="002F658F" w:rsidP="00CC18AA">
            <w:pPr>
              <w:spacing w:before="60" w:after="60"/>
              <w:jc w:val="center"/>
              <w:rPr>
                <w:rFonts w:cs="Arial"/>
                <w:color w:val="000000"/>
                <w:szCs w:val="20"/>
                <w:highlight w:val="green"/>
                <w:lang w:val="en-US" w:eastAsia="en-AU"/>
              </w:rPr>
            </w:pPr>
            <w:r w:rsidRPr="00CC18AA">
              <w:rPr>
                <w:rFonts w:cs="Arial"/>
                <w:color w:val="000000"/>
                <w:szCs w:val="20"/>
                <w:lang w:val="en-US"/>
              </w:rPr>
              <w:t>793235</w:t>
            </w:r>
          </w:p>
        </w:tc>
        <w:tc>
          <w:tcPr>
            <w:tcW w:w="1274" w:type="dxa"/>
            <w:shd w:val="clear" w:color="auto" w:fill="auto"/>
            <w:vAlign w:val="center"/>
            <w:hideMark/>
          </w:tcPr>
          <w:p w:rsidR="002F658F" w:rsidRPr="00CC18AA" w:rsidRDefault="002F658F" w:rsidP="00CC18AA">
            <w:pPr>
              <w:spacing w:before="60" w:after="60"/>
              <w:jc w:val="center"/>
              <w:rPr>
                <w:rFonts w:cs="Arial"/>
                <w:color w:val="000000"/>
                <w:szCs w:val="20"/>
                <w:highlight w:val="green"/>
                <w:lang w:val="en-US" w:eastAsia="en-AU"/>
              </w:rPr>
            </w:pPr>
            <w:r w:rsidRPr="00CC18AA">
              <w:rPr>
                <w:rFonts w:cs="Arial"/>
                <w:color w:val="000000"/>
                <w:szCs w:val="20"/>
                <w:lang w:val="en-US"/>
              </w:rPr>
              <w:t>6736492</w:t>
            </w:r>
          </w:p>
        </w:tc>
        <w:tc>
          <w:tcPr>
            <w:tcW w:w="680"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597"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679"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708"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r>
      <w:tr w:rsidR="005F23F1" w:rsidRPr="00C95C8D" w:rsidTr="00CC18AA">
        <w:trPr>
          <w:trHeight w:val="300"/>
        </w:trPr>
        <w:tc>
          <w:tcPr>
            <w:tcW w:w="1273" w:type="dxa"/>
            <w:vMerge/>
            <w:shd w:val="clear" w:color="auto" w:fill="auto"/>
            <w:vAlign w:val="center"/>
            <w:hideMark/>
          </w:tcPr>
          <w:p w:rsidR="002F658F" w:rsidRPr="00CC18AA" w:rsidRDefault="002F658F" w:rsidP="00CC18AA">
            <w:pPr>
              <w:spacing w:before="60" w:after="60"/>
              <w:jc w:val="left"/>
              <w:rPr>
                <w:rFonts w:cs="Arial"/>
                <w:bCs/>
                <w:color w:val="000000"/>
                <w:szCs w:val="20"/>
                <w:lang w:val="en-US" w:eastAsia="en-AU"/>
              </w:rPr>
            </w:pPr>
          </w:p>
        </w:tc>
        <w:tc>
          <w:tcPr>
            <w:tcW w:w="1562" w:type="dxa"/>
            <w:vMerge/>
            <w:shd w:val="clear" w:color="auto" w:fill="auto"/>
            <w:vAlign w:val="center"/>
            <w:hideMark/>
          </w:tcPr>
          <w:p w:rsidR="002F658F" w:rsidRPr="00CC18AA" w:rsidRDefault="002F658F" w:rsidP="00CC18AA">
            <w:pPr>
              <w:spacing w:before="60" w:after="60"/>
              <w:jc w:val="left"/>
              <w:rPr>
                <w:rFonts w:cs="Arial"/>
                <w:color w:val="000000"/>
                <w:szCs w:val="20"/>
                <w:lang w:val="en-US" w:eastAsia="en-AU"/>
              </w:rPr>
            </w:pPr>
          </w:p>
        </w:tc>
        <w:tc>
          <w:tcPr>
            <w:tcW w:w="1070"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ME2</w:t>
            </w:r>
          </w:p>
        </w:tc>
        <w:tc>
          <w:tcPr>
            <w:tcW w:w="1229" w:type="dxa"/>
            <w:shd w:val="clear" w:color="auto" w:fill="auto"/>
            <w:vAlign w:val="center"/>
            <w:hideMark/>
          </w:tcPr>
          <w:p w:rsidR="002F658F" w:rsidRPr="00CC18AA" w:rsidRDefault="002F658F" w:rsidP="00CC18AA">
            <w:pPr>
              <w:spacing w:before="60" w:after="60"/>
              <w:jc w:val="center"/>
              <w:rPr>
                <w:rFonts w:cs="Arial"/>
                <w:color w:val="000000"/>
                <w:szCs w:val="20"/>
                <w:highlight w:val="green"/>
                <w:lang w:val="en-US" w:eastAsia="en-AU"/>
              </w:rPr>
            </w:pPr>
            <w:r w:rsidRPr="00CC18AA">
              <w:rPr>
                <w:rFonts w:cs="Arial"/>
                <w:color w:val="000000"/>
                <w:szCs w:val="20"/>
                <w:lang w:val="en-US"/>
              </w:rPr>
              <w:t>753567</w:t>
            </w:r>
          </w:p>
        </w:tc>
        <w:tc>
          <w:tcPr>
            <w:tcW w:w="1274" w:type="dxa"/>
            <w:shd w:val="clear" w:color="auto" w:fill="auto"/>
            <w:vAlign w:val="center"/>
            <w:hideMark/>
          </w:tcPr>
          <w:p w:rsidR="002F658F" w:rsidRPr="00CC18AA" w:rsidRDefault="002F658F" w:rsidP="00CC18AA">
            <w:pPr>
              <w:spacing w:before="60" w:after="60"/>
              <w:jc w:val="center"/>
              <w:rPr>
                <w:rFonts w:cs="Arial"/>
                <w:color w:val="000000"/>
                <w:szCs w:val="20"/>
                <w:highlight w:val="green"/>
                <w:lang w:val="en-US" w:eastAsia="en-AU"/>
              </w:rPr>
            </w:pPr>
            <w:r w:rsidRPr="00CC18AA">
              <w:rPr>
                <w:rFonts w:cs="Arial"/>
                <w:color w:val="000000"/>
                <w:szCs w:val="20"/>
                <w:lang w:val="en-US"/>
              </w:rPr>
              <w:t>6726597</w:t>
            </w:r>
          </w:p>
        </w:tc>
        <w:tc>
          <w:tcPr>
            <w:tcW w:w="680"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597"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679"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708"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r>
      <w:tr w:rsidR="005F23F1" w:rsidRPr="00C95C8D" w:rsidTr="00CC18AA">
        <w:trPr>
          <w:trHeight w:val="300"/>
        </w:trPr>
        <w:tc>
          <w:tcPr>
            <w:tcW w:w="1273" w:type="dxa"/>
            <w:vMerge/>
            <w:shd w:val="clear" w:color="auto" w:fill="auto"/>
            <w:vAlign w:val="center"/>
            <w:hideMark/>
          </w:tcPr>
          <w:p w:rsidR="002F658F" w:rsidRPr="00CC18AA" w:rsidRDefault="002F658F" w:rsidP="00CC18AA">
            <w:pPr>
              <w:spacing w:before="60" w:after="60"/>
              <w:jc w:val="left"/>
              <w:rPr>
                <w:rFonts w:cs="Arial"/>
                <w:bCs/>
                <w:color w:val="000000"/>
                <w:szCs w:val="20"/>
                <w:lang w:val="en-US" w:eastAsia="en-AU"/>
              </w:rPr>
            </w:pPr>
          </w:p>
        </w:tc>
        <w:tc>
          <w:tcPr>
            <w:tcW w:w="1562" w:type="dxa"/>
            <w:vMerge/>
            <w:shd w:val="clear" w:color="auto" w:fill="auto"/>
            <w:vAlign w:val="center"/>
            <w:hideMark/>
          </w:tcPr>
          <w:p w:rsidR="002F658F" w:rsidRPr="00CC18AA" w:rsidRDefault="002F658F" w:rsidP="00CC18AA">
            <w:pPr>
              <w:spacing w:before="60" w:after="60"/>
              <w:jc w:val="left"/>
              <w:rPr>
                <w:rFonts w:cs="Arial"/>
                <w:color w:val="000000"/>
                <w:szCs w:val="20"/>
                <w:lang w:val="en-US" w:eastAsia="en-AU"/>
              </w:rPr>
            </w:pPr>
          </w:p>
        </w:tc>
        <w:tc>
          <w:tcPr>
            <w:tcW w:w="1070"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ME3</w:t>
            </w:r>
          </w:p>
        </w:tc>
        <w:tc>
          <w:tcPr>
            <w:tcW w:w="1229" w:type="dxa"/>
            <w:shd w:val="clear" w:color="auto" w:fill="auto"/>
            <w:vAlign w:val="center"/>
            <w:hideMark/>
          </w:tcPr>
          <w:p w:rsidR="002F658F" w:rsidRPr="00CC18AA" w:rsidRDefault="002F658F" w:rsidP="00CC18AA">
            <w:pPr>
              <w:spacing w:before="60" w:after="60"/>
              <w:jc w:val="center"/>
              <w:rPr>
                <w:rFonts w:cs="Arial"/>
                <w:color w:val="000000"/>
                <w:szCs w:val="20"/>
                <w:highlight w:val="green"/>
                <w:lang w:val="en-US" w:eastAsia="en-AU"/>
              </w:rPr>
            </w:pPr>
            <w:r w:rsidRPr="00CC18AA">
              <w:rPr>
                <w:rFonts w:cs="Arial"/>
                <w:color w:val="000000"/>
                <w:szCs w:val="20"/>
                <w:lang w:val="en-US"/>
              </w:rPr>
              <w:t>719420</w:t>
            </w:r>
          </w:p>
        </w:tc>
        <w:tc>
          <w:tcPr>
            <w:tcW w:w="1274" w:type="dxa"/>
            <w:shd w:val="clear" w:color="auto" w:fill="auto"/>
            <w:vAlign w:val="center"/>
            <w:hideMark/>
          </w:tcPr>
          <w:p w:rsidR="002F658F" w:rsidRPr="00CC18AA" w:rsidRDefault="002F658F" w:rsidP="00CC18AA">
            <w:pPr>
              <w:spacing w:before="60" w:after="60"/>
              <w:jc w:val="center"/>
              <w:rPr>
                <w:rFonts w:cs="Arial"/>
                <w:color w:val="000000"/>
                <w:szCs w:val="20"/>
                <w:highlight w:val="green"/>
                <w:lang w:val="en-US" w:eastAsia="en-AU"/>
              </w:rPr>
            </w:pPr>
            <w:r w:rsidRPr="00CC18AA">
              <w:rPr>
                <w:rFonts w:cs="Arial"/>
                <w:color w:val="000000"/>
                <w:szCs w:val="20"/>
                <w:lang w:val="en-US"/>
              </w:rPr>
              <w:t>6731644</w:t>
            </w:r>
          </w:p>
        </w:tc>
        <w:tc>
          <w:tcPr>
            <w:tcW w:w="680"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597"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679"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708"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r>
      <w:tr w:rsidR="005F23F1" w:rsidRPr="00C95C8D" w:rsidTr="00CC18AA">
        <w:trPr>
          <w:trHeight w:val="300"/>
        </w:trPr>
        <w:tc>
          <w:tcPr>
            <w:tcW w:w="1273" w:type="dxa"/>
            <w:vMerge/>
            <w:shd w:val="clear" w:color="auto" w:fill="auto"/>
            <w:vAlign w:val="center"/>
            <w:hideMark/>
          </w:tcPr>
          <w:p w:rsidR="002F658F" w:rsidRPr="00CC18AA" w:rsidRDefault="002F658F" w:rsidP="00CC18AA">
            <w:pPr>
              <w:spacing w:before="60" w:after="60"/>
              <w:jc w:val="left"/>
              <w:rPr>
                <w:rFonts w:cs="Arial"/>
                <w:bCs/>
                <w:color w:val="000000"/>
                <w:szCs w:val="20"/>
                <w:lang w:val="en-US" w:eastAsia="en-AU"/>
              </w:rPr>
            </w:pPr>
          </w:p>
        </w:tc>
        <w:tc>
          <w:tcPr>
            <w:tcW w:w="1562" w:type="dxa"/>
            <w:vMerge w:val="restar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Moomin Creek</w:t>
            </w:r>
          </w:p>
        </w:tc>
        <w:tc>
          <w:tcPr>
            <w:tcW w:w="1070"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MO1</w:t>
            </w:r>
          </w:p>
        </w:tc>
        <w:tc>
          <w:tcPr>
            <w:tcW w:w="1229" w:type="dxa"/>
            <w:shd w:val="clear" w:color="auto" w:fill="auto"/>
            <w:vAlign w:val="center"/>
            <w:hideMark/>
          </w:tcPr>
          <w:p w:rsidR="002F658F" w:rsidRPr="00CC18AA" w:rsidRDefault="002F658F" w:rsidP="00CC18AA">
            <w:pPr>
              <w:spacing w:before="60" w:after="60"/>
              <w:jc w:val="center"/>
              <w:rPr>
                <w:rFonts w:cs="Arial"/>
                <w:color w:val="000000"/>
                <w:szCs w:val="20"/>
                <w:highlight w:val="green"/>
                <w:lang w:val="en-US" w:eastAsia="en-AU"/>
              </w:rPr>
            </w:pPr>
            <w:r w:rsidRPr="00CC18AA">
              <w:rPr>
                <w:rFonts w:cs="Arial"/>
                <w:color w:val="000000"/>
                <w:szCs w:val="20"/>
                <w:lang w:val="en-US"/>
              </w:rPr>
              <w:t>753679</w:t>
            </w:r>
          </w:p>
        </w:tc>
        <w:tc>
          <w:tcPr>
            <w:tcW w:w="1274" w:type="dxa"/>
            <w:shd w:val="clear" w:color="auto" w:fill="auto"/>
            <w:vAlign w:val="center"/>
            <w:hideMark/>
          </w:tcPr>
          <w:p w:rsidR="002F658F" w:rsidRPr="00CC18AA" w:rsidRDefault="002F658F" w:rsidP="00CC18AA">
            <w:pPr>
              <w:spacing w:before="60" w:after="60"/>
              <w:jc w:val="center"/>
              <w:rPr>
                <w:rFonts w:cs="Arial"/>
                <w:color w:val="000000"/>
                <w:szCs w:val="20"/>
                <w:highlight w:val="green"/>
                <w:lang w:val="en-US" w:eastAsia="en-AU"/>
              </w:rPr>
            </w:pPr>
            <w:r w:rsidRPr="00CC18AA">
              <w:rPr>
                <w:rFonts w:cs="Arial"/>
                <w:color w:val="000000"/>
                <w:szCs w:val="20"/>
                <w:lang w:val="en-US"/>
              </w:rPr>
              <w:t>6721789</w:t>
            </w:r>
          </w:p>
        </w:tc>
        <w:tc>
          <w:tcPr>
            <w:tcW w:w="680"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597"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679"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708"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r>
      <w:tr w:rsidR="005F23F1" w:rsidRPr="00C95C8D" w:rsidTr="00CC18AA">
        <w:trPr>
          <w:trHeight w:val="300"/>
        </w:trPr>
        <w:tc>
          <w:tcPr>
            <w:tcW w:w="1273" w:type="dxa"/>
            <w:vMerge/>
            <w:shd w:val="clear" w:color="auto" w:fill="auto"/>
            <w:hideMark/>
          </w:tcPr>
          <w:p w:rsidR="002F658F" w:rsidRPr="00CC18AA" w:rsidRDefault="002F658F" w:rsidP="00CC18AA">
            <w:pPr>
              <w:spacing w:before="60" w:after="60"/>
              <w:rPr>
                <w:rFonts w:cs="Arial"/>
                <w:bCs/>
                <w:color w:val="000000"/>
                <w:szCs w:val="20"/>
                <w:lang w:val="en-US" w:eastAsia="en-AU"/>
              </w:rPr>
            </w:pPr>
          </w:p>
        </w:tc>
        <w:tc>
          <w:tcPr>
            <w:tcW w:w="1562" w:type="dxa"/>
            <w:vMerge/>
            <w:shd w:val="clear" w:color="auto" w:fill="auto"/>
            <w:hideMark/>
          </w:tcPr>
          <w:p w:rsidR="002F658F" w:rsidRPr="00CC18AA" w:rsidRDefault="002F658F" w:rsidP="00CC18AA">
            <w:pPr>
              <w:spacing w:before="60" w:after="60"/>
              <w:rPr>
                <w:rFonts w:cs="Arial"/>
                <w:color w:val="000000"/>
                <w:szCs w:val="20"/>
                <w:lang w:val="en-US" w:eastAsia="en-AU"/>
              </w:rPr>
            </w:pPr>
          </w:p>
        </w:tc>
        <w:tc>
          <w:tcPr>
            <w:tcW w:w="1070"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MO2</w:t>
            </w:r>
          </w:p>
        </w:tc>
        <w:tc>
          <w:tcPr>
            <w:tcW w:w="1229" w:type="dxa"/>
            <w:shd w:val="clear" w:color="auto" w:fill="auto"/>
            <w:vAlign w:val="center"/>
            <w:hideMark/>
          </w:tcPr>
          <w:p w:rsidR="002F658F" w:rsidRPr="00CC18AA" w:rsidRDefault="002F658F" w:rsidP="00CC18AA">
            <w:pPr>
              <w:spacing w:before="60" w:after="60"/>
              <w:jc w:val="center"/>
              <w:rPr>
                <w:rFonts w:cs="Arial"/>
                <w:color w:val="000000"/>
                <w:szCs w:val="20"/>
                <w:highlight w:val="green"/>
                <w:lang w:val="en-US" w:eastAsia="en-AU"/>
              </w:rPr>
            </w:pPr>
            <w:r w:rsidRPr="00CC18AA">
              <w:rPr>
                <w:rFonts w:cs="Arial"/>
                <w:color w:val="000000"/>
                <w:szCs w:val="20"/>
                <w:lang w:val="en-US"/>
              </w:rPr>
              <w:t>740017</w:t>
            </w:r>
          </w:p>
        </w:tc>
        <w:tc>
          <w:tcPr>
            <w:tcW w:w="1274" w:type="dxa"/>
            <w:shd w:val="clear" w:color="auto" w:fill="auto"/>
            <w:vAlign w:val="center"/>
            <w:hideMark/>
          </w:tcPr>
          <w:p w:rsidR="002F658F" w:rsidRPr="00CC18AA" w:rsidRDefault="002F658F" w:rsidP="00CC18AA">
            <w:pPr>
              <w:spacing w:before="60" w:after="60"/>
              <w:jc w:val="center"/>
              <w:rPr>
                <w:rFonts w:cs="Arial"/>
                <w:color w:val="000000"/>
                <w:szCs w:val="20"/>
                <w:highlight w:val="green"/>
                <w:lang w:val="en-US" w:eastAsia="en-AU"/>
              </w:rPr>
            </w:pPr>
            <w:r w:rsidRPr="00CC18AA">
              <w:rPr>
                <w:rFonts w:cs="Arial"/>
                <w:color w:val="000000"/>
                <w:szCs w:val="20"/>
                <w:lang w:val="en-US"/>
              </w:rPr>
              <w:t>6712591</w:t>
            </w:r>
          </w:p>
        </w:tc>
        <w:tc>
          <w:tcPr>
            <w:tcW w:w="680"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597"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679"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708"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r>
      <w:tr w:rsidR="005F23F1" w:rsidRPr="00C95C8D" w:rsidTr="00CC18AA">
        <w:trPr>
          <w:trHeight w:val="300"/>
        </w:trPr>
        <w:tc>
          <w:tcPr>
            <w:tcW w:w="1273" w:type="dxa"/>
            <w:vMerge/>
            <w:shd w:val="clear" w:color="auto" w:fill="auto"/>
            <w:hideMark/>
          </w:tcPr>
          <w:p w:rsidR="002F658F" w:rsidRPr="00CC18AA" w:rsidRDefault="002F658F" w:rsidP="00CC18AA">
            <w:pPr>
              <w:spacing w:before="60" w:after="60"/>
              <w:rPr>
                <w:rFonts w:cs="Arial"/>
                <w:bCs/>
                <w:color w:val="000000"/>
                <w:szCs w:val="20"/>
                <w:lang w:val="en-US" w:eastAsia="en-AU"/>
              </w:rPr>
            </w:pPr>
          </w:p>
        </w:tc>
        <w:tc>
          <w:tcPr>
            <w:tcW w:w="1562" w:type="dxa"/>
            <w:vMerge/>
            <w:shd w:val="clear" w:color="auto" w:fill="auto"/>
            <w:hideMark/>
          </w:tcPr>
          <w:p w:rsidR="002F658F" w:rsidRPr="00CC18AA" w:rsidRDefault="002F658F" w:rsidP="00CC18AA">
            <w:pPr>
              <w:spacing w:before="60" w:after="60"/>
              <w:rPr>
                <w:rFonts w:cs="Arial"/>
                <w:color w:val="000000"/>
                <w:szCs w:val="20"/>
                <w:lang w:val="en-US" w:eastAsia="en-AU"/>
              </w:rPr>
            </w:pPr>
          </w:p>
        </w:tc>
        <w:tc>
          <w:tcPr>
            <w:tcW w:w="1070"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MO3</w:t>
            </w:r>
          </w:p>
        </w:tc>
        <w:tc>
          <w:tcPr>
            <w:tcW w:w="1229" w:type="dxa"/>
            <w:shd w:val="clear" w:color="auto" w:fill="auto"/>
            <w:vAlign w:val="center"/>
            <w:hideMark/>
          </w:tcPr>
          <w:p w:rsidR="002F658F" w:rsidRPr="00CC18AA" w:rsidRDefault="002F658F" w:rsidP="00CC18AA">
            <w:pPr>
              <w:spacing w:before="60" w:after="60"/>
              <w:jc w:val="center"/>
              <w:rPr>
                <w:rFonts w:cs="Arial"/>
                <w:color w:val="000000"/>
                <w:szCs w:val="20"/>
                <w:highlight w:val="green"/>
                <w:lang w:val="en-US" w:eastAsia="en-AU"/>
              </w:rPr>
            </w:pPr>
            <w:r w:rsidRPr="00CC18AA">
              <w:rPr>
                <w:rFonts w:cs="Arial"/>
                <w:color w:val="000000"/>
                <w:szCs w:val="20"/>
                <w:lang w:val="en-US"/>
              </w:rPr>
              <w:t>708808</w:t>
            </w:r>
          </w:p>
        </w:tc>
        <w:tc>
          <w:tcPr>
            <w:tcW w:w="1274" w:type="dxa"/>
            <w:shd w:val="clear" w:color="auto" w:fill="auto"/>
            <w:vAlign w:val="center"/>
            <w:hideMark/>
          </w:tcPr>
          <w:p w:rsidR="002F658F" w:rsidRPr="00CC18AA" w:rsidRDefault="002F658F" w:rsidP="00CC18AA">
            <w:pPr>
              <w:spacing w:before="60" w:after="60"/>
              <w:jc w:val="center"/>
              <w:rPr>
                <w:rFonts w:cs="Arial"/>
                <w:color w:val="000000"/>
                <w:szCs w:val="20"/>
                <w:highlight w:val="green"/>
                <w:lang w:val="en-US" w:eastAsia="en-AU"/>
              </w:rPr>
            </w:pPr>
            <w:r w:rsidRPr="00CC18AA">
              <w:rPr>
                <w:rFonts w:cs="Arial"/>
                <w:color w:val="000000"/>
                <w:szCs w:val="20"/>
                <w:lang w:val="en-US"/>
              </w:rPr>
              <w:t>6714077</w:t>
            </w:r>
          </w:p>
        </w:tc>
        <w:tc>
          <w:tcPr>
            <w:tcW w:w="680"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597"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679"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c>
          <w:tcPr>
            <w:tcW w:w="708" w:type="dxa"/>
            <w:shd w:val="clear" w:color="auto" w:fill="auto"/>
            <w:noWrap/>
            <w:hideMark/>
          </w:tcPr>
          <w:p w:rsidR="002F658F" w:rsidRPr="00CC18AA" w:rsidRDefault="002F658F" w:rsidP="00CC18AA">
            <w:pPr>
              <w:spacing w:before="60" w:after="60"/>
              <w:jc w:val="center"/>
              <w:rPr>
                <w:rFonts w:cs="Arial"/>
                <w:color w:val="000000"/>
                <w:szCs w:val="20"/>
                <w:lang w:val="en-US" w:eastAsia="en-AU"/>
              </w:rPr>
            </w:pPr>
            <w:r w:rsidRPr="00CC18AA">
              <w:rPr>
                <w:rFonts w:cs="Arial"/>
                <w:color w:val="000000"/>
                <w:szCs w:val="20"/>
                <w:lang w:val="en-US" w:eastAsia="en-AU"/>
              </w:rPr>
              <w:t>Wet</w:t>
            </w:r>
          </w:p>
        </w:tc>
      </w:tr>
    </w:tbl>
    <w:p w:rsidR="00C46513" w:rsidRDefault="001D5C06" w:rsidP="005F23F1">
      <w:pPr>
        <w:pStyle w:val="Heading8"/>
      </w:pPr>
      <w:r>
        <w:br w:type="page"/>
      </w:r>
      <w:r w:rsidR="00C46513">
        <w:t>Field and laboratory methods</w:t>
      </w:r>
    </w:p>
    <w:p w:rsidR="00C95C8D" w:rsidRDefault="00C46513" w:rsidP="00C46513">
      <w:r>
        <w:t>Category III ma</w:t>
      </w:r>
      <w:r w:rsidRPr="007762E8">
        <w:t>croinvertebrate</w:t>
      </w:r>
      <w:r>
        <w:t xml:space="preserve"> indicator monitoring was conducted following the Standard Operating </w:t>
      </w:r>
      <w:r w:rsidRPr="0001691F">
        <w:t xml:space="preserve">Procedures in Hale </w:t>
      </w:r>
      <w:r w:rsidRPr="0001691F">
        <w:rPr>
          <w:i/>
        </w:rPr>
        <w:t>et al.</w:t>
      </w:r>
      <w:r w:rsidRPr="0001691F">
        <w:t xml:space="preserve"> (2013).</w:t>
      </w:r>
    </w:p>
    <w:p w:rsidR="00C46513" w:rsidRDefault="00C46513" w:rsidP="00401294">
      <w:pPr>
        <w:pStyle w:val="Heading8"/>
      </w:pPr>
      <w:r>
        <w:t>Statistical methods</w:t>
      </w:r>
    </w:p>
    <w:p w:rsidR="00C46513" w:rsidRDefault="00C46513" w:rsidP="00C46513">
      <w:r>
        <w:t>To describe and summarize the diversity of macroinvertebrate community composition, taxa richness (S), Shannon Weiner diversity (d) and density (number of individual/L) were each calculated in PRIMER v6.1.13 using the DIVERSE function.</w:t>
      </w:r>
    </w:p>
    <w:p w:rsidR="00C46513" w:rsidRDefault="00C46513" w:rsidP="00C46513">
      <w:r>
        <w:t xml:space="preserve">A mixed-effects general linear model was used to test hypotheses for differences in taxa richness, diversity and density between </w:t>
      </w:r>
      <w:r w:rsidR="00234CC4">
        <w:t>time</w:t>
      </w:r>
      <w:r>
        <w:t xml:space="preserve"> (with 4 random levels, Sep-15, Feb-16, Mar-16 and Apr-16), </w:t>
      </w:r>
      <w:r w:rsidR="00234CC4">
        <w:t>zone</w:t>
      </w:r>
      <w:r>
        <w:t xml:space="preserve"> (with 4 fixed levels, Gingham </w:t>
      </w:r>
      <w:r w:rsidR="001C3C04">
        <w:t>watercourse</w:t>
      </w:r>
      <w:r>
        <w:t xml:space="preserve">, Gwydir River, Mehi River and Moomin Creek) and </w:t>
      </w:r>
      <w:r w:rsidR="00234CC4">
        <w:t>time</w:t>
      </w:r>
      <w:r>
        <w:t xml:space="preserve"> x </w:t>
      </w:r>
      <w:r w:rsidR="00234CC4">
        <w:t>zone</w:t>
      </w:r>
      <w:r>
        <w:t xml:space="preserve"> interaction. </w:t>
      </w:r>
      <w:r w:rsidR="008E049F">
        <w:t xml:space="preserve"> </w:t>
      </w:r>
      <w:r>
        <w:t xml:space="preserve">Data were checked for normality using the Shapiro-Wilk test and heterogeneity of variances using the Barelett’s test for comparing between two groups and Levene’s test for comparing more than two groups. </w:t>
      </w:r>
      <w:r w:rsidR="008E049F">
        <w:t xml:space="preserve"> </w:t>
      </w:r>
      <w:r>
        <w:t>The natural log (ln) transformation was applied to richness and density data to satisfy the assumptions of approximate normality and homogeneous variances.</w:t>
      </w:r>
    </w:p>
    <w:p w:rsidR="008E049F" w:rsidRDefault="00C46513" w:rsidP="00C46513">
      <w:r>
        <w:t xml:space="preserve">Permutational multivariate analysis of variance (PERMANOVA) analyses were used to test the hypotheses for differences in macroinvertebrate community composition between </w:t>
      </w:r>
      <w:r w:rsidR="00234CC4">
        <w:t>time</w:t>
      </w:r>
      <w:r>
        <w:t xml:space="preserve"> (with 4 random levels, Sep-15, Feb-16, Mar-16 and Apr-16),</w:t>
      </w:r>
      <w:r w:rsidRPr="00134128">
        <w:t xml:space="preserve"> </w:t>
      </w:r>
      <w:r w:rsidR="00234CC4">
        <w:t>zone</w:t>
      </w:r>
      <w:r>
        <w:t xml:space="preserve"> (with 4 fixed levels, Gingham </w:t>
      </w:r>
      <w:r w:rsidR="001C3C04">
        <w:t>watercourse</w:t>
      </w:r>
      <w:r>
        <w:t xml:space="preserve">, Gwydir River, Mehi River and Moomin Creek) and </w:t>
      </w:r>
      <w:r w:rsidR="00234CC4">
        <w:t>time</w:t>
      </w:r>
      <w:r>
        <w:t xml:space="preserve"> x </w:t>
      </w:r>
      <w:r w:rsidR="00234CC4">
        <w:t>zone</w:t>
      </w:r>
      <w:r>
        <w:t xml:space="preserve"> interaction. </w:t>
      </w:r>
      <w:r w:rsidR="008E049F">
        <w:t xml:space="preserve"> </w:t>
      </w:r>
      <w:r>
        <w:t>Up to 999 random permutations estimated the probability of p-values, with levels of significance reported as p&lt;</w:t>
      </w:r>
      <w:r w:rsidRPr="00C77A8A">
        <w:t>0.05.</w:t>
      </w:r>
      <w:r w:rsidR="008E049F">
        <w:t xml:space="preserve"> </w:t>
      </w:r>
      <w:r>
        <w:t xml:space="preserve"> </w:t>
      </w:r>
    </w:p>
    <w:p w:rsidR="00C46513" w:rsidRDefault="00C46513" w:rsidP="00C46513">
      <w:r>
        <w:t xml:space="preserve">The abundance data were transformed into two datasets </w:t>
      </w:r>
      <w:r w:rsidR="00234CC4">
        <w:t>that</w:t>
      </w:r>
      <w:r>
        <w:t xml:space="preserve"> weigh</w:t>
      </w:r>
      <w:r w:rsidR="00C02454">
        <w:t>t</w:t>
      </w:r>
      <w:r>
        <w:t xml:space="preserve"> the contributions of common and rare species differently</w:t>
      </w:r>
      <w:r w:rsidR="00C02454">
        <w:t>:</w:t>
      </w:r>
      <w:r>
        <w:t xml:space="preserve"> (1) Presence-absence data represents actual taxa occurrence in a community. (2) Abundance data (square root transformation to stabilize variance and to improve normality (Clarke &amp; Warwic</w:t>
      </w:r>
      <w:r w:rsidR="00561C43">
        <w:t>k</w:t>
      </w:r>
      <w:r>
        <w:t>, 2001) represents relative proportions of taxa occurrence in a community.</w:t>
      </w:r>
    </w:p>
    <w:p w:rsidR="00C46513" w:rsidRDefault="00C46513" w:rsidP="00C46513">
      <w:r>
        <w:t>For each multivariate analysis, a Bray-Curtis dissimilarity matrix was generated by rank</w:t>
      </w:r>
      <w:r w:rsidR="00C02454">
        <w:t>,</w:t>
      </w:r>
      <w:r>
        <w:t xml:space="preserve"> correlating the community structure between samples. </w:t>
      </w:r>
      <w:r w:rsidR="008E049F">
        <w:t xml:space="preserve"> </w:t>
      </w:r>
      <w:r>
        <w:t>Then, nonmetric multidimensional scaling ordinations (</w:t>
      </w:r>
      <w:r w:rsidR="00185253">
        <w:t>n</w:t>
      </w:r>
      <w:r>
        <w:t>MDS) were used to visualise community patterns and similarity percentages (SIMPER) were used to determine the taxa contributing to th</w:t>
      </w:r>
      <w:r w:rsidR="00234CC4">
        <w:t xml:space="preserve">e observed community patterns. </w:t>
      </w:r>
      <w:r w:rsidR="008E049F">
        <w:t xml:space="preserve"> </w:t>
      </w:r>
      <w:proofErr w:type="gramStart"/>
      <w:r w:rsidR="00234CC4">
        <w:t>n</w:t>
      </w:r>
      <w:r>
        <w:t>MDS</w:t>
      </w:r>
      <w:proofErr w:type="gramEnd"/>
      <w:r>
        <w:t xml:space="preserve"> output with stress values of less than 0.2 were considered appropriate for interpretation (Clarke &amp; Warwick, 2001). </w:t>
      </w:r>
    </w:p>
    <w:p w:rsidR="00C46513" w:rsidRDefault="00C46513" w:rsidP="00C46513">
      <w:r>
        <w:t xml:space="preserve">All univariate analyses were performed in SYSTAT v13 (SYSTAT Software </w:t>
      </w:r>
      <w:r w:rsidR="00561C43">
        <w:t>Inc.</w:t>
      </w:r>
      <w:r>
        <w:t xml:space="preserve">, 2009) and multivariate analyses were performed in PRIMER v6.1.13 with the PERMANOVA+ v1.0.3 add-on package (PRIMER-E, 2009). </w:t>
      </w:r>
    </w:p>
    <w:p w:rsidR="00C46513" w:rsidRDefault="00C46513" w:rsidP="00401294">
      <w:pPr>
        <w:pStyle w:val="Heading7"/>
      </w:pPr>
      <w:r>
        <w:t>Results</w:t>
      </w:r>
    </w:p>
    <w:p w:rsidR="00C46513" w:rsidRDefault="00C46513" w:rsidP="009F3BFA">
      <w:r>
        <w:t>A total of 58 taxa were identified (from 60 samples</w:t>
      </w:r>
      <w:r w:rsidR="008E2ACC">
        <w:t>;</w:t>
      </w:r>
      <w:r w:rsidR="001631E1">
        <w:t xml:space="preserve"> </w:t>
      </w:r>
      <w:r w:rsidR="001631E1">
        <w:fldChar w:fldCharType="begin"/>
      </w:r>
      <w:r w:rsidR="001631E1">
        <w:instrText xml:space="preserve"> REF _Ref459279131 \h </w:instrText>
      </w:r>
      <w:r w:rsidR="001631E1">
        <w:fldChar w:fldCharType="separate"/>
      </w:r>
      <w:r w:rsidR="005D5925">
        <w:t xml:space="preserve">Figure </w:t>
      </w:r>
      <w:r w:rsidR="005D5925">
        <w:rPr>
          <w:noProof/>
        </w:rPr>
        <w:t>E</w:t>
      </w:r>
      <w:r w:rsidR="005D5925">
        <w:noBreakHyphen/>
      </w:r>
      <w:r w:rsidR="005D5925">
        <w:rPr>
          <w:noProof/>
        </w:rPr>
        <w:t>1</w:t>
      </w:r>
      <w:r w:rsidR="001631E1">
        <w:fldChar w:fldCharType="end"/>
      </w:r>
      <w:r w:rsidR="008E049F">
        <w:t xml:space="preserve"> and E-2</w:t>
      </w:r>
      <w:r w:rsidR="00870125">
        <w:t>)</w:t>
      </w:r>
      <w:r>
        <w:t xml:space="preserve">. </w:t>
      </w:r>
      <w:r w:rsidR="008E049F">
        <w:t xml:space="preserve"> </w:t>
      </w:r>
      <w:r>
        <w:t xml:space="preserve">The 12 most abundant taxa (&gt;1% in total abundance) comprised 94% of the total abundance </w:t>
      </w:r>
      <w:r w:rsidR="00870125">
        <w:t>and included</w:t>
      </w:r>
      <w:r>
        <w:t xml:space="preserve"> Atyidae (28% of the total abundance), Corixidae (19%), Palaemonidae (12%), Chironnomidae (7%) and</w:t>
      </w:r>
      <w:r w:rsidRPr="00745A19">
        <w:t xml:space="preserve"> </w:t>
      </w:r>
      <w:r>
        <w:t xml:space="preserve">Baetidae (7%) commonly occurring in all zones. </w:t>
      </w:r>
      <w:r w:rsidR="008E049F">
        <w:t xml:space="preserve"> </w:t>
      </w:r>
      <w:r>
        <w:t xml:space="preserve">The other most abundant species in descending order are Hydropsychidae (7%), Notonectidae (5%), Copepoda (4%), and Caenidae (2%) and Gerridae (2%).  </w:t>
      </w:r>
    </w:p>
    <w:p w:rsidR="00234CC4" w:rsidRDefault="004176FF" w:rsidP="001631E1">
      <w:pPr>
        <w:spacing w:line="240" w:lineRule="auto"/>
        <w:jc w:val="center"/>
      </w:pPr>
      <w:r w:rsidRPr="008F5E11">
        <w:rPr>
          <w:noProof/>
          <w:lang w:eastAsia="en-AU"/>
        </w:rPr>
        <w:drawing>
          <wp:inline distT="0" distB="0" distL="0" distR="0">
            <wp:extent cx="5038725" cy="3495675"/>
            <wp:effectExtent l="19050" t="19050" r="28575" b="28575"/>
            <wp:docPr id="54" name="Picture 12" descr="\\Ecoarmdc\e$\Armidale\Synergy\Projects\14ARM\14ARMNRM\14ARMNRM-0001 Gwydir LTIM Stage 2\Indicators\Indicators (Y1)\Microcrustaceans\pictures\shri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coarmdc\e$\Armidale\Synergy\Projects\14ARM\14ARMNRM\14ARMNRM-0001 Gwydir LTIM Stage 2\Indicators\Indicators (Y1)\Microcrustaceans\pictures\shrimp.jpg"/>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5038725" cy="3495675"/>
                    </a:xfrm>
                    <a:prstGeom prst="rect">
                      <a:avLst/>
                    </a:prstGeom>
                    <a:noFill/>
                    <a:ln w="9525" cmpd="sng">
                      <a:solidFill>
                        <a:srgbClr val="7F7F7F"/>
                      </a:solidFill>
                      <a:miter lim="800000"/>
                      <a:headEnd/>
                      <a:tailEnd/>
                    </a:ln>
                    <a:effectLst/>
                  </pic:spPr>
                </pic:pic>
              </a:graphicData>
            </a:graphic>
          </wp:inline>
        </w:drawing>
      </w:r>
    </w:p>
    <w:p w:rsidR="001D5C06" w:rsidRDefault="001D5C06" w:rsidP="001D5C06">
      <w:pPr>
        <w:pStyle w:val="Caption"/>
      </w:pPr>
      <w:bookmarkStart w:id="65" w:name="_Ref459279131"/>
      <w:r>
        <w:t xml:space="preserve">Figure </w:t>
      </w:r>
      <w:fldSimple w:instr=" STYLEREF 6 \s ">
        <w:r w:rsidR="00673DAF">
          <w:rPr>
            <w:noProof/>
          </w:rPr>
          <w:t>E</w:t>
        </w:r>
      </w:fldSimple>
      <w:r w:rsidR="00673DAF">
        <w:noBreakHyphen/>
      </w:r>
      <w:fldSimple w:instr=" SEQ Figure \* ARABIC \s 6 ">
        <w:r w:rsidR="00673DAF">
          <w:rPr>
            <w:noProof/>
          </w:rPr>
          <w:t>1</w:t>
        </w:r>
      </w:fldSimple>
      <w:bookmarkEnd w:id="65"/>
      <w:r>
        <w:t xml:space="preserve"> Microinvertebrates collected in the 2015-16 survey. Freshwater shrimps (Atyidae) </w:t>
      </w:r>
    </w:p>
    <w:p w:rsidR="001D5C06" w:rsidRPr="001D5C06" w:rsidRDefault="001D5C06" w:rsidP="001D5C06"/>
    <w:p w:rsidR="001631E1" w:rsidRDefault="004176FF" w:rsidP="001631E1">
      <w:pPr>
        <w:keepNext/>
        <w:spacing w:line="240" w:lineRule="auto"/>
        <w:jc w:val="center"/>
      </w:pPr>
      <w:r w:rsidRPr="008F5E11">
        <w:rPr>
          <w:noProof/>
          <w:lang w:eastAsia="en-AU"/>
        </w:rPr>
        <w:drawing>
          <wp:inline distT="0" distB="0" distL="0" distR="0">
            <wp:extent cx="5038725" cy="3781425"/>
            <wp:effectExtent l="19050" t="19050" r="28575" b="28575"/>
            <wp:docPr id="55" name="Picture 21" descr="N:\Projects\15ARM\2427 Gwydir LTIM Stage 2 - Year 2\Indicators\Indicators (Y2)\Macroinvertebrates\Iris bug pics\Baetida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Projects\15ARM\2427 Gwydir LTIM Stage 2 - Year 2\Indicators\Indicators (Y2)\Macroinvertebrates\Iris bug pics\Baetidae.tif"/>
                    <pic:cNvPicPr>
                      <a:picLocks noChangeAspect="1" noChangeArrowheads="1"/>
                    </pic:cNvPicPr>
                  </pic:nvPicPr>
                  <pic:blipFill>
                    <a:blip r:embed="rId88">
                      <a:extLst>
                        <a:ext uri="{28A0092B-C50C-407E-A947-70E740481C1C}">
                          <a14:useLocalDpi xmlns:a14="http://schemas.microsoft.com/office/drawing/2010/main"/>
                        </a:ext>
                      </a:extLst>
                    </a:blip>
                    <a:srcRect/>
                    <a:stretch>
                      <a:fillRect/>
                    </a:stretch>
                  </pic:blipFill>
                  <pic:spPr bwMode="auto">
                    <a:xfrm>
                      <a:off x="0" y="0"/>
                      <a:ext cx="5038725" cy="3781425"/>
                    </a:xfrm>
                    <a:prstGeom prst="rect">
                      <a:avLst/>
                    </a:prstGeom>
                    <a:noFill/>
                    <a:ln w="9525" cmpd="sng">
                      <a:solidFill>
                        <a:srgbClr val="7F7F7F"/>
                      </a:solidFill>
                      <a:miter lim="800000"/>
                      <a:headEnd/>
                      <a:tailEnd/>
                    </a:ln>
                    <a:effectLst/>
                  </pic:spPr>
                </pic:pic>
              </a:graphicData>
            </a:graphic>
          </wp:inline>
        </w:drawing>
      </w:r>
    </w:p>
    <w:p w:rsidR="001D5C06" w:rsidRDefault="001D5C06" w:rsidP="00C72944">
      <w:pPr>
        <w:pStyle w:val="Caption"/>
      </w:pPr>
      <w:bookmarkStart w:id="66" w:name="_Ref458755579"/>
      <w:r>
        <w:t xml:space="preserve">Figure </w:t>
      </w:r>
      <w:fldSimple w:instr=" STYLEREF 6 \s ">
        <w:r w:rsidR="00673DAF">
          <w:rPr>
            <w:noProof/>
          </w:rPr>
          <w:t>E</w:t>
        </w:r>
      </w:fldSimple>
      <w:r w:rsidR="00673DAF">
        <w:noBreakHyphen/>
      </w:r>
      <w:fldSimple w:instr=" SEQ Figure \* ARABIC \s 6 ">
        <w:r w:rsidR="00673DAF">
          <w:rPr>
            <w:noProof/>
          </w:rPr>
          <w:t>2</w:t>
        </w:r>
      </w:fldSimple>
      <w:bookmarkEnd w:id="66"/>
      <w:r>
        <w:t xml:space="preserve"> </w:t>
      </w:r>
      <w:r w:rsidR="00C72944">
        <w:t>Microinvertebrates collected in the 2015-16 survey. Mayflies (Beatidae)</w:t>
      </w:r>
    </w:p>
    <w:p w:rsidR="00C72944" w:rsidRDefault="00C72944" w:rsidP="00C72944"/>
    <w:p w:rsidR="00C72944" w:rsidRPr="00C72944" w:rsidRDefault="00C72944" w:rsidP="00C72944"/>
    <w:p w:rsidR="00C46513" w:rsidRDefault="00C46513" w:rsidP="00401294">
      <w:pPr>
        <w:pStyle w:val="Heading8"/>
      </w:pPr>
      <w:r>
        <w:t>Density</w:t>
      </w:r>
    </w:p>
    <w:p w:rsidR="00C46513" w:rsidRDefault="00C46513" w:rsidP="00C46513">
      <w:pPr>
        <w:rPr>
          <w:noProof/>
          <w:lang w:eastAsia="en-AU"/>
        </w:rPr>
      </w:pPr>
      <w:r>
        <w:t>Across all sites and sampling occasions, macroinvert</w:t>
      </w:r>
      <w:r w:rsidR="00C02454">
        <w:t xml:space="preserve">ebrate densities ranged from 23 </w:t>
      </w:r>
      <w:r w:rsidR="001631E1">
        <w:t xml:space="preserve">per </w:t>
      </w:r>
      <w:r>
        <w:t>m</w:t>
      </w:r>
      <w:r w:rsidRPr="00657603">
        <w:rPr>
          <w:vertAlign w:val="superscript"/>
        </w:rPr>
        <w:t>2</w:t>
      </w:r>
      <w:r>
        <w:t xml:space="preserve"> to 2</w:t>
      </w:r>
      <w:r w:rsidR="00C02454">
        <w:t>,</w:t>
      </w:r>
      <w:r>
        <w:t>335</w:t>
      </w:r>
      <w:r w:rsidR="00C02454">
        <w:t xml:space="preserve"> </w:t>
      </w:r>
      <w:r w:rsidR="001631E1">
        <w:t xml:space="preserve">per </w:t>
      </w:r>
      <w:r w:rsidR="00C02454">
        <w:t>m</w:t>
      </w:r>
      <w:r w:rsidR="00C02454" w:rsidRPr="00657603">
        <w:rPr>
          <w:vertAlign w:val="superscript"/>
        </w:rPr>
        <w:t>2</w:t>
      </w:r>
      <w:r>
        <w:t xml:space="preserve">, with the highest density recorded in the Gingham </w:t>
      </w:r>
      <w:r w:rsidR="001C3C04">
        <w:t>watercourse</w:t>
      </w:r>
      <w:r>
        <w:t xml:space="preserve"> at Apr-16 with 2</w:t>
      </w:r>
      <w:r w:rsidR="00C02454">
        <w:t>,</w:t>
      </w:r>
      <w:r>
        <w:t>335</w:t>
      </w:r>
      <w:r w:rsidR="00C02454">
        <w:t xml:space="preserve"> </w:t>
      </w:r>
      <w:r w:rsidR="001631E1">
        <w:t xml:space="preserve">per </w:t>
      </w:r>
      <w:r w:rsidR="00C02454">
        <w:t>m</w:t>
      </w:r>
      <w:r w:rsidR="00C02454" w:rsidRPr="00657603">
        <w:rPr>
          <w:vertAlign w:val="superscript"/>
        </w:rPr>
        <w:t>2</w:t>
      </w:r>
      <w:r>
        <w:t xml:space="preserve"> (</w:t>
      </w:r>
      <w:r w:rsidR="008E2ACC">
        <w:fldChar w:fldCharType="begin"/>
      </w:r>
      <w:r w:rsidR="008E2ACC">
        <w:instrText xml:space="preserve"> REF _Ref458755615 \h </w:instrText>
      </w:r>
      <w:r w:rsidR="008E2ACC">
        <w:fldChar w:fldCharType="separate"/>
      </w:r>
      <w:r w:rsidR="005D5925">
        <w:t xml:space="preserve">Figure </w:t>
      </w:r>
      <w:r w:rsidR="005D5925">
        <w:rPr>
          <w:noProof/>
        </w:rPr>
        <w:t>E</w:t>
      </w:r>
      <w:r w:rsidR="005D5925">
        <w:noBreakHyphen/>
      </w:r>
      <w:r w:rsidR="005D5925">
        <w:rPr>
          <w:noProof/>
        </w:rPr>
        <w:t>3</w:t>
      </w:r>
      <w:r w:rsidR="008E2ACC">
        <w:fldChar w:fldCharType="end"/>
      </w:r>
      <w:r>
        <w:t xml:space="preserve">). </w:t>
      </w:r>
      <w:r w:rsidR="008E049F">
        <w:t xml:space="preserve"> </w:t>
      </w:r>
      <w:r>
        <w:t>Macroinvertebrate density did not show any significant response to TIME and ZON</w:t>
      </w:r>
      <w:r w:rsidR="00185253">
        <w:t xml:space="preserve">E factors. </w:t>
      </w:r>
      <w:r w:rsidR="008E049F">
        <w:t xml:space="preserve"> </w:t>
      </w:r>
      <w:r w:rsidR="00185253">
        <w:t>This result suggested</w:t>
      </w:r>
      <w:r>
        <w:t xml:space="preserve"> that there was no consistent temporal (i.e. concentration of macroinvertebrates as water levels receded) and spatial pattern (i.e. differences between river and wetland systems) in macroinvertebrate density during the study period.</w:t>
      </w:r>
      <w:r w:rsidRPr="002B203C">
        <w:rPr>
          <w:noProof/>
          <w:lang w:eastAsia="en-AU"/>
        </w:rPr>
        <w:t xml:space="preserve"> </w:t>
      </w:r>
    </w:p>
    <w:p w:rsidR="009637EB" w:rsidRDefault="004176FF" w:rsidP="009637EB">
      <w:pPr>
        <w:keepNext/>
        <w:spacing w:line="240" w:lineRule="auto"/>
      </w:pPr>
      <w:r w:rsidRPr="008F5E11">
        <w:rPr>
          <w:noProof/>
          <w:lang w:eastAsia="en-AU"/>
        </w:rPr>
        <w:drawing>
          <wp:inline distT="0" distB="0" distL="0" distR="0">
            <wp:extent cx="5676900" cy="2971800"/>
            <wp:effectExtent l="0" t="0" r="0" b="0"/>
            <wp:docPr id="56" name="Chart 2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C02454" w:rsidRDefault="009637EB" w:rsidP="009637EB">
      <w:pPr>
        <w:pStyle w:val="Caption"/>
      </w:pPr>
      <w:bookmarkStart w:id="67" w:name="_Ref458755615"/>
      <w:r>
        <w:t xml:space="preserve">Figure </w:t>
      </w:r>
      <w:fldSimple w:instr=" STYLEREF 6 \s ">
        <w:r w:rsidR="00673DAF">
          <w:rPr>
            <w:noProof/>
          </w:rPr>
          <w:t>E</w:t>
        </w:r>
      </w:fldSimple>
      <w:r w:rsidR="00673DAF">
        <w:noBreakHyphen/>
      </w:r>
      <w:fldSimple w:instr=" SEQ Figure \* ARABIC \s 6 ">
        <w:r w:rsidR="00673DAF">
          <w:rPr>
            <w:noProof/>
          </w:rPr>
          <w:t>3</w:t>
        </w:r>
      </w:fldSimple>
      <w:bookmarkEnd w:id="67"/>
      <w:r>
        <w:t xml:space="preserve"> </w:t>
      </w:r>
      <w:r w:rsidRPr="000C02C7">
        <w:t>Mean ± standard deviation (SD) of macroinvertebrate density.</w:t>
      </w:r>
    </w:p>
    <w:p w:rsidR="00C46513" w:rsidRDefault="00C46513" w:rsidP="00401294">
      <w:pPr>
        <w:pStyle w:val="Heading8"/>
      </w:pPr>
      <w:r>
        <w:t>Diversity indices</w:t>
      </w:r>
    </w:p>
    <w:p w:rsidR="00C46513" w:rsidRDefault="00C46513" w:rsidP="00C46513">
      <w:r>
        <w:t>Across all sites and sampling occasions, macroinvertebrate richness ranged from 5 to 19 taxa (</w:t>
      </w:r>
      <w:r w:rsidR="00C861D1">
        <w:fldChar w:fldCharType="begin"/>
      </w:r>
      <w:r w:rsidR="00C861D1">
        <w:instrText xml:space="preserve"> REF _Ref458701569 \h </w:instrText>
      </w:r>
      <w:r w:rsidR="00C861D1">
        <w:fldChar w:fldCharType="separate"/>
      </w:r>
      <w:r w:rsidR="005D5925">
        <w:t xml:space="preserve">Figure </w:t>
      </w:r>
      <w:r w:rsidR="005D5925">
        <w:rPr>
          <w:noProof/>
        </w:rPr>
        <w:t>E</w:t>
      </w:r>
      <w:r w:rsidR="005D5925">
        <w:noBreakHyphen/>
      </w:r>
      <w:r w:rsidR="005D5925">
        <w:rPr>
          <w:noProof/>
        </w:rPr>
        <w:t>4</w:t>
      </w:r>
      <w:r w:rsidR="00C861D1">
        <w:fldChar w:fldCharType="end"/>
      </w:r>
      <w:r>
        <w:t xml:space="preserve">a). </w:t>
      </w:r>
      <w:r w:rsidR="008E049F">
        <w:t xml:space="preserve"> </w:t>
      </w:r>
      <w:r>
        <w:t>Shannon diversity ranged from 0.77 to 3.70 across all samples (</w:t>
      </w:r>
      <w:r w:rsidR="00C861D1">
        <w:fldChar w:fldCharType="begin"/>
      </w:r>
      <w:r w:rsidR="00C861D1">
        <w:instrText xml:space="preserve"> REF _Ref458701569 \h </w:instrText>
      </w:r>
      <w:r w:rsidR="00C861D1">
        <w:fldChar w:fldCharType="separate"/>
      </w:r>
      <w:r w:rsidR="005D5925">
        <w:t xml:space="preserve">Figure </w:t>
      </w:r>
      <w:r w:rsidR="005D5925">
        <w:rPr>
          <w:noProof/>
        </w:rPr>
        <w:t>E</w:t>
      </w:r>
      <w:r w:rsidR="005D5925">
        <w:noBreakHyphen/>
      </w:r>
      <w:r w:rsidR="005D5925">
        <w:rPr>
          <w:noProof/>
        </w:rPr>
        <w:t>4</w:t>
      </w:r>
      <w:r w:rsidR="00C861D1">
        <w:fldChar w:fldCharType="end"/>
      </w:r>
      <w:r>
        <w:t xml:space="preserve">b). </w:t>
      </w:r>
      <w:r w:rsidR="008E049F">
        <w:t xml:space="preserve"> </w:t>
      </w:r>
      <w:r>
        <w:t xml:space="preserve">Macroinvertebrate family richness and diversity did not show any significant response to </w:t>
      </w:r>
      <w:r w:rsidR="00D227F8">
        <w:t>time</w:t>
      </w:r>
      <w:r>
        <w:t xml:space="preserve"> and </w:t>
      </w:r>
      <w:r w:rsidR="00D227F8">
        <w:t>zone</w:t>
      </w:r>
      <w:r w:rsidR="00C861D1">
        <w:t xml:space="preserve"> factors. </w:t>
      </w:r>
      <w:r w:rsidR="008E049F">
        <w:t xml:space="preserve"> </w:t>
      </w:r>
      <w:r w:rsidR="00C861D1">
        <w:t>This result suggests</w:t>
      </w:r>
      <w:r>
        <w:t xml:space="preserve"> that there was no consistent temporal and spatial pattern in taxa richness during the sampling period.</w:t>
      </w:r>
      <w:r w:rsidR="008E049F">
        <w:t xml:space="preserve"> </w:t>
      </w:r>
      <w:r>
        <w:t xml:space="preserve"> </w:t>
      </w:r>
      <w:r w:rsidR="001631E1">
        <w:t>Nonetheless</w:t>
      </w:r>
      <w:r>
        <w:t>, a similar decrease in macroinvertebrate richness and diversity w</w:t>
      </w:r>
      <w:r w:rsidR="00C861D1">
        <w:t>as</w:t>
      </w:r>
      <w:r>
        <w:t xml:space="preserve"> observed across all sites in </w:t>
      </w:r>
      <w:r w:rsidR="00D227F8">
        <w:t>the c</w:t>
      </w:r>
      <w:r>
        <w:t xml:space="preserve">ontraction phase. </w:t>
      </w:r>
    </w:p>
    <w:p w:rsidR="009637EB" w:rsidRDefault="004176FF" w:rsidP="009637EB">
      <w:pPr>
        <w:keepNext/>
        <w:spacing w:line="240" w:lineRule="auto"/>
      </w:pPr>
      <w:r w:rsidRPr="008F5E11">
        <w:rPr>
          <w:noProof/>
          <w:lang w:eastAsia="en-AU"/>
        </w:rPr>
        <w:drawing>
          <wp:inline distT="0" distB="0" distL="0" distR="0">
            <wp:extent cx="2875280" cy="2292350"/>
            <wp:effectExtent l="0" t="0" r="1270" b="12700"/>
            <wp:docPr id="57" name="Chart 2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sidR="009637EB" w:rsidRPr="009637EB">
        <w:rPr>
          <w:noProof/>
          <w:lang w:eastAsia="en-AU"/>
        </w:rPr>
        <w:t xml:space="preserve"> </w:t>
      </w:r>
      <w:r w:rsidRPr="008F5E11">
        <w:rPr>
          <w:noProof/>
          <w:lang w:eastAsia="en-AU"/>
        </w:rPr>
        <w:drawing>
          <wp:inline distT="0" distB="0" distL="0" distR="0">
            <wp:extent cx="2914650" cy="2245995"/>
            <wp:effectExtent l="0" t="0" r="0" b="1905"/>
            <wp:docPr id="58" name="Chart 2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9637EB" w:rsidRDefault="009637EB" w:rsidP="009637EB">
      <w:pPr>
        <w:pStyle w:val="Caption"/>
      </w:pPr>
      <w:bookmarkStart w:id="68" w:name="_Ref458701569"/>
      <w:r>
        <w:t xml:space="preserve">Figure </w:t>
      </w:r>
      <w:fldSimple w:instr=" STYLEREF 6 \s ">
        <w:r w:rsidR="00673DAF">
          <w:rPr>
            <w:noProof/>
          </w:rPr>
          <w:t>E</w:t>
        </w:r>
      </w:fldSimple>
      <w:r w:rsidR="00673DAF">
        <w:noBreakHyphen/>
      </w:r>
      <w:fldSimple w:instr=" SEQ Figure \* ARABIC \s 6 ">
        <w:r w:rsidR="00673DAF">
          <w:rPr>
            <w:noProof/>
          </w:rPr>
          <w:t>4</w:t>
        </w:r>
      </w:fldSimple>
      <w:bookmarkEnd w:id="68"/>
      <w:r>
        <w:t xml:space="preserve"> </w:t>
      </w:r>
      <w:r w:rsidRPr="00955414">
        <w:t>Mean ± standard deviation (SD) of macroinvertebrate (a) family richness and (b) diversity</w:t>
      </w:r>
    </w:p>
    <w:p w:rsidR="00C46513" w:rsidRDefault="00C46513" w:rsidP="00401294">
      <w:pPr>
        <w:pStyle w:val="Heading8"/>
      </w:pPr>
      <w:r>
        <w:t>Taxonomic composition</w:t>
      </w:r>
    </w:p>
    <w:p w:rsidR="00C46513" w:rsidRDefault="00C46513" w:rsidP="00C46513">
      <w:r w:rsidRPr="00323033">
        <w:t>A two-way PERMANOVA analysis revealed significant difference</w:t>
      </w:r>
      <w:r>
        <w:t>s</w:t>
      </w:r>
      <w:r w:rsidRPr="00323033">
        <w:t xml:space="preserve"> between </w:t>
      </w:r>
      <w:r w:rsidR="00D227F8">
        <w:t>zone</w:t>
      </w:r>
      <w:r w:rsidRPr="00323033">
        <w:t xml:space="preserve"> (Pseudo-F=3.1679, d.f.=3, p=0.004) and </w:t>
      </w:r>
      <w:r w:rsidR="00D227F8">
        <w:t>time</w:t>
      </w:r>
      <w:r w:rsidRPr="00323033">
        <w:t xml:space="preserve"> (Pseudo-F=3.2252, d.f.=3, p=0.001) based on presence-absence data</w:t>
      </w:r>
      <w:r>
        <w:t>,</w:t>
      </w:r>
      <w:r w:rsidRPr="00323033">
        <w:t xml:space="preserve"> and between </w:t>
      </w:r>
      <w:r w:rsidR="00D227F8">
        <w:t>zone</w:t>
      </w:r>
      <w:r w:rsidRPr="00323033">
        <w:t xml:space="preserve"> (Pseudo-F=2.755, d.f.=4, p=0.002) and TIME (Pseudo-F=.3.230, d.f.=3, p=0.001) based on </w:t>
      </w:r>
      <w:r>
        <w:t xml:space="preserve">taxa </w:t>
      </w:r>
      <w:r w:rsidRPr="00323033">
        <w:t xml:space="preserve">abundance. </w:t>
      </w:r>
      <w:r w:rsidR="008E049F">
        <w:t xml:space="preserve"> </w:t>
      </w:r>
      <w:r w:rsidRPr="00323033">
        <w:t xml:space="preserve">The </w:t>
      </w:r>
      <w:r>
        <w:t xml:space="preserve">significant </w:t>
      </w:r>
      <w:r w:rsidRPr="00323033">
        <w:t xml:space="preserve">temporal difference </w:t>
      </w:r>
      <w:r>
        <w:t xml:space="preserve">(between the 4 inundation phases) </w:t>
      </w:r>
      <w:r w:rsidRPr="00323033">
        <w:t xml:space="preserve">was slightly stronger than </w:t>
      </w:r>
      <w:r>
        <w:t xml:space="preserve">for </w:t>
      </w:r>
      <w:r w:rsidRPr="00323033">
        <w:t xml:space="preserve">the spatial pattern. </w:t>
      </w:r>
      <w:r w:rsidR="008E049F">
        <w:t xml:space="preserve"> </w:t>
      </w:r>
      <w:r w:rsidRPr="00323033">
        <w:t xml:space="preserve">The dissimilarity between </w:t>
      </w:r>
      <w:r w:rsidR="00D227F8">
        <w:t>zone</w:t>
      </w:r>
      <w:r w:rsidRPr="00323033">
        <w:t xml:space="preserve"> (</w:t>
      </w:r>
      <w:r w:rsidR="008E049F">
        <w:fldChar w:fldCharType="begin"/>
      </w:r>
      <w:r w:rsidR="008E049F">
        <w:instrText xml:space="preserve"> REF _Ref459888802 \h </w:instrText>
      </w:r>
      <w:r w:rsidR="008E049F">
        <w:fldChar w:fldCharType="separate"/>
      </w:r>
      <w:r w:rsidR="005D5925">
        <w:t xml:space="preserve">Figure </w:t>
      </w:r>
      <w:r w:rsidR="005D5925">
        <w:rPr>
          <w:noProof/>
        </w:rPr>
        <w:t>E</w:t>
      </w:r>
      <w:r w:rsidR="005D5925">
        <w:noBreakHyphen/>
      </w:r>
      <w:r w:rsidR="005D5925">
        <w:rPr>
          <w:noProof/>
        </w:rPr>
        <w:t>5</w:t>
      </w:r>
      <w:r w:rsidR="008E049F">
        <w:fldChar w:fldCharType="end"/>
      </w:r>
      <w:r w:rsidRPr="00323033">
        <w:t xml:space="preserve">a) and </w:t>
      </w:r>
      <w:r w:rsidR="00D227F8">
        <w:t>time</w:t>
      </w:r>
      <w:r w:rsidRPr="00323033">
        <w:t xml:space="preserve"> (</w:t>
      </w:r>
      <w:r w:rsidR="008E049F">
        <w:fldChar w:fldCharType="begin"/>
      </w:r>
      <w:r w:rsidR="008E049F">
        <w:instrText xml:space="preserve"> REF _Ref459888802 \h </w:instrText>
      </w:r>
      <w:r w:rsidR="008E049F">
        <w:fldChar w:fldCharType="separate"/>
      </w:r>
      <w:r w:rsidR="005D5925">
        <w:t xml:space="preserve">Figure </w:t>
      </w:r>
      <w:r w:rsidR="005D5925">
        <w:rPr>
          <w:noProof/>
        </w:rPr>
        <w:t>E</w:t>
      </w:r>
      <w:r w:rsidR="005D5925">
        <w:noBreakHyphen/>
      </w:r>
      <w:r w:rsidR="005D5925">
        <w:rPr>
          <w:noProof/>
        </w:rPr>
        <w:t>5</w:t>
      </w:r>
      <w:r w:rsidR="008E049F">
        <w:fldChar w:fldCharType="end"/>
      </w:r>
      <w:r w:rsidR="00185253">
        <w:t>b) was shown in the 3D n</w:t>
      </w:r>
      <w:r w:rsidRPr="00323033">
        <w:t>MDS ordination.</w:t>
      </w:r>
    </w:p>
    <w:p w:rsidR="00C46513" w:rsidRDefault="00C46513" w:rsidP="00C46513">
      <w:r>
        <w:t xml:space="preserve">Community composition in the Gingham </w:t>
      </w:r>
      <w:r w:rsidR="001C3C04">
        <w:t>watercourse</w:t>
      </w:r>
      <w:r>
        <w:t xml:space="preserve"> was significantly different to all </w:t>
      </w:r>
      <w:r w:rsidR="00D227F8">
        <w:t>r</w:t>
      </w:r>
      <w:r>
        <w:t xml:space="preserve">iver </w:t>
      </w:r>
      <w:r w:rsidR="00D227F8">
        <w:t>channels sampled</w:t>
      </w:r>
      <w:r>
        <w:t xml:space="preserve"> (pairwise p&lt;0.05).</w:t>
      </w:r>
      <w:r w:rsidR="008E049F">
        <w:t xml:space="preserve">  </w:t>
      </w:r>
      <w:r w:rsidRPr="00B917B5">
        <w:t xml:space="preserve">The community difference between </w:t>
      </w:r>
      <w:r>
        <w:t>Wetland and River zones</w:t>
      </w:r>
      <w:r w:rsidRPr="00B917B5">
        <w:t xml:space="preserve"> was driven by the higher average abundance of </w:t>
      </w:r>
      <w:r>
        <w:t xml:space="preserve">Cirolanidae, Gerridae and Caenidae </w:t>
      </w:r>
      <w:r w:rsidRPr="00B917B5">
        <w:t xml:space="preserve">in </w:t>
      </w:r>
      <w:r>
        <w:t>River zone</w:t>
      </w:r>
      <w:r w:rsidR="00C861D1">
        <w:t>s</w:t>
      </w:r>
      <w:r w:rsidRPr="00B917B5">
        <w:t xml:space="preserve"> and higher average abundance of</w:t>
      </w:r>
      <w:r>
        <w:t xml:space="preserve"> Notonectidae, Hydrophilidae, Ceratopogonidae and Baetidae in the Wetland zone (</w:t>
      </w:r>
      <w:r w:rsidR="00C861D1" w:rsidRPr="00185253">
        <w:fldChar w:fldCharType="begin"/>
      </w:r>
      <w:r w:rsidR="00C861D1" w:rsidRPr="00185253">
        <w:instrText xml:space="preserve"> REF _Ref458701648 \h </w:instrText>
      </w:r>
      <w:r w:rsidR="00185253" w:rsidRPr="00185253">
        <w:instrText xml:space="preserve"> \* MERGEFORMAT </w:instrText>
      </w:r>
      <w:r w:rsidR="00C861D1" w:rsidRPr="00185253">
        <w:fldChar w:fldCharType="separate"/>
      </w:r>
      <w:r w:rsidR="005D5925" w:rsidRPr="005D5925">
        <w:t xml:space="preserve">Table </w:t>
      </w:r>
      <w:r w:rsidR="005D5925" w:rsidRPr="005D5925">
        <w:rPr>
          <w:noProof/>
        </w:rPr>
        <w:t>E</w:t>
      </w:r>
      <w:r w:rsidR="005D5925" w:rsidRPr="005D5925">
        <w:rPr>
          <w:noProof/>
        </w:rPr>
        <w:noBreakHyphen/>
        <w:t>2</w:t>
      </w:r>
      <w:r w:rsidR="00C861D1" w:rsidRPr="00185253">
        <w:fldChar w:fldCharType="end"/>
      </w:r>
      <w:r>
        <w:t xml:space="preserve">). </w:t>
      </w:r>
      <w:r w:rsidR="008E049F">
        <w:t xml:space="preserve"> </w:t>
      </w:r>
      <w:r w:rsidRPr="00B917B5">
        <w:t xml:space="preserve">The average abundance of these </w:t>
      </w:r>
      <w:r>
        <w:t>seven</w:t>
      </w:r>
      <w:r w:rsidRPr="00B917B5">
        <w:t xml:space="preserve"> taxa contribut</w:t>
      </w:r>
      <w:r>
        <w:t>es</w:t>
      </w:r>
      <w:r w:rsidRPr="00B917B5">
        <w:t xml:space="preserve"> 3</w:t>
      </w:r>
      <w:r>
        <w:t>0</w:t>
      </w:r>
      <w:r w:rsidRPr="00B917B5">
        <w:t xml:space="preserve">% </w:t>
      </w:r>
      <w:r>
        <w:t xml:space="preserve">to the </w:t>
      </w:r>
      <w:r w:rsidRPr="00B917B5">
        <w:t xml:space="preserve">dissimilarity between </w:t>
      </w:r>
      <w:r>
        <w:t>the river and watercourse zones</w:t>
      </w:r>
      <w:r w:rsidRPr="00B917B5">
        <w:t>.</w:t>
      </w:r>
      <w:r w:rsidRPr="009B3A45">
        <w:t xml:space="preserve"> </w:t>
      </w:r>
    </w:p>
    <w:p w:rsidR="005F23F1" w:rsidRDefault="00C46513" w:rsidP="00F80A1A">
      <w:r>
        <w:t xml:space="preserve">Across all </w:t>
      </w:r>
      <w:r w:rsidR="00D227F8">
        <w:t>w</w:t>
      </w:r>
      <w:r>
        <w:t xml:space="preserve">etland and </w:t>
      </w:r>
      <w:r w:rsidR="00D227F8">
        <w:t>r</w:t>
      </w:r>
      <w:r>
        <w:t xml:space="preserve">iver sites, a similar temporal shift in community composition was observed during the sampling period. Community composition at T1 (‘Pre-EW’ phase) was significantly different to all other sampling occasions (pairwise test (p&lt;0.01, </w:t>
      </w:r>
      <w:r w:rsidR="00515F66">
        <w:fldChar w:fldCharType="begin"/>
      </w:r>
      <w:r w:rsidR="00515F66">
        <w:instrText xml:space="preserve"> REF _Ref459888802 \h </w:instrText>
      </w:r>
      <w:r w:rsidR="00515F66">
        <w:fldChar w:fldCharType="separate"/>
      </w:r>
      <w:r w:rsidR="005D5925">
        <w:t xml:space="preserve">Figure </w:t>
      </w:r>
      <w:r w:rsidR="005D5925">
        <w:rPr>
          <w:noProof/>
        </w:rPr>
        <w:t>E</w:t>
      </w:r>
      <w:r w:rsidR="005D5925">
        <w:noBreakHyphen/>
      </w:r>
      <w:r w:rsidR="005D5925">
        <w:rPr>
          <w:noProof/>
        </w:rPr>
        <w:t>5</w:t>
      </w:r>
      <w:r w:rsidR="00515F66">
        <w:fldChar w:fldCharType="end"/>
      </w:r>
      <w:r>
        <w:t xml:space="preserve">b) across all sites, </w:t>
      </w:r>
      <w:r w:rsidRPr="00B917B5">
        <w:t xml:space="preserve">driven by the higher average </w:t>
      </w:r>
      <w:r w:rsidR="00F80A1A" w:rsidRPr="00B917B5">
        <w:t xml:space="preserve">abundance of </w:t>
      </w:r>
      <w:r w:rsidR="00F80A1A">
        <w:t>Caenidae,</w:t>
      </w:r>
      <w:r w:rsidR="00F80A1A" w:rsidRPr="00532AE4">
        <w:t xml:space="preserve"> </w:t>
      </w:r>
      <w:r w:rsidR="00F80A1A">
        <w:t xml:space="preserve">Ceratopogonidae and Hydrophilidae at T1, and Gerridae, Baetidae, Cirolanidae and Notonectidae at all other sampling occasions </w:t>
      </w:r>
      <w:r w:rsidR="00F80A1A" w:rsidRPr="00B917B5">
        <w:t>(</w:t>
      </w:r>
      <w:r w:rsidR="00F80A1A" w:rsidRPr="00185253">
        <w:fldChar w:fldCharType="begin"/>
      </w:r>
      <w:r w:rsidR="00F80A1A" w:rsidRPr="00185253">
        <w:instrText xml:space="preserve"> REF _Ref458701648 \h </w:instrText>
      </w:r>
      <w:r w:rsidR="00185253" w:rsidRPr="00185253">
        <w:instrText xml:space="preserve"> \* MERGEFORMAT </w:instrText>
      </w:r>
      <w:r w:rsidR="00F80A1A" w:rsidRPr="00185253">
        <w:fldChar w:fldCharType="separate"/>
      </w:r>
      <w:r w:rsidR="005D5925" w:rsidRPr="005D5925">
        <w:t xml:space="preserve">Table </w:t>
      </w:r>
      <w:r w:rsidR="005D5925" w:rsidRPr="005D5925">
        <w:rPr>
          <w:noProof/>
        </w:rPr>
        <w:t>E</w:t>
      </w:r>
      <w:r w:rsidR="005D5925" w:rsidRPr="005D5925">
        <w:rPr>
          <w:noProof/>
        </w:rPr>
        <w:noBreakHyphen/>
        <w:t>2</w:t>
      </w:r>
      <w:r w:rsidR="00F80A1A" w:rsidRPr="00185253">
        <w:fldChar w:fldCharType="end"/>
      </w:r>
      <w:r w:rsidR="00F80A1A" w:rsidRPr="00B917B5">
        <w:t>).</w:t>
      </w:r>
      <w:r w:rsidR="00F80A1A">
        <w:t xml:space="preserve"> </w:t>
      </w:r>
      <w:r w:rsidR="008E049F">
        <w:t xml:space="preserve"> </w:t>
      </w:r>
      <w:r w:rsidR="00F80A1A">
        <w:t xml:space="preserve">Moreover, community composition at T2 (‘Wet CEW’ phase) was significantly different to T3 and T4 (‘Contraction I &amp;II’ phases) (pairwise test (p&lt;0.01, </w:t>
      </w:r>
      <w:r w:rsidR="00B97B45">
        <w:fldChar w:fldCharType="begin"/>
      </w:r>
      <w:r w:rsidR="00B97B45">
        <w:instrText xml:space="preserve"> REF _Ref459888802 \h </w:instrText>
      </w:r>
      <w:r w:rsidR="00B97B45">
        <w:fldChar w:fldCharType="separate"/>
      </w:r>
      <w:r w:rsidR="005D5925">
        <w:t xml:space="preserve">Figure </w:t>
      </w:r>
      <w:r w:rsidR="005D5925">
        <w:rPr>
          <w:noProof/>
        </w:rPr>
        <w:t>E</w:t>
      </w:r>
      <w:r w:rsidR="005D5925">
        <w:noBreakHyphen/>
      </w:r>
      <w:r w:rsidR="005D5925">
        <w:rPr>
          <w:noProof/>
        </w:rPr>
        <w:t>5</w:t>
      </w:r>
      <w:r w:rsidR="00B97B45">
        <w:fldChar w:fldCharType="end"/>
      </w:r>
      <w:r w:rsidR="00F80A1A">
        <w:t xml:space="preserve">b) across all sites. </w:t>
      </w:r>
      <w:r w:rsidR="008E049F">
        <w:t xml:space="preserve"> </w:t>
      </w:r>
      <w:r w:rsidR="00F80A1A" w:rsidRPr="00B917B5">
        <w:t xml:space="preserve">The community </w:t>
      </w:r>
      <w:r w:rsidR="00F80A1A">
        <w:t xml:space="preserve">composition </w:t>
      </w:r>
      <w:r w:rsidR="00F80A1A" w:rsidRPr="00B917B5">
        <w:t>difference</w:t>
      </w:r>
      <w:r w:rsidR="00F80A1A">
        <w:t>s</w:t>
      </w:r>
      <w:r w:rsidR="00F80A1A" w:rsidRPr="00B917B5">
        <w:t xml:space="preserve"> </w:t>
      </w:r>
      <w:r w:rsidR="00F80A1A">
        <w:t>were</w:t>
      </w:r>
      <w:r w:rsidR="00F80A1A" w:rsidRPr="00B917B5">
        <w:t xml:space="preserve"> driven by the higher average abundance of </w:t>
      </w:r>
      <w:r w:rsidR="00F80A1A">
        <w:t xml:space="preserve">Caenidae and Veliidae at T2, and Notonectidae, Cirolanidae, Hydrophilidae and Corixidae at T3 and T4 </w:t>
      </w:r>
      <w:r w:rsidR="00F80A1A" w:rsidRPr="00B917B5">
        <w:t>(</w:t>
      </w:r>
      <w:r w:rsidR="00F80A1A" w:rsidRPr="00185253">
        <w:fldChar w:fldCharType="begin"/>
      </w:r>
      <w:r w:rsidR="00F80A1A" w:rsidRPr="00185253">
        <w:instrText xml:space="preserve"> REF _Ref458701648 \h </w:instrText>
      </w:r>
      <w:r w:rsidR="00185253" w:rsidRPr="00185253">
        <w:instrText xml:space="preserve"> \* MERGEFORMAT </w:instrText>
      </w:r>
      <w:r w:rsidR="00F80A1A" w:rsidRPr="00185253">
        <w:fldChar w:fldCharType="separate"/>
      </w:r>
      <w:r w:rsidR="005D5925" w:rsidRPr="005D5925">
        <w:t xml:space="preserve">Table </w:t>
      </w:r>
      <w:r w:rsidR="005D5925" w:rsidRPr="005D5925">
        <w:rPr>
          <w:noProof/>
        </w:rPr>
        <w:t>E</w:t>
      </w:r>
      <w:r w:rsidR="005D5925" w:rsidRPr="005D5925">
        <w:rPr>
          <w:noProof/>
        </w:rPr>
        <w:noBreakHyphen/>
        <w:t>2</w:t>
      </w:r>
      <w:r w:rsidR="00F80A1A" w:rsidRPr="00185253">
        <w:fldChar w:fldCharType="end"/>
      </w:r>
      <w:r w:rsidR="00F80A1A" w:rsidRPr="00B917B5">
        <w:t>).</w:t>
      </w:r>
    </w:p>
    <w:p w:rsidR="00F80A1A" w:rsidRDefault="001D5C06" w:rsidP="005F23F1">
      <w:pPr>
        <w:spacing w:line="240" w:lineRule="auto"/>
      </w:pPr>
      <w:r>
        <w:br w:type="page"/>
      </w:r>
      <w:r w:rsidR="004176FF" w:rsidRPr="008F5E11">
        <w:rPr>
          <w:noProof/>
          <w:lang w:eastAsia="en-AU"/>
        </w:rPr>
        <w:drawing>
          <wp:inline distT="0" distB="0" distL="0" distR="0">
            <wp:extent cx="5905500" cy="3686175"/>
            <wp:effectExtent l="0" t="0" r="0" b="9525"/>
            <wp:docPr id="59" name="Picture 260" descr="C:\Users\wtsoi\Desktop\macro gw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Users\wtsoi\Desktop\macro gwy2.pn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5905500" cy="3686175"/>
                    </a:xfrm>
                    <a:prstGeom prst="rect">
                      <a:avLst/>
                    </a:prstGeom>
                    <a:noFill/>
                    <a:ln>
                      <a:noFill/>
                    </a:ln>
                  </pic:spPr>
                </pic:pic>
              </a:graphicData>
            </a:graphic>
          </wp:inline>
        </w:drawing>
      </w:r>
    </w:p>
    <w:p w:rsidR="00E23B8D" w:rsidRDefault="004176FF" w:rsidP="00E23B8D">
      <w:pPr>
        <w:keepNext/>
        <w:spacing w:line="240" w:lineRule="auto"/>
      </w:pPr>
      <w:r w:rsidRPr="008F5E11">
        <w:rPr>
          <w:noProof/>
          <w:lang w:eastAsia="en-AU"/>
        </w:rPr>
        <w:drawing>
          <wp:inline distT="0" distB="0" distL="0" distR="0">
            <wp:extent cx="5524500" cy="3781425"/>
            <wp:effectExtent l="0" t="0" r="0" b="9525"/>
            <wp:docPr id="60" name="Picture 261" descr="N:\Projects\15ARM\2427 Gwydir LTIM Stage 2 - Year 2\Indicators\Indicators (Y2)\Macroinvertebrates\macro figure 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N:\Projects\15ARM\2427 Gwydir LTIM Stage 2 - Year 2\Indicators\Indicators (Y2)\Macroinvertebrates\macro figure 3b.pn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5524500" cy="3781425"/>
                    </a:xfrm>
                    <a:prstGeom prst="rect">
                      <a:avLst/>
                    </a:prstGeom>
                    <a:noFill/>
                    <a:ln>
                      <a:noFill/>
                    </a:ln>
                  </pic:spPr>
                </pic:pic>
              </a:graphicData>
            </a:graphic>
          </wp:inline>
        </w:drawing>
      </w:r>
    </w:p>
    <w:p w:rsidR="005F23F1" w:rsidRDefault="00E23B8D" w:rsidP="00E23B8D">
      <w:pPr>
        <w:pStyle w:val="Caption"/>
      </w:pPr>
      <w:bookmarkStart w:id="69" w:name="_Ref459888802"/>
      <w:r>
        <w:t xml:space="preserve">Figure </w:t>
      </w:r>
      <w:fldSimple w:instr=" STYLEREF 6 \s ">
        <w:r w:rsidR="00673DAF">
          <w:rPr>
            <w:noProof/>
          </w:rPr>
          <w:t>E</w:t>
        </w:r>
      </w:fldSimple>
      <w:r w:rsidR="00673DAF">
        <w:noBreakHyphen/>
      </w:r>
      <w:fldSimple w:instr=" SEQ Figure \* ARABIC \s 6 ">
        <w:r w:rsidR="00673DAF">
          <w:rPr>
            <w:noProof/>
          </w:rPr>
          <w:t>5</w:t>
        </w:r>
      </w:fldSimple>
      <w:bookmarkEnd w:id="69"/>
      <w:r>
        <w:t xml:space="preserve"> n</w:t>
      </w:r>
      <w:r w:rsidRPr="009D4843">
        <w:t xml:space="preserve">MDS ordination of macroinvertebrate community composition using abundance dataset by (a) </w:t>
      </w:r>
      <w:r>
        <w:t>zone</w:t>
      </w:r>
      <w:r w:rsidRPr="009D4843">
        <w:t xml:space="preserve">s and (b) </w:t>
      </w:r>
      <w:r>
        <w:t>s</w:t>
      </w:r>
      <w:r w:rsidRPr="009D4843">
        <w:t>ampling occasions</w:t>
      </w:r>
    </w:p>
    <w:p w:rsidR="00F56CF5" w:rsidRPr="005F23F1" w:rsidRDefault="00E23B8D" w:rsidP="005F23F1">
      <w:pPr>
        <w:pStyle w:val="Caption"/>
      </w:pPr>
      <w:r>
        <w:br w:type="page"/>
      </w:r>
      <w:bookmarkStart w:id="70" w:name="_Ref458701648"/>
      <w:r w:rsidR="00F56CF5" w:rsidRPr="005F23F1">
        <w:t xml:space="preserve">Table </w:t>
      </w:r>
      <w:fldSimple w:instr=" STYLEREF 6 \s ">
        <w:r w:rsidR="005D5925" w:rsidRPr="005F23F1">
          <w:t>E</w:t>
        </w:r>
      </w:fldSimple>
      <w:r w:rsidR="005D4453" w:rsidRPr="005F23F1">
        <w:noBreakHyphen/>
      </w:r>
      <w:fldSimple w:instr=" SEQ Table \* ARABIC \s 6 ">
        <w:r w:rsidR="005D5925" w:rsidRPr="005F23F1">
          <w:t>2</w:t>
        </w:r>
      </w:fldSimple>
      <w:bookmarkEnd w:id="70"/>
      <w:r w:rsidR="00F56CF5" w:rsidRPr="005F23F1">
        <w:t xml:space="preserve"> Macroinvertebrate taxa contributing most of the dissimilarities between Wetland and River communities in all sampling occasions based on presence-absence data</w:t>
      </w:r>
      <w:r w:rsidR="00C861D1" w:rsidRPr="005F23F1">
        <w:t xml:space="preserve">. </w:t>
      </w:r>
      <w:r w:rsidR="00AE6164" w:rsidRPr="005F23F1">
        <w:t>Bold numbers represent the higher average abundance.</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233"/>
        <w:gridCol w:w="1989"/>
        <w:gridCol w:w="1358"/>
        <w:gridCol w:w="1811"/>
        <w:gridCol w:w="1809"/>
      </w:tblGrid>
      <w:tr w:rsidR="00CC18AA" w:rsidRPr="001D5C06" w:rsidTr="00CC18AA">
        <w:trPr>
          <w:trHeight w:val="300"/>
        </w:trPr>
        <w:tc>
          <w:tcPr>
            <w:tcW w:w="1214" w:type="pct"/>
            <w:vMerge w:val="restart"/>
            <w:shd w:val="clear" w:color="auto" w:fill="D9D9D9"/>
            <w:noWrap/>
            <w:vAlign w:val="center"/>
            <w:hideMark/>
          </w:tcPr>
          <w:p w:rsidR="00C46513" w:rsidRPr="00CC18AA" w:rsidRDefault="00C46513" w:rsidP="00CC18AA">
            <w:pPr>
              <w:spacing w:before="60" w:after="60"/>
              <w:jc w:val="center"/>
              <w:rPr>
                <w:rFonts w:cs="Arial"/>
                <w:bCs/>
                <w:color w:val="000000"/>
                <w:szCs w:val="20"/>
                <w:lang w:val="en-US" w:eastAsia="en-AU"/>
              </w:rPr>
            </w:pPr>
            <w:r w:rsidRPr="00CC18AA">
              <w:rPr>
                <w:rFonts w:cs="Arial"/>
                <w:bCs/>
                <w:color w:val="000000"/>
                <w:szCs w:val="20"/>
                <w:lang w:val="en-US" w:eastAsia="en-AU"/>
              </w:rPr>
              <w:t>Taxa</w:t>
            </w:r>
          </w:p>
        </w:tc>
        <w:tc>
          <w:tcPr>
            <w:tcW w:w="1819" w:type="pct"/>
            <w:gridSpan w:val="2"/>
            <w:shd w:val="clear" w:color="auto" w:fill="D9D9D9"/>
            <w:noWrap/>
            <w:vAlign w:val="center"/>
            <w:hideMark/>
          </w:tcPr>
          <w:p w:rsidR="00C46513" w:rsidRPr="00CC18AA" w:rsidRDefault="00C46513" w:rsidP="00CC18AA">
            <w:pPr>
              <w:spacing w:before="60" w:after="60"/>
              <w:jc w:val="center"/>
              <w:rPr>
                <w:rFonts w:cs="Arial"/>
                <w:bCs/>
                <w:color w:val="000000"/>
                <w:szCs w:val="20"/>
                <w:lang w:val="en-US" w:eastAsia="en-AU"/>
              </w:rPr>
            </w:pPr>
            <w:r w:rsidRPr="00CC18AA">
              <w:rPr>
                <w:rFonts w:cs="Arial"/>
                <w:bCs/>
                <w:color w:val="000000"/>
                <w:szCs w:val="20"/>
                <w:lang w:val="en-US" w:eastAsia="en-AU"/>
              </w:rPr>
              <w:t>Average Abundance</w:t>
            </w:r>
          </w:p>
        </w:tc>
        <w:tc>
          <w:tcPr>
            <w:tcW w:w="984" w:type="pct"/>
            <w:vMerge w:val="restart"/>
            <w:shd w:val="clear" w:color="auto" w:fill="D9D9D9"/>
            <w:noWrap/>
            <w:vAlign w:val="center"/>
            <w:hideMark/>
          </w:tcPr>
          <w:p w:rsidR="00C46513" w:rsidRPr="00CC18AA" w:rsidRDefault="00C46513" w:rsidP="00CC18AA">
            <w:pPr>
              <w:spacing w:before="60" w:after="60"/>
              <w:jc w:val="center"/>
              <w:rPr>
                <w:rFonts w:cs="Arial"/>
                <w:bCs/>
                <w:color w:val="000000"/>
                <w:szCs w:val="20"/>
                <w:lang w:val="en-US" w:eastAsia="en-AU"/>
              </w:rPr>
            </w:pPr>
            <w:r w:rsidRPr="00CC18AA">
              <w:rPr>
                <w:rFonts w:cs="Arial"/>
                <w:bCs/>
                <w:color w:val="000000"/>
                <w:szCs w:val="20"/>
                <w:lang w:val="en-US" w:eastAsia="en-AU"/>
              </w:rPr>
              <w:t>Contribution %</w:t>
            </w:r>
          </w:p>
        </w:tc>
        <w:tc>
          <w:tcPr>
            <w:tcW w:w="984" w:type="pct"/>
            <w:vMerge w:val="restart"/>
            <w:shd w:val="clear" w:color="auto" w:fill="D9D9D9"/>
            <w:noWrap/>
            <w:vAlign w:val="center"/>
            <w:hideMark/>
          </w:tcPr>
          <w:p w:rsidR="00C46513" w:rsidRPr="00CC18AA" w:rsidRDefault="00C46513" w:rsidP="00CC18AA">
            <w:pPr>
              <w:spacing w:before="60" w:after="60"/>
              <w:jc w:val="center"/>
              <w:rPr>
                <w:rFonts w:cs="Arial"/>
                <w:bCs/>
                <w:color w:val="000000"/>
                <w:szCs w:val="20"/>
                <w:lang w:val="en-US" w:eastAsia="en-AU"/>
              </w:rPr>
            </w:pPr>
            <w:r w:rsidRPr="00CC18AA">
              <w:rPr>
                <w:rFonts w:cs="Arial"/>
                <w:bCs/>
                <w:color w:val="000000"/>
                <w:szCs w:val="20"/>
                <w:lang w:val="en-US" w:eastAsia="en-AU"/>
              </w:rPr>
              <w:t>Cumulative %</w:t>
            </w:r>
          </w:p>
        </w:tc>
      </w:tr>
      <w:tr w:rsidR="00CC18AA" w:rsidRPr="001D5C06" w:rsidTr="00CC18AA">
        <w:trPr>
          <w:trHeight w:val="229"/>
        </w:trPr>
        <w:tc>
          <w:tcPr>
            <w:tcW w:w="1214" w:type="pct"/>
            <w:vMerge/>
            <w:shd w:val="clear" w:color="auto" w:fill="auto"/>
            <w:hideMark/>
          </w:tcPr>
          <w:p w:rsidR="00C46513" w:rsidRPr="00CC18AA" w:rsidRDefault="00C46513" w:rsidP="00CC18AA">
            <w:pPr>
              <w:spacing w:before="60" w:after="60"/>
              <w:rPr>
                <w:rFonts w:cs="Arial"/>
                <w:bCs/>
                <w:color w:val="000000"/>
                <w:szCs w:val="20"/>
                <w:lang w:val="en-US" w:eastAsia="en-AU"/>
              </w:rPr>
            </w:pPr>
          </w:p>
        </w:tc>
        <w:tc>
          <w:tcPr>
            <w:tcW w:w="1081" w:type="pct"/>
            <w:shd w:val="clear" w:color="auto" w:fill="D9D9D9"/>
            <w:vAlign w:val="center"/>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 xml:space="preserve">Gingham </w:t>
            </w:r>
            <w:r w:rsidR="001C3C04" w:rsidRPr="00CC18AA">
              <w:rPr>
                <w:rFonts w:cs="Arial"/>
                <w:color w:val="000000"/>
                <w:szCs w:val="20"/>
                <w:lang w:val="en-US" w:eastAsia="en-AU"/>
              </w:rPr>
              <w:t>watercourse</w:t>
            </w:r>
          </w:p>
        </w:tc>
        <w:tc>
          <w:tcPr>
            <w:tcW w:w="738" w:type="pct"/>
            <w:shd w:val="clear" w:color="auto" w:fill="D9D9D9"/>
            <w:vAlign w:val="center"/>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All Rivers</w:t>
            </w:r>
          </w:p>
        </w:tc>
        <w:tc>
          <w:tcPr>
            <w:tcW w:w="984" w:type="pct"/>
            <w:vMerge/>
            <w:shd w:val="clear" w:color="auto" w:fill="auto"/>
            <w:hideMark/>
          </w:tcPr>
          <w:p w:rsidR="00C46513" w:rsidRPr="00CC18AA" w:rsidRDefault="00C46513" w:rsidP="00CC18AA">
            <w:pPr>
              <w:spacing w:before="60" w:after="60"/>
              <w:rPr>
                <w:rFonts w:cs="Arial"/>
                <w:color w:val="000000"/>
                <w:szCs w:val="20"/>
                <w:lang w:val="en-US" w:eastAsia="en-AU"/>
              </w:rPr>
            </w:pPr>
          </w:p>
        </w:tc>
        <w:tc>
          <w:tcPr>
            <w:tcW w:w="984" w:type="pct"/>
            <w:vMerge/>
            <w:shd w:val="clear" w:color="auto" w:fill="auto"/>
            <w:hideMark/>
          </w:tcPr>
          <w:p w:rsidR="00C46513" w:rsidRPr="00CC18AA" w:rsidRDefault="00C46513" w:rsidP="00CC18AA">
            <w:pPr>
              <w:spacing w:before="60" w:after="60"/>
              <w:rPr>
                <w:rFonts w:cs="Arial"/>
                <w:color w:val="000000"/>
                <w:szCs w:val="20"/>
                <w:lang w:val="en-US" w:eastAsia="en-AU"/>
              </w:rPr>
            </w:pPr>
          </w:p>
        </w:tc>
      </w:tr>
      <w:tr w:rsidR="00CC18AA" w:rsidRPr="001D5C06" w:rsidTr="00CC18AA">
        <w:trPr>
          <w:trHeight w:val="300"/>
        </w:trPr>
        <w:tc>
          <w:tcPr>
            <w:tcW w:w="1214" w:type="pct"/>
            <w:shd w:val="clear" w:color="auto" w:fill="auto"/>
            <w:noWrap/>
            <w:hideMark/>
          </w:tcPr>
          <w:p w:rsidR="00C46513" w:rsidRPr="00CC18AA" w:rsidRDefault="00C46513" w:rsidP="00CC18AA">
            <w:pPr>
              <w:spacing w:before="60" w:after="60"/>
              <w:rPr>
                <w:rFonts w:cs="Arial"/>
                <w:bCs/>
                <w:color w:val="000000"/>
                <w:szCs w:val="20"/>
                <w:lang w:val="en-US" w:eastAsia="en-AU"/>
              </w:rPr>
            </w:pPr>
            <w:r w:rsidRPr="00CC18AA">
              <w:rPr>
                <w:rFonts w:cs="Arial"/>
                <w:bCs/>
                <w:color w:val="000000"/>
                <w:szCs w:val="20"/>
                <w:lang w:val="en-US" w:eastAsia="en-AU"/>
              </w:rPr>
              <w:t>F.Cirolanidae</w:t>
            </w:r>
          </w:p>
        </w:tc>
        <w:tc>
          <w:tcPr>
            <w:tcW w:w="1081"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0.00</w:t>
            </w:r>
          </w:p>
        </w:tc>
        <w:tc>
          <w:tcPr>
            <w:tcW w:w="738" w:type="pct"/>
            <w:shd w:val="clear" w:color="auto" w:fill="auto"/>
            <w:noWrap/>
            <w:hideMark/>
          </w:tcPr>
          <w:p w:rsidR="00C46513" w:rsidRPr="00CC18AA" w:rsidRDefault="00C46513" w:rsidP="00CC18AA">
            <w:pPr>
              <w:spacing w:before="60" w:after="60"/>
              <w:jc w:val="center"/>
              <w:rPr>
                <w:rFonts w:cs="Arial"/>
                <w:b/>
                <w:bCs/>
                <w:color w:val="000000"/>
                <w:szCs w:val="20"/>
                <w:lang w:val="en-US" w:eastAsia="en-AU"/>
              </w:rPr>
            </w:pPr>
            <w:r w:rsidRPr="00CC18AA">
              <w:rPr>
                <w:rFonts w:cs="Arial"/>
                <w:b/>
                <w:bCs/>
                <w:color w:val="000000"/>
                <w:szCs w:val="20"/>
                <w:lang w:val="en-US" w:eastAsia="en-AU"/>
              </w:rPr>
              <w:t>0.67</w:t>
            </w:r>
          </w:p>
        </w:tc>
        <w:tc>
          <w:tcPr>
            <w:tcW w:w="984"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5</w:t>
            </w:r>
          </w:p>
        </w:tc>
        <w:tc>
          <w:tcPr>
            <w:tcW w:w="984"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5</w:t>
            </w:r>
          </w:p>
        </w:tc>
      </w:tr>
      <w:tr w:rsidR="00CC18AA" w:rsidRPr="001D5C06" w:rsidTr="00CC18AA">
        <w:trPr>
          <w:trHeight w:val="300"/>
        </w:trPr>
        <w:tc>
          <w:tcPr>
            <w:tcW w:w="1214" w:type="pct"/>
            <w:shd w:val="clear" w:color="auto" w:fill="auto"/>
            <w:noWrap/>
            <w:hideMark/>
          </w:tcPr>
          <w:p w:rsidR="00C46513" w:rsidRPr="00CC18AA" w:rsidRDefault="00C46513" w:rsidP="00CC18AA">
            <w:pPr>
              <w:spacing w:before="60" w:after="60"/>
              <w:rPr>
                <w:rFonts w:cs="Arial"/>
                <w:bCs/>
                <w:color w:val="000000"/>
                <w:szCs w:val="20"/>
                <w:lang w:val="en-US" w:eastAsia="en-AU"/>
              </w:rPr>
            </w:pPr>
            <w:r w:rsidRPr="00CC18AA">
              <w:rPr>
                <w:rFonts w:cs="Arial"/>
                <w:bCs/>
                <w:color w:val="000000"/>
                <w:szCs w:val="20"/>
                <w:lang w:val="en-US" w:eastAsia="en-AU"/>
              </w:rPr>
              <w:t>F.Gerridae</w:t>
            </w:r>
          </w:p>
        </w:tc>
        <w:tc>
          <w:tcPr>
            <w:tcW w:w="1081"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0.18</w:t>
            </w:r>
          </w:p>
        </w:tc>
        <w:tc>
          <w:tcPr>
            <w:tcW w:w="738" w:type="pct"/>
            <w:shd w:val="clear" w:color="auto" w:fill="auto"/>
            <w:noWrap/>
            <w:hideMark/>
          </w:tcPr>
          <w:p w:rsidR="00C46513" w:rsidRPr="00CC18AA" w:rsidRDefault="00C46513" w:rsidP="00CC18AA">
            <w:pPr>
              <w:spacing w:before="60" w:after="60"/>
              <w:jc w:val="center"/>
              <w:rPr>
                <w:rFonts w:cs="Arial"/>
                <w:b/>
                <w:bCs/>
                <w:color w:val="000000"/>
                <w:szCs w:val="20"/>
                <w:lang w:val="en-US" w:eastAsia="en-AU"/>
              </w:rPr>
            </w:pPr>
            <w:r w:rsidRPr="00CC18AA">
              <w:rPr>
                <w:rFonts w:cs="Arial"/>
                <w:b/>
                <w:bCs/>
                <w:color w:val="000000"/>
                <w:szCs w:val="20"/>
                <w:lang w:val="en-US" w:eastAsia="en-AU"/>
              </w:rPr>
              <w:t>0.72</w:t>
            </w:r>
          </w:p>
        </w:tc>
        <w:tc>
          <w:tcPr>
            <w:tcW w:w="984"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5</w:t>
            </w:r>
          </w:p>
        </w:tc>
        <w:tc>
          <w:tcPr>
            <w:tcW w:w="984"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10</w:t>
            </w:r>
          </w:p>
        </w:tc>
      </w:tr>
      <w:tr w:rsidR="00CC18AA" w:rsidRPr="001D5C06" w:rsidTr="00CC18AA">
        <w:trPr>
          <w:trHeight w:val="300"/>
        </w:trPr>
        <w:tc>
          <w:tcPr>
            <w:tcW w:w="1214" w:type="pct"/>
            <w:shd w:val="clear" w:color="auto" w:fill="auto"/>
            <w:noWrap/>
            <w:hideMark/>
          </w:tcPr>
          <w:p w:rsidR="00C46513" w:rsidRPr="00CC18AA" w:rsidRDefault="00C46513" w:rsidP="00CC18AA">
            <w:pPr>
              <w:spacing w:before="60" w:after="60"/>
              <w:rPr>
                <w:rFonts w:cs="Arial"/>
                <w:bCs/>
                <w:color w:val="000000"/>
                <w:szCs w:val="20"/>
                <w:lang w:val="en-US" w:eastAsia="en-AU"/>
              </w:rPr>
            </w:pPr>
            <w:r w:rsidRPr="00CC18AA">
              <w:rPr>
                <w:rFonts w:cs="Arial"/>
                <w:bCs/>
                <w:color w:val="000000"/>
                <w:szCs w:val="20"/>
                <w:lang w:val="en-US" w:eastAsia="en-AU"/>
              </w:rPr>
              <w:t>F.Caenidae</w:t>
            </w:r>
          </w:p>
        </w:tc>
        <w:tc>
          <w:tcPr>
            <w:tcW w:w="1081"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0.18</w:t>
            </w:r>
          </w:p>
        </w:tc>
        <w:tc>
          <w:tcPr>
            <w:tcW w:w="738" w:type="pct"/>
            <w:shd w:val="clear" w:color="auto" w:fill="auto"/>
            <w:noWrap/>
            <w:hideMark/>
          </w:tcPr>
          <w:p w:rsidR="00C46513" w:rsidRPr="00CC18AA" w:rsidRDefault="00C46513" w:rsidP="00CC18AA">
            <w:pPr>
              <w:spacing w:before="60" w:after="60"/>
              <w:jc w:val="center"/>
              <w:rPr>
                <w:rFonts w:cs="Arial"/>
                <w:b/>
                <w:bCs/>
                <w:color w:val="000000"/>
                <w:szCs w:val="20"/>
                <w:lang w:val="en-US" w:eastAsia="en-AU"/>
              </w:rPr>
            </w:pPr>
            <w:r w:rsidRPr="00CC18AA">
              <w:rPr>
                <w:rFonts w:cs="Arial"/>
                <w:b/>
                <w:bCs/>
                <w:color w:val="000000"/>
                <w:szCs w:val="20"/>
                <w:lang w:val="en-US" w:eastAsia="en-AU"/>
              </w:rPr>
              <w:t>0.65</w:t>
            </w:r>
          </w:p>
        </w:tc>
        <w:tc>
          <w:tcPr>
            <w:tcW w:w="984"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5</w:t>
            </w:r>
          </w:p>
        </w:tc>
        <w:tc>
          <w:tcPr>
            <w:tcW w:w="984"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15</w:t>
            </w:r>
          </w:p>
        </w:tc>
      </w:tr>
      <w:tr w:rsidR="00CC18AA" w:rsidRPr="001D5C06" w:rsidTr="00CC18AA">
        <w:trPr>
          <w:trHeight w:val="300"/>
        </w:trPr>
        <w:tc>
          <w:tcPr>
            <w:tcW w:w="1214" w:type="pct"/>
            <w:shd w:val="clear" w:color="auto" w:fill="auto"/>
            <w:noWrap/>
            <w:hideMark/>
          </w:tcPr>
          <w:p w:rsidR="00C46513" w:rsidRPr="00CC18AA" w:rsidRDefault="00C46513" w:rsidP="00CC18AA">
            <w:pPr>
              <w:spacing w:before="60" w:after="60"/>
              <w:rPr>
                <w:rFonts w:cs="Arial"/>
                <w:bCs/>
                <w:color w:val="000000"/>
                <w:szCs w:val="20"/>
                <w:lang w:val="en-US" w:eastAsia="en-AU"/>
              </w:rPr>
            </w:pPr>
            <w:r w:rsidRPr="00CC18AA">
              <w:rPr>
                <w:rFonts w:cs="Arial"/>
                <w:bCs/>
                <w:color w:val="000000"/>
                <w:szCs w:val="20"/>
                <w:lang w:val="en-US" w:eastAsia="en-AU"/>
              </w:rPr>
              <w:t>F.Hydrophilidae</w:t>
            </w:r>
          </w:p>
        </w:tc>
        <w:tc>
          <w:tcPr>
            <w:tcW w:w="1081" w:type="pct"/>
            <w:shd w:val="clear" w:color="auto" w:fill="auto"/>
            <w:noWrap/>
            <w:hideMark/>
          </w:tcPr>
          <w:p w:rsidR="00C46513" w:rsidRPr="00CC18AA" w:rsidRDefault="00C46513" w:rsidP="00CC18AA">
            <w:pPr>
              <w:spacing w:before="60" w:after="60"/>
              <w:jc w:val="center"/>
              <w:rPr>
                <w:rFonts w:cs="Arial"/>
                <w:b/>
                <w:bCs/>
                <w:color w:val="000000"/>
                <w:szCs w:val="20"/>
                <w:lang w:val="en-US" w:eastAsia="en-AU"/>
              </w:rPr>
            </w:pPr>
            <w:r w:rsidRPr="00CC18AA">
              <w:rPr>
                <w:rFonts w:cs="Arial"/>
                <w:b/>
                <w:bCs/>
                <w:color w:val="000000"/>
                <w:szCs w:val="20"/>
                <w:lang w:val="en-US" w:eastAsia="en-AU"/>
              </w:rPr>
              <w:t>0.55</w:t>
            </w:r>
          </w:p>
        </w:tc>
        <w:tc>
          <w:tcPr>
            <w:tcW w:w="738"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0.33</w:t>
            </w:r>
          </w:p>
        </w:tc>
        <w:tc>
          <w:tcPr>
            <w:tcW w:w="984"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4</w:t>
            </w:r>
          </w:p>
        </w:tc>
        <w:tc>
          <w:tcPr>
            <w:tcW w:w="984"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19</w:t>
            </w:r>
          </w:p>
        </w:tc>
      </w:tr>
      <w:tr w:rsidR="00CC18AA" w:rsidRPr="001D5C06" w:rsidTr="00CC18AA">
        <w:trPr>
          <w:trHeight w:val="300"/>
        </w:trPr>
        <w:tc>
          <w:tcPr>
            <w:tcW w:w="1214" w:type="pct"/>
            <w:shd w:val="clear" w:color="auto" w:fill="auto"/>
            <w:noWrap/>
            <w:hideMark/>
          </w:tcPr>
          <w:p w:rsidR="00C46513" w:rsidRPr="00CC18AA" w:rsidRDefault="00C46513" w:rsidP="00CC18AA">
            <w:pPr>
              <w:spacing w:before="60" w:after="60"/>
              <w:rPr>
                <w:rFonts w:cs="Arial"/>
                <w:bCs/>
                <w:color w:val="000000"/>
                <w:szCs w:val="20"/>
                <w:lang w:val="en-US" w:eastAsia="en-AU"/>
              </w:rPr>
            </w:pPr>
            <w:r w:rsidRPr="00CC18AA">
              <w:rPr>
                <w:rFonts w:cs="Arial"/>
                <w:bCs/>
                <w:color w:val="000000"/>
                <w:szCs w:val="20"/>
                <w:lang w:val="en-US" w:eastAsia="en-AU"/>
              </w:rPr>
              <w:t>F.Notonectidae</w:t>
            </w:r>
          </w:p>
        </w:tc>
        <w:tc>
          <w:tcPr>
            <w:tcW w:w="1081" w:type="pct"/>
            <w:shd w:val="clear" w:color="auto" w:fill="auto"/>
            <w:noWrap/>
            <w:hideMark/>
          </w:tcPr>
          <w:p w:rsidR="00C46513" w:rsidRPr="00CC18AA" w:rsidRDefault="00C46513" w:rsidP="00CC18AA">
            <w:pPr>
              <w:spacing w:before="60" w:after="60"/>
              <w:jc w:val="center"/>
              <w:rPr>
                <w:rFonts w:cs="Arial"/>
                <w:b/>
                <w:bCs/>
                <w:color w:val="000000"/>
                <w:szCs w:val="20"/>
                <w:lang w:val="en-US" w:eastAsia="en-AU"/>
              </w:rPr>
            </w:pPr>
            <w:r w:rsidRPr="00CC18AA">
              <w:rPr>
                <w:rFonts w:cs="Arial"/>
                <w:b/>
                <w:bCs/>
                <w:color w:val="000000"/>
                <w:szCs w:val="20"/>
                <w:lang w:val="en-US" w:eastAsia="en-AU"/>
              </w:rPr>
              <w:t>0.73</w:t>
            </w:r>
          </w:p>
        </w:tc>
        <w:tc>
          <w:tcPr>
            <w:tcW w:w="738"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0.59</w:t>
            </w:r>
          </w:p>
        </w:tc>
        <w:tc>
          <w:tcPr>
            <w:tcW w:w="984"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4</w:t>
            </w:r>
          </w:p>
        </w:tc>
        <w:tc>
          <w:tcPr>
            <w:tcW w:w="984"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23</w:t>
            </w:r>
          </w:p>
        </w:tc>
      </w:tr>
      <w:tr w:rsidR="00CC18AA" w:rsidRPr="001D5C06" w:rsidTr="00CC18AA">
        <w:trPr>
          <w:trHeight w:val="300"/>
        </w:trPr>
        <w:tc>
          <w:tcPr>
            <w:tcW w:w="1214" w:type="pct"/>
            <w:shd w:val="clear" w:color="auto" w:fill="auto"/>
            <w:noWrap/>
            <w:hideMark/>
          </w:tcPr>
          <w:p w:rsidR="00C46513" w:rsidRPr="00CC18AA" w:rsidRDefault="00C46513" w:rsidP="00CC18AA">
            <w:pPr>
              <w:spacing w:before="60" w:after="60"/>
              <w:rPr>
                <w:rFonts w:cs="Arial"/>
                <w:bCs/>
                <w:color w:val="000000"/>
                <w:szCs w:val="20"/>
                <w:lang w:val="en-US" w:eastAsia="en-AU"/>
              </w:rPr>
            </w:pPr>
            <w:r w:rsidRPr="00CC18AA">
              <w:rPr>
                <w:rFonts w:cs="Arial"/>
                <w:bCs/>
                <w:color w:val="000000"/>
                <w:szCs w:val="20"/>
                <w:lang w:val="en-US" w:eastAsia="en-AU"/>
              </w:rPr>
              <w:t>F.Baetidae</w:t>
            </w:r>
          </w:p>
        </w:tc>
        <w:tc>
          <w:tcPr>
            <w:tcW w:w="1081" w:type="pct"/>
            <w:shd w:val="clear" w:color="auto" w:fill="auto"/>
            <w:noWrap/>
            <w:hideMark/>
          </w:tcPr>
          <w:p w:rsidR="00C46513" w:rsidRPr="00CC18AA" w:rsidRDefault="00C46513" w:rsidP="00CC18AA">
            <w:pPr>
              <w:spacing w:before="60" w:after="60"/>
              <w:jc w:val="center"/>
              <w:rPr>
                <w:rFonts w:cs="Arial"/>
                <w:b/>
                <w:bCs/>
                <w:color w:val="000000"/>
                <w:szCs w:val="20"/>
                <w:lang w:val="en-US" w:eastAsia="en-AU"/>
              </w:rPr>
            </w:pPr>
            <w:r w:rsidRPr="00CC18AA">
              <w:rPr>
                <w:rFonts w:cs="Arial"/>
                <w:b/>
                <w:bCs/>
                <w:color w:val="000000"/>
                <w:szCs w:val="20"/>
                <w:lang w:val="en-US" w:eastAsia="en-AU"/>
              </w:rPr>
              <w:t>0.73</w:t>
            </w:r>
          </w:p>
        </w:tc>
        <w:tc>
          <w:tcPr>
            <w:tcW w:w="738"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0.70</w:t>
            </w:r>
          </w:p>
        </w:tc>
        <w:tc>
          <w:tcPr>
            <w:tcW w:w="984"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3</w:t>
            </w:r>
          </w:p>
        </w:tc>
        <w:tc>
          <w:tcPr>
            <w:tcW w:w="984"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26</w:t>
            </w:r>
          </w:p>
        </w:tc>
      </w:tr>
      <w:tr w:rsidR="00CC18AA" w:rsidRPr="001D5C06" w:rsidTr="00CC18AA">
        <w:trPr>
          <w:trHeight w:val="300"/>
        </w:trPr>
        <w:tc>
          <w:tcPr>
            <w:tcW w:w="1214" w:type="pct"/>
            <w:shd w:val="clear" w:color="auto" w:fill="auto"/>
            <w:noWrap/>
            <w:hideMark/>
          </w:tcPr>
          <w:p w:rsidR="00C46513" w:rsidRPr="00CC18AA" w:rsidRDefault="00C46513" w:rsidP="00CC18AA">
            <w:pPr>
              <w:spacing w:before="60" w:after="60"/>
              <w:rPr>
                <w:rFonts w:cs="Arial"/>
                <w:bCs/>
                <w:color w:val="000000"/>
                <w:szCs w:val="20"/>
                <w:lang w:val="en-US" w:eastAsia="en-AU"/>
              </w:rPr>
            </w:pPr>
            <w:r w:rsidRPr="00CC18AA">
              <w:rPr>
                <w:rFonts w:cs="Arial"/>
                <w:bCs/>
                <w:color w:val="000000"/>
                <w:szCs w:val="20"/>
                <w:lang w:val="en-US" w:eastAsia="en-AU"/>
              </w:rPr>
              <w:t>F.Ceratopogonidae</w:t>
            </w:r>
          </w:p>
        </w:tc>
        <w:tc>
          <w:tcPr>
            <w:tcW w:w="1081" w:type="pct"/>
            <w:shd w:val="clear" w:color="auto" w:fill="auto"/>
            <w:noWrap/>
            <w:hideMark/>
          </w:tcPr>
          <w:p w:rsidR="00C46513" w:rsidRPr="00CC18AA" w:rsidRDefault="00C46513" w:rsidP="00CC18AA">
            <w:pPr>
              <w:spacing w:before="60" w:after="60"/>
              <w:jc w:val="center"/>
              <w:rPr>
                <w:rFonts w:cs="Arial"/>
                <w:b/>
                <w:bCs/>
                <w:color w:val="000000"/>
                <w:szCs w:val="20"/>
                <w:lang w:val="en-US" w:eastAsia="en-AU"/>
              </w:rPr>
            </w:pPr>
            <w:r w:rsidRPr="00CC18AA">
              <w:rPr>
                <w:rFonts w:cs="Arial"/>
                <w:b/>
                <w:bCs/>
                <w:color w:val="000000"/>
                <w:szCs w:val="20"/>
                <w:lang w:val="en-US" w:eastAsia="en-AU"/>
              </w:rPr>
              <w:t>0.45</w:t>
            </w:r>
          </w:p>
        </w:tc>
        <w:tc>
          <w:tcPr>
            <w:tcW w:w="738"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0.24</w:t>
            </w:r>
          </w:p>
        </w:tc>
        <w:tc>
          <w:tcPr>
            <w:tcW w:w="984"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3</w:t>
            </w:r>
          </w:p>
        </w:tc>
        <w:tc>
          <w:tcPr>
            <w:tcW w:w="984"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30</w:t>
            </w:r>
          </w:p>
        </w:tc>
      </w:tr>
      <w:tr w:rsidR="00CC18AA" w:rsidRPr="001D5C06" w:rsidTr="00CC18AA">
        <w:trPr>
          <w:trHeight w:val="300"/>
        </w:trPr>
        <w:tc>
          <w:tcPr>
            <w:tcW w:w="1214" w:type="pct"/>
            <w:shd w:val="clear" w:color="auto" w:fill="auto"/>
            <w:noWrap/>
            <w:hideMark/>
          </w:tcPr>
          <w:p w:rsidR="00C46513" w:rsidRPr="00CC18AA" w:rsidRDefault="00C46513" w:rsidP="00CC18AA">
            <w:pPr>
              <w:spacing w:before="60" w:after="60"/>
              <w:jc w:val="center"/>
              <w:rPr>
                <w:rFonts w:cs="Arial"/>
                <w:bCs/>
                <w:color w:val="000000"/>
                <w:szCs w:val="20"/>
                <w:lang w:val="en-US" w:eastAsia="en-AU"/>
              </w:rPr>
            </w:pPr>
            <w:r w:rsidRPr="00CC18AA">
              <w:rPr>
                <w:rFonts w:cs="Arial"/>
                <w:bCs/>
                <w:color w:val="000000"/>
                <w:szCs w:val="20"/>
                <w:lang w:val="en-US" w:eastAsia="en-AU"/>
              </w:rPr>
              <w:t> </w:t>
            </w:r>
          </w:p>
        </w:tc>
        <w:tc>
          <w:tcPr>
            <w:tcW w:w="1081" w:type="pct"/>
            <w:shd w:val="clear" w:color="auto" w:fill="D9D9D9"/>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T1</w:t>
            </w:r>
          </w:p>
        </w:tc>
        <w:tc>
          <w:tcPr>
            <w:tcW w:w="738" w:type="pct"/>
            <w:shd w:val="clear" w:color="auto" w:fill="D9D9D9"/>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T2,T3,T4</w:t>
            </w:r>
          </w:p>
        </w:tc>
        <w:tc>
          <w:tcPr>
            <w:tcW w:w="984" w:type="pct"/>
            <w:shd w:val="clear" w:color="auto" w:fill="D9D9D9"/>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 </w:t>
            </w:r>
          </w:p>
        </w:tc>
        <w:tc>
          <w:tcPr>
            <w:tcW w:w="984" w:type="pct"/>
            <w:shd w:val="clear" w:color="auto" w:fill="D9D9D9"/>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 </w:t>
            </w:r>
          </w:p>
        </w:tc>
      </w:tr>
      <w:tr w:rsidR="00CC18AA" w:rsidRPr="001D5C06" w:rsidTr="00CC18AA">
        <w:trPr>
          <w:trHeight w:val="300"/>
        </w:trPr>
        <w:tc>
          <w:tcPr>
            <w:tcW w:w="1214" w:type="pct"/>
            <w:shd w:val="clear" w:color="auto" w:fill="auto"/>
            <w:noWrap/>
            <w:hideMark/>
          </w:tcPr>
          <w:p w:rsidR="00C46513" w:rsidRPr="00CC18AA" w:rsidRDefault="00C46513" w:rsidP="00CC18AA">
            <w:pPr>
              <w:spacing w:before="60" w:after="60"/>
              <w:rPr>
                <w:rFonts w:cs="Arial"/>
                <w:bCs/>
                <w:color w:val="000000"/>
                <w:szCs w:val="20"/>
                <w:lang w:val="en-US" w:eastAsia="en-AU"/>
              </w:rPr>
            </w:pPr>
            <w:r w:rsidRPr="00CC18AA">
              <w:rPr>
                <w:rFonts w:cs="Arial"/>
                <w:bCs/>
                <w:color w:val="000000"/>
                <w:szCs w:val="20"/>
                <w:lang w:val="en-US" w:eastAsia="en-AU"/>
              </w:rPr>
              <w:t>F.Gerridae</w:t>
            </w:r>
          </w:p>
        </w:tc>
        <w:tc>
          <w:tcPr>
            <w:tcW w:w="1081"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0.20</w:t>
            </w:r>
          </w:p>
        </w:tc>
        <w:tc>
          <w:tcPr>
            <w:tcW w:w="738" w:type="pct"/>
            <w:shd w:val="clear" w:color="auto" w:fill="auto"/>
            <w:noWrap/>
            <w:hideMark/>
          </w:tcPr>
          <w:p w:rsidR="00C46513" w:rsidRPr="00CC18AA" w:rsidRDefault="00C46513" w:rsidP="00CC18AA">
            <w:pPr>
              <w:spacing w:before="60" w:after="60"/>
              <w:jc w:val="center"/>
              <w:rPr>
                <w:rFonts w:cs="Arial"/>
                <w:b/>
                <w:bCs/>
                <w:color w:val="000000"/>
                <w:szCs w:val="20"/>
                <w:lang w:val="en-US" w:eastAsia="en-AU"/>
              </w:rPr>
            </w:pPr>
            <w:r w:rsidRPr="00CC18AA">
              <w:rPr>
                <w:rFonts w:cs="Arial"/>
                <w:b/>
                <w:bCs/>
                <w:color w:val="000000"/>
                <w:szCs w:val="20"/>
                <w:lang w:val="en-US" w:eastAsia="en-AU"/>
              </w:rPr>
              <w:t>0.76</w:t>
            </w:r>
          </w:p>
        </w:tc>
        <w:tc>
          <w:tcPr>
            <w:tcW w:w="984"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6</w:t>
            </w:r>
          </w:p>
        </w:tc>
        <w:tc>
          <w:tcPr>
            <w:tcW w:w="984"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6</w:t>
            </w:r>
          </w:p>
        </w:tc>
      </w:tr>
      <w:tr w:rsidR="00CC18AA" w:rsidRPr="001D5C06" w:rsidTr="00CC18AA">
        <w:trPr>
          <w:trHeight w:val="300"/>
        </w:trPr>
        <w:tc>
          <w:tcPr>
            <w:tcW w:w="1214" w:type="pct"/>
            <w:shd w:val="clear" w:color="auto" w:fill="auto"/>
            <w:noWrap/>
            <w:hideMark/>
          </w:tcPr>
          <w:p w:rsidR="00C46513" w:rsidRPr="00CC18AA" w:rsidRDefault="00C46513" w:rsidP="00CC18AA">
            <w:pPr>
              <w:spacing w:before="60" w:after="60"/>
              <w:rPr>
                <w:rFonts w:cs="Arial"/>
                <w:bCs/>
                <w:color w:val="000000"/>
                <w:szCs w:val="20"/>
                <w:lang w:val="en-US" w:eastAsia="en-AU"/>
              </w:rPr>
            </w:pPr>
            <w:r w:rsidRPr="00CC18AA">
              <w:rPr>
                <w:rFonts w:cs="Arial"/>
                <w:bCs/>
                <w:color w:val="000000"/>
                <w:szCs w:val="20"/>
                <w:lang w:val="en-US" w:eastAsia="en-AU"/>
              </w:rPr>
              <w:t>F.Baetidae</w:t>
            </w:r>
          </w:p>
        </w:tc>
        <w:tc>
          <w:tcPr>
            <w:tcW w:w="1081"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0.40</w:t>
            </w:r>
          </w:p>
        </w:tc>
        <w:tc>
          <w:tcPr>
            <w:tcW w:w="738" w:type="pct"/>
            <w:shd w:val="clear" w:color="auto" w:fill="auto"/>
            <w:noWrap/>
            <w:hideMark/>
          </w:tcPr>
          <w:p w:rsidR="00C46513" w:rsidRPr="00CC18AA" w:rsidRDefault="00C46513" w:rsidP="00CC18AA">
            <w:pPr>
              <w:spacing w:before="60" w:after="60"/>
              <w:jc w:val="center"/>
              <w:rPr>
                <w:rFonts w:cs="Arial"/>
                <w:b/>
                <w:bCs/>
                <w:color w:val="000000"/>
                <w:szCs w:val="20"/>
                <w:lang w:val="en-US" w:eastAsia="en-AU"/>
              </w:rPr>
            </w:pPr>
            <w:r w:rsidRPr="00CC18AA">
              <w:rPr>
                <w:rFonts w:cs="Arial"/>
                <w:b/>
                <w:bCs/>
                <w:color w:val="000000"/>
                <w:szCs w:val="20"/>
                <w:lang w:val="en-US" w:eastAsia="en-AU"/>
              </w:rPr>
              <w:t>0.81</w:t>
            </w:r>
          </w:p>
        </w:tc>
        <w:tc>
          <w:tcPr>
            <w:tcW w:w="984"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5</w:t>
            </w:r>
          </w:p>
        </w:tc>
        <w:tc>
          <w:tcPr>
            <w:tcW w:w="984"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11</w:t>
            </w:r>
          </w:p>
        </w:tc>
      </w:tr>
      <w:tr w:rsidR="00CC18AA" w:rsidRPr="001D5C06" w:rsidTr="00CC18AA">
        <w:trPr>
          <w:trHeight w:val="300"/>
        </w:trPr>
        <w:tc>
          <w:tcPr>
            <w:tcW w:w="1214" w:type="pct"/>
            <w:shd w:val="clear" w:color="auto" w:fill="auto"/>
            <w:noWrap/>
            <w:hideMark/>
          </w:tcPr>
          <w:p w:rsidR="00C46513" w:rsidRPr="00CC18AA" w:rsidRDefault="00C46513" w:rsidP="00CC18AA">
            <w:pPr>
              <w:spacing w:before="60" w:after="60"/>
              <w:rPr>
                <w:rFonts w:cs="Arial"/>
                <w:bCs/>
                <w:color w:val="000000"/>
                <w:szCs w:val="20"/>
                <w:lang w:val="en-US" w:eastAsia="en-AU"/>
              </w:rPr>
            </w:pPr>
            <w:r w:rsidRPr="00CC18AA">
              <w:rPr>
                <w:rFonts w:cs="Arial"/>
                <w:bCs/>
                <w:color w:val="000000"/>
                <w:szCs w:val="20"/>
                <w:lang w:val="en-US" w:eastAsia="en-AU"/>
              </w:rPr>
              <w:t>F.Cirolanidae</w:t>
            </w:r>
          </w:p>
        </w:tc>
        <w:tc>
          <w:tcPr>
            <w:tcW w:w="1081"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0.33</w:t>
            </w:r>
          </w:p>
        </w:tc>
        <w:tc>
          <w:tcPr>
            <w:tcW w:w="738" w:type="pct"/>
            <w:shd w:val="clear" w:color="auto" w:fill="auto"/>
            <w:noWrap/>
            <w:hideMark/>
          </w:tcPr>
          <w:p w:rsidR="00C46513" w:rsidRPr="00CC18AA" w:rsidRDefault="00C46513" w:rsidP="00CC18AA">
            <w:pPr>
              <w:spacing w:before="60" w:after="60"/>
              <w:jc w:val="center"/>
              <w:rPr>
                <w:rFonts w:cs="Arial"/>
                <w:b/>
                <w:bCs/>
                <w:color w:val="000000"/>
                <w:szCs w:val="20"/>
                <w:lang w:val="en-US" w:eastAsia="en-AU"/>
              </w:rPr>
            </w:pPr>
            <w:r w:rsidRPr="00CC18AA">
              <w:rPr>
                <w:rFonts w:cs="Arial"/>
                <w:b/>
                <w:bCs/>
                <w:color w:val="000000"/>
                <w:szCs w:val="20"/>
                <w:lang w:val="en-US" w:eastAsia="en-AU"/>
              </w:rPr>
              <w:t>0.62</w:t>
            </w:r>
          </w:p>
        </w:tc>
        <w:tc>
          <w:tcPr>
            <w:tcW w:w="984"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5</w:t>
            </w:r>
          </w:p>
        </w:tc>
        <w:tc>
          <w:tcPr>
            <w:tcW w:w="984"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16</w:t>
            </w:r>
          </w:p>
        </w:tc>
      </w:tr>
      <w:tr w:rsidR="00CC18AA" w:rsidRPr="001D5C06" w:rsidTr="00CC18AA">
        <w:trPr>
          <w:trHeight w:val="300"/>
        </w:trPr>
        <w:tc>
          <w:tcPr>
            <w:tcW w:w="1214" w:type="pct"/>
            <w:shd w:val="clear" w:color="auto" w:fill="auto"/>
            <w:noWrap/>
            <w:hideMark/>
          </w:tcPr>
          <w:p w:rsidR="00C46513" w:rsidRPr="00CC18AA" w:rsidRDefault="00C46513" w:rsidP="00CC18AA">
            <w:pPr>
              <w:spacing w:before="60" w:after="60"/>
              <w:rPr>
                <w:rFonts w:cs="Arial"/>
                <w:bCs/>
                <w:color w:val="000000"/>
                <w:szCs w:val="20"/>
                <w:lang w:val="en-US" w:eastAsia="en-AU"/>
              </w:rPr>
            </w:pPr>
            <w:r w:rsidRPr="00CC18AA">
              <w:rPr>
                <w:rFonts w:cs="Arial"/>
                <w:bCs/>
                <w:color w:val="000000"/>
                <w:szCs w:val="20"/>
                <w:lang w:val="en-US" w:eastAsia="en-AU"/>
              </w:rPr>
              <w:t>F.Caenidae</w:t>
            </w:r>
          </w:p>
        </w:tc>
        <w:tc>
          <w:tcPr>
            <w:tcW w:w="1081" w:type="pct"/>
            <w:shd w:val="clear" w:color="auto" w:fill="auto"/>
            <w:noWrap/>
            <w:hideMark/>
          </w:tcPr>
          <w:p w:rsidR="00C46513" w:rsidRPr="00CC18AA" w:rsidRDefault="00C46513" w:rsidP="00CC18AA">
            <w:pPr>
              <w:spacing w:before="60" w:after="60"/>
              <w:jc w:val="center"/>
              <w:rPr>
                <w:rFonts w:cs="Arial"/>
                <w:b/>
                <w:bCs/>
                <w:color w:val="000000"/>
                <w:szCs w:val="20"/>
                <w:lang w:val="en-US" w:eastAsia="en-AU"/>
              </w:rPr>
            </w:pPr>
            <w:r w:rsidRPr="00CC18AA">
              <w:rPr>
                <w:rFonts w:cs="Arial"/>
                <w:b/>
                <w:bCs/>
                <w:color w:val="000000"/>
                <w:szCs w:val="20"/>
                <w:lang w:val="en-US" w:eastAsia="en-AU"/>
              </w:rPr>
              <w:t>0.80</w:t>
            </w:r>
          </w:p>
        </w:tc>
        <w:tc>
          <w:tcPr>
            <w:tcW w:w="738"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0.48</w:t>
            </w:r>
          </w:p>
        </w:tc>
        <w:tc>
          <w:tcPr>
            <w:tcW w:w="984"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5</w:t>
            </w:r>
          </w:p>
        </w:tc>
        <w:tc>
          <w:tcPr>
            <w:tcW w:w="984"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20</w:t>
            </w:r>
          </w:p>
        </w:tc>
      </w:tr>
      <w:tr w:rsidR="00CC18AA" w:rsidRPr="001D5C06" w:rsidTr="00CC18AA">
        <w:trPr>
          <w:trHeight w:val="300"/>
        </w:trPr>
        <w:tc>
          <w:tcPr>
            <w:tcW w:w="1214" w:type="pct"/>
            <w:shd w:val="clear" w:color="auto" w:fill="auto"/>
            <w:noWrap/>
            <w:hideMark/>
          </w:tcPr>
          <w:p w:rsidR="00C46513" w:rsidRPr="00CC18AA" w:rsidRDefault="00C46513" w:rsidP="00CC18AA">
            <w:pPr>
              <w:spacing w:before="60" w:after="60"/>
              <w:rPr>
                <w:rFonts w:cs="Arial"/>
                <w:bCs/>
                <w:color w:val="000000"/>
                <w:szCs w:val="20"/>
                <w:lang w:val="en-US" w:eastAsia="en-AU"/>
              </w:rPr>
            </w:pPr>
            <w:r w:rsidRPr="00CC18AA">
              <w:rPr>
                <w:rFonts w:cs="Arial"/>
                <w:bCs/>
                <w:color w:val="000000"/>
                <w:szCs w:val="20"/>
                <w:lang w:val="en-US" w:eastAsia="en-AU"/>
              </w:rPr>
              <w:t>F.Ceratopogonidae</w:t>
            </w:r>
          </w:p>
        </w:tc>
        <w:tc>
          <w:tcPr>
            <w:tcW w:w="1081" w:type="pct"/>
            <w:shd w:val="clear" w:color="auto" w:fill="auto"/>
            <w:noWrap/>
            <w:hideMark/>
          </w:tcPr>
          <w:p w:rsidR="00C46513" w:rsidRPr="00CC18AA" w:rsidRDefault="00C46513" w:rsidP="00CC18AA">
            <w:pPr>
              <w:spacing w:before="60" w:after="60"/>
              <w:jc w:val="center"/>
              <w:rPr>
                <w:rFonts w:cs="Arial"/>
                <w:b/>
                <w:bCs/>
                <w:color w:val="000000"/>
                <w:szCs w:val="20"/>
                <w:lang w:val="en-US" w:eastAsia="en-AU"/>
              </w:rPr>
            </w:pPr>
            <w:r w:rsidRPr="00CC18AA">
              <w:rPr>
                <w:rFonts w:cs="Arial"/>
                <w:b/>
                <w:bCs/>
                <w:color w:val="000000"/>
                <w:szCs w:val="20"/>
                <w:lang w:val="en-US" w:eastAsia="en-AU"/>
              </w:rPr>
              <w:t>0.53</w:t>
            </w:r>
          </w:p>
        </w:tc>
        <w:tc>
          <w:tcPr>
            <w:tcW w:w="738"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0.19</w:t>
            </w:r>
          </w:p>
        </w:tc>
        <w:tc>
          <w:tcPr>
            <w:tcW w:w="984"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4</w:t>
            </w:r>
          </w:p>
        </w:tc>
        <w:tc>
          <w:tcPr>
            <w:tcW w:w="984"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25</w:t>
            </w:r>
          </w:p>
        </w:tc>
      </w:tr>
      <w:tr w:rsidR="00CC18AA" w:rsidRPr="001D5C06" w:rsidTr="00CC18AA">
        <w:trPr>
          <w:trHeight w:val="300"/>
        </w:trPr>
        <w:tc>
          <w:tcPr>
            <w:tcW w:w="1214" w:type="pct"/>
            <w:shd w:val="clear" w:color="auto" w:fill="auto"/>
            <w:noWrap/>
            <w:hideMark/>
          </w:tcPr>
          <w:p w:rsidR="00C46513" w:rsidRPr="00CC18AA" w:rsidRDefault="00C46513" w:rsidP="00CC18AA">
            <w:pPr>
              <w:spacing w:before="60" w:after="60"/>
              <w:rPr>
                <w:rFonts w:cs="Arial"/>
                <w:bCs/>
                <w:color w:val="000000"/>
                <w:szCs w:val="20"/>
                <w:lang w:val="en-US" w:eastAsia="en-AU"/>
              </w:rPr>
            </w:pPr>
            <w:r w:rsidRPr="00CC18AA">
              <w:rPr>
                <w:rFonts w:cs="Arial"/>
                <w:bCs/>
                <w:color w:val="000000"/>
                <w:szCs w:val="20"/>
                <w:lang w:val="en-US" w:eastAsia="en-AU"/>
              </w:rPr>
              <w:t>F.Notonectidae</w:t>
            </w:r>
          </w:p>
        </w:tc>
        <w:tc>
          <w:tcPr>
            <w:tcW w:w="1081"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0.60</w:t>
            </w:r>
          </w:p>
        </w:tc>
        <w:tc>
          <w:tcPr>
            <w:tcW w:w="738" w:type="pct"/>
            <w:shd w:val="clear" w:color="auto" w:fill="auto"/>
            <w:noWrap/>
            <w:hideMark/>
          </w:tcPr>
          <w:p w:rsidR="00C46513" w:rsidRPr="00CC18AA" w:rsidRDefault="00C46513" w:rsidP="00CC18AA">
            <w:pPr>
              <w:spacing w:before="60" w:after="60"/>
              <w:jc w:val="center"/>
              <w:rPr>
                <w:rFonts w:cs="Arial"/>
                <w:b/>
                <w:bCs/>
                <w:color w:val="000000"/>
                <w:szCs w:val="20"/>
                <w:lang w:val="en-US" w:eastAsia="en-AU"/>
              </w:rPr>
            </w:pPr>
            <w:r w:rsidRPr="00CC18AA">
              <w:rPr>
                <w:rFonts w:cs="Arial"/>
                <w:b/>
                <w:bCs/>
                <w:color w:val="000000"/>
                <w:szCs w:val="20"/>
                <w:lang w:val="en-US" w:eastAsia="en-AU"/>
              </w:rPr>
              <w:t>0.62</w:t>
            </w:r>
          </w:p>
        </w:tc>
        <w:tc>
          <w:tcPr>
            <w:tcW w:w="984"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4</w:t>
            </w:r>
          </w:p>
        </w:tc>
        <w:tc>
          <w:tcPr>
            <w:tcW w:w="984"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29</w:t>
            </w:r>
          </w:p>
        </w:tc>
      </w:tr>
      <w:tr w:rsidR="00CC18AA" w:rsidRPr="001D5C06" w:rsidTr="00CC18AA">
        <w:trPr>
          <w:trHeight w:val="300"/>
        </w:trPr>
        <w:tc>
          <w:tcPr>
            <w:tcW w:w="1214" w:type="pct"/>
            <w:shd w:val="clear" w:color="auto" w:fill="auto"/>
            <w:noWrap/>
            <w:hideMark/>
          </w:tcPr>
          <w:p w:rsidR="00C46513" w:rsidRPr="00CC18AA" w:rsidRDefault="00C46513" w:rsidP="00CC18AA">
            <w:pPr>
              <w:spacing w:before="60" w:after="60"/>
              <w:rPr>
                <w:rFonts w:cs="Arial"/>
                <w:bCs/>
                <w:color w:val="000000"/>
                <w:szCs w:val="20"/>
                <w:lang w:val="en-US" w:eastAsia="en-AU"/>
              </w:rPr>
            </w:pPr>
            <w:r w:rsidRPr="00CC18AA">
              <w:rPr>
                <w:rFonts w:cs="Arial"/>
                <w:bCs/>
                <w:color w:val="000000"/>
                <w:szCs w:val="20"/>
                <w:lang w:val="en-US" w:eastAsia="en-AU"/>
              </w:rPr>
              <w:t>F.Hydrophilidae</w:t>
            </w:r>
          </w:p>
        </w:tc>
        <w:tc>
          <w:tcPr>
            <w:tcW w:w="1081" w:type="pct"/>
            <w:shd w:val="clear" w:color="auto" w:fill="auto"/>
            <w:noWrap/>
            <w:hideMark/>
          </w:tcPr>
          <w:p w:rsidR="00C46513" w:rsidRPr="00CC18AA" w:rsidRDefault="00C46513" w:rsidP="00CC18AA">
            <w:pPr>
              <w:spacing w:before="60" w:after="60"/>
              <w:jc w:val="center"/>
              <w:rPr>
                <w:rFonts w:cs="Arial"/>
                <w:b/>
                <w:bCs/>
                <w:color w:val="000000"/>
                <w:szCs w:val="20"/>
                <w:lang w:val="en-US" w:eastAsia="en-AU"/>
              </w:rPr>
            </w:pPr>
            <w:r w:rsidRPr="00CC18AA">
              <w:rPr>
                <w:rFonts w:cs="Arial"/>
                <w:b/>
                <w:bCs/>
                <w:color w:val="000000"/>
                <w:szCs w:val="20"/>
                <w:lang w:val="en-US" w:eastAsia="en-AU"/>
              </w:rPr>
              <w:t>0.47</w:t>
            </w:r>
          </w:p>
        </w:tc>
        <w:tc>
          <w:tcPr>
            <w:tcW w:w="738"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0.33</w:t>
            </w:r>
          </w:p>
        </w:tc>
        <w:tc>
          <w:tcPr>
            <w:tcW w:w="984"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4</w:t>
            </w:r>
          </w:p>
        </w:tc>
        <w:tc>
          <w:tcPr>
            <w:tcW w:w="984"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33</w:t>
            </w:r>
          </w:p>
        </w:tc>
      </w:tr>
      <w:tr w:rsidR="00CC18AA" w:rsidRPr="001D5C06" w:rsidTr="00CC18AA">
        <w:trPr>
          <w:trHeight w:val="300"/>
        </w:trPr>
        <w:tc>
          <w:tcPr>
            <w:tcW w:w="1214" w:type="pct"/>
            <w:shd w:val="clear" w:color="auto" w:fill="auto"/>
            <w:noWrap/>
            <w:hideMark/>
          </w:tcPr>
          <w:p w:rsidR="00C46513" w:rsidRPr="00CC18AA" w:rsidRDefault="00C46513" w:rsidP="00CC18AA">
            <w:pPr>
              <w:spacing w:before="60" w:after="60"/>
              <w:jc w:val="center"/>
              <w:rPr>
                <w:rFonts w:cs="Arial"/>
                <w:bCs/>
                <w:color w:val="000000"/>
                <w:szCs w:val="20"/>
                <w:lang w:val="en-US" w:eastAsia="en-AU"/>
              </w:rPr>
            </w:pPr>
            <w:r w:rsidRPr="00CC18AA">
              <w:rPr>
                <w:rFonts w:cs="Arial"/>
                <w:bCs/>
                <w:color w:val="000000"/>
                <w:szCs w:val="20"/>
                <w:lang w:val="en-US" w:eastAsia="en-AU"/>
              </w:rPr>
              <w:t> </w:t>
            </w:r>
          </w:p>
        </w:tc>
        <w:tc>
          <w:tcPr>
            <w:tcW w:w="1081" w:type="pct"/>
            <w:shd w:val="clear" w:color="auto" w:fill="D9D9D9"/>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T2</w:t>
            </w:r>
          </w:p>
        </w:tc>
        <w:tc>
          <w:tcPr>
            <w:tcW w:w="738" w:type="pct"/>
            <w:shd w:val="clear" w:color="auto" w:fill="D9D9D9"/>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T3,T4</w:t>
            </w:r>
          </w:p>
        </w:tc>
        <w:tc>
          <w:tcPr>
            <w:tcW w:w="984" w:type="pct"/>
            <w:shd w:val="clear" w:color="auto" w:fill="D9D9D9"/>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 </w:t>
            </w:r>
          </w:p>
        </w:tc>
        <w:tc>
          <w:tcPr>
            <w:tcW w:w="984" w:type="pct"/>
            <w:shd w:val="clear" w:color="auto" w:fill="D9D9D9"/>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 </w:t>
            </w:r>
          </w:p>
        </w:tc>
      </w:tr>
      <w:tr w:rsidR="00CC18AA" w:rsidRPr="001D5C06" w:rsidTr="00CC18AA">
        <w:trPr>
          <w:trHeight w:val="300"/>
        </w:trPr>
        <w:tc>
          <w:tcPr>
            <w:tcW w:w="1214" w:type="pct"/>
            <w:shd w:val="clear" w:color="auto" w:fill="auto"/>
            <w:noWrap/>
            <w:hideMark/>
          </w:tcPr>
          <w:p w:rsidR="00C46513" w:rsidRPr="00CC18AA" w:rsidRDefault="00C46513" w:rsidP="00CC18AA">
            <w:pPr>
              <w:spacing w:before="60" w:after="60"/>
              <w:rPr>
                <w:rFonts w:cs="Arial"/>
                <w:bCs/>
                <w:color w:val="000000"/>
                <w:szCs w:val="20"/>
                <w:lang w:val="en-US" w:eastAsia="en-AU"/>
              </w:rPr>
            </w:pPr>
            <w:r w:rsidRPr="00CC18AA">
              <w:rPr>
                <w:rFonts w:cs="Arial"/>
                <w:bCs/>
                <w:color w:val="000000"/>
                <w:szCs w:val="20"/>
                <w:lang w:val="en-US" w:eastAsia="en-AU"/>
              </w:rPr>
              <w:t>F.Notonectidae</w:t>
            </w:r>
          </w:p>
        </w:tc>
        <w:tc>
          <w:tcPr>
            <w:tcW w:w="1081"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0.47</w:t>
            </w:r>
          </w:p>
        </w:tc>
        <w:tc>
          <w:tcPr>
            <w:tcW w:w="738" w:type="pct"/>
            <w:shd w:val="clear" w:color="auto" w:fill="auto"/>
            <w:noWrap/>
            <w:hideMark/>
          </w:tcPr>
          <w:p w:rsidR="00C46513" w:rsidRPr="00CC18AA" w:rsidRDefault="00C46513" w:rsidP="00CC18AA">
            <w:pPr>
              <w:spacing w:before="60" w:after="60"/>
              <w:jc w:val="center"/>
              <w:rPr>
                <w:rFonts w:cs="Arial"/>
                <w:b/>
                <w:bCs/>
                <w:color w:val="000000"/>
                <w:szCs w:val="20"/>
                <w:lang w:val="en-US" w:eastAsia="en-AU"/>
              </w:rPr>
            </w:pPr>
            <w:r w:rsidRPr="00CC18AA">
              <w:rPr>
                <w:rFonts w:cs="Arial"/>
                <w:b/>
                <w:bCs/>
                <w:color w:val="000000"/>
                <w:szCs w:val="20"/>
                <w:lang w:val="en-US" w:eastAsia="en-AU"/>
              </w:rPr>
              <w:t>0.70</w:t>
            </w:r>
          </w:p>
        </w:tc>
        <w:tc>
          <w:tcPr>
            <w:tcW w:w="984"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6</w:t>
            </w:r>
          </w:p>
        </w:tc>
        <w:tc>
          <w:tcPr>
            <w:tcW w:w="984"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6</w:t>
            </w:r>
          </w:p>
        </w:tc>
      </w:tr>
      <w:tr w:rsidR="00CC18AA" w:rsidRPr="001D5C06" w:rsidTr="00CC18AA">
        <w:trPr>
          <w:trHeight w:val="300"/>
        </w:trPr>
        <w:tc>
          <w:tcPr>
            <w:tcW w:w="1214" w:type="pct"/>
            <w:shd w:val="clear" w:color="auto" w:fill="auto"/>
            <w:noWrap/>
            <w:hideMark/>
          </w:tcPr>
          <w:p w:rsidR="00C46513" w:rsidRPr="00CC18AA" w:rsidRDefault="00C46513" w:rsidP="00CC18AA">
            <w:pPr>
              <w:spacing w:before="60" w:after="60"/>
              <w:rPr>
                <w:rFonts w:cs="Arial"/>
                <w:bCs/>
                <w:color w:val="000000"/>
                <w:szCs w:val="20"/>
                <w:lang w:val="en-US" w:eastAsia="en-AU"/>
              </w:rPr>
            </w:pPr>
            <w:r w:rsidRPr="00CC18AA">
              <w:rPr>
                <w:rFonts w:cs="Arial"/>
                <w:bCs/>
                <w:color w:val="000000"/>
                <w:szCs w:val="20"/>
                <w:lang w:val="en-US" w:eastAsia="en-AU"/>
              </w:rPr>
              <w:t>F.Caenidae</w:t>
            </w:r>
          </w:p>
        </w:tc>
        <w:tc>
          <w:tcPr>
            <w:tcW w:w="1081" w:type="pct"/>
            <w:shd w:val="clear" w:color="auto" w:fill="auto"/>
            <w:noWrap/>
            <w:hideMark/>
          </w:tcPr>
          <w:p w:rsidR="00C46513" w:rsidRPr="00CC18AA" w:rsidRDefault="00C46513" w:rsidP="00CC18AA">
            <w:pPr>
              <w:spacing w:before="60" w:after="60"/>
              <w:jc w:val="center"/>
              <w:rPr>
                <w:rFonts w:cs="Arial"/>
                <w:b/>
                <w:bCs/>
                <w:color w:val="000000"/>
                <w:szCs w:val="20"/>
                <w:lang w:val="en-US" w:eastAsia="en-AU"/>
              </w:rPr>
            </w:pPr>
            <w:r w:rsidRPr="00CC18AA">
              <w:rPr>
                <w:rFonts w:cs="Arial"/>
                <w:b/>
                <w:bCs/>
                <w:color w:val="000000"/>
                <w:szCs w:val="20"/>
                <w:lang w:val="en-US" w:eastAsia="en-AU"/>
              </w:rPr>
              <w:t>0.53</w:t>
            </w:r>
          </w:p>
        </w:tc>
        <w:tc>
          <w:tcPr>
            <w:tcW w:w="738"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0.44</w:t>
            </w:r>
          </w:p>
        </w:tc>
        <w:tc>
          <w:tcPr>
            <w:tcW w:w="984"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6</w:t>
            </w:r>
          </w:p>
        </w:tc>
        <w:tc>
          <w:tcPr>
            <w:tcW w:w="984"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11</w:t>
            </w:r>
          </w:p>
        </w:tc>
      </w:tr>
      <w:tr w:rsidR="00CC18AA" w:rsidRPr="001D5C06" w:rsidTr="00CC18AA">
        <w:trPr>
          <w:trHeight w:val="300"/>
        </w:trPr>
        <w:tc>
          <w:tcPr>
            <w:tcW w:w="1214" w:type="pct"/>
            <w:shd w:val="clear" w:color="auto" w:fill="auto"/>
            <w:noWrap/>
            <w:hideMark/>
          </w:tcPr>
          <w:p w:rsidR="00C46513" w:rsidRPr="00CC18AA" w:rsidRDefault="00C46513" w:rsidP="00CC18AA">
            <w:pPr>
              <w:spacing w:before="60" w:after="60"/>
              <w:rPr>
                <w:rFonts w:cs="Arial"/>
                <w:bCs/>
                <w:color w:val="000000"/>
                <w:szCs w:val="20"/>
                <w:lang w:val="en-US" w:eastAsia="en-AU"/>
              </w:rPr>
            </w:pPr>
            <w:r w:rsidRPr="00CC18AA">
              <w:rPr>
                <w:rFonts w:cs="Arial"/>
                <w:bCs/>
                <w:color w:val="000000"/>
                <w:szCs w:val="20"/>
                <w:lang w:val="en-US" w:eastAsia="en-AU"/>
              </w:rPr>
              <w:t>F.Cirolanidae</w:t>
            </w:r>
          </w:p>
        </w:tc>
        <w:tc>
          <w:tcPr>
            <w:tcW w:w="1081"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0.60</w:t>
            </w:r>
          </w:p>
        </w:tc>
        <w:tc>
          <w:tcPr>
            <w:tcW w:w="738" w:type="pct"/>
            <w:shd w:val="clear" w:color="auto" w:fill="auto"/>
            <w:noWrap/>
            <w:hideMark/>
          </w:tcPr>
          <w:p w:rsidR="00C46513" w:rsidRPr="00CC18AA" w:rsidRDefault="00C46513" w:rsidP="00CC18AA">
            <w:pPr>
              <w:spacing w:before="60" w:after="60"/>
              <w:jc w:val="center"/>
              <w:rPr>
                <w:rFonts w:cs="Arial"/>
                <w:b/>
                <w:bCs/>
                <w:color w:val="000000"/>
                <w:szCs w:val="20"/>
                <w:lang w:val="en-US" w:eastAsia="en-AU"/>
              </w:rPr>
            </w:pPr>
            <w:r w:rsidRPr="00CC18AA">
              <w:rPr>
                <w:rFonts w:cs="Arial"/>
                <w:b/>
                <w:bCs/>
                <w:color w:val="000000"/>
                <w:szCs w:val="20"/>
                <w:lang w:val="en-US" w:eastAsia="en-AU"/>
              </w:rPr>
              <w:t>0.63</w:t>
            </w:r>
          </w:p>
        </w:tc>
        <w:tc>
          <w:tcPr>
            <w:tcW w:w="984"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5</w:t>
            </w:r>
          </w:p>
        </w:tc>
        <w:tc>
          <w:tcPr>
            <w:tcW w:w="984"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17</w:t>
            </w:r>
          </w:p>
        </w:tc>
      </w:tr>
      <w:tr w:rsidR="00CC18AA" w:rsidRPr="001D5C06" w:rsidTr="00CC18AA">
        <w:trPr>
          <w:trHeight w:val="300"/>
        </w:trPr>
        <w:tc>
          <w:tcPr>
            <w:tcW w:w="1214" w:type="pct"/>
            <w:shd w:val="clear" w:color="auto" w:fill="auto"/>
            <w:noWrap/>
            <w:hideMark/>
          </w:tcPr>
          <w:p w:rsidR="00C46513" w:rsidRPr="00CC18AA" w:rsidRDefault="00C46513" w:rsidP="00CC18AA">
            <w:pPr>
              <w:spacing w:before="60" w:after="60"/>
              <w:rPr>
                <w:rFonts w:cs="Arial"/>
                <w:bCs/>
                <w:color w:val="000000"/>
                <w:szCs w:val="20"/>
                <w:lang w:val="en-US" w:eastAsia="en-AU"/>
              </w:rPr>
            </w:pPr>
            <w:r w:rsidRPr="00CC18AA">
              <w:rPr>
                <w:rFonts w:cs="Arial"/>
                <w:bCs/>
                <w:color w:val="000000"/>
                <w:szCs w:val="20"/>
                <w:lang w:val="en-US" w:eastAsia="en-AU"/>
              </w:rPr>
              <w:t>F.Velliidae</w:t>
            </w:r>
          </w:p>
        </w:tc>
        <w:tc>
          <w:tcPr>
            <w:tcW w:w="1081" w:type="pct"/>
            <w:shd w:val="clear" w:color="auto" w:fill="auto"/>
            <w:noWrap/>
            <w:hideMark/>
          </w:tcPr>
          <w:p w:rsidR="00C46513" w:rsidRPr="00CC18AA" w:rsidRDefault="00C46513" w:rsidP="00CC18AA">
            <w:pPr>
              <w:spacing w:before="60" w:after="60"/>
              <w:jc w:val="center"/>
              <w:rPr>
                <w:rFonts w:cs="Arial"/>
                <w:b/>
                <w:bCs/>
                <w:color w:val="000000"/>
                <w:szCs w:val="20"/>
                <w:lang w:val="en-US" w:eastAsia="en-AU"/>
              </w:rPr>
            </w:pPr>
            <w:r w:rsidRPr="00CC18AA">
              <w:rPr>
                <w:rFonts w:cs="Arial"/>
                <w:b/>
                <w:bCs/>
                <w:color w:val="000000"/>
                <w:szCs w:val="20"/>
                <w:lang w:val="en-US" w:eastAsia="en-AU"/>
              </w:rPr>
              <w:t>0.40</w:t>
            </w:r>
          </w:p>
        </w:tc>
        <w:tc>
          <w:tcPr>
            <w:tcW w:w="738"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0.30</w:t>
            </w:r>
          </w:p>
        </w:tc>
        <w:tc>
          <w:tcPr>
            <w:tcW w:w="984"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5</w:t>
            </w:r>
          </w:p>
        </w:tc>
        <w:tc>
          <w:tcPr>
            <w:tcW w:w="984"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22</w:t>
            </w:r>
          </w:p>
        </w:tc>
      </w:tr>
      <w:tr w:rsidR="00CC18AA" w:rsidRPr="001D5C06" w:rsidTr="00CC18AA">
        <w:trPr>
          <w:trHeight w:val="300"/>
        </w:trPr>
        <w:tc>
          <w:tcPr>
            <w:tcW w:w="1214" w:type="pct"/>
            <w:shd w:val="clear" w:color="auto" w:fill="auto"/>
            <w:noWrap/>
            <w:hideMark/>
          </w:tcPr>
          <w:p w:rsidR="00C46513" w:rsidRPr="00CC18AA" w:rsidRDefault="00C46513" w:rsidP="00CC18AA">
            <w:pPr>
              <w:spacing w:before="60" w:after="60"/>
              <w:rPr>
                <w:rFonts w:cs="Arial"/>
                <w:bCs/>
                <w:color w:val="000000"/>
                <w:szCs w:val="20"/>
                <w:lang w:val="en-US" w:eastAsia="en-AU"/>
              </w:rPr>
            </w:pPr>
            <w:r w:rsidRPr="00CC18AA">
              <w:rPr>
                <w:rFonts w:cs="Arial"/>
                <w:bCs/>
                <w:color w:val="000000"/>
                <w:szCs w:val="20"/>
                <w:lang w:val="en-US" w:eastAsia="en-AU"/>
              </w:rPr>
              <w:t>F.Hydrophilidae</w:t>
            </w:r>
          </w:p>
        </w:tc>
        <w:tc>
          <w:tcPr>
            <w:tcW w:w="1081"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0.27</w:t>
            </w:r>
          </w:p>
        </w:tc>
        <w:tc>
          <w:tcPr>
            <w:tcW w:w="738" w:type="pct"/>
            <w:shd w:val="clear" w:color="auto" w:fill="auto"/>
            <w:noWrap/>
            <w:hideMark/>
          </w:tcPr>
          <w:p w:rsidR="00C46513" w:rsidRPr="00CC18AA" w:rsidRDefault="00C46513" w:rsidP="00CC18AA">
            <w:pPr>
              <w:spacing w:before="60" w:after="60"/>
              <w:jc w:val="center"/>
              <w:rPr>
                <w:rFonts w:cs="Arial"/>
                <w:b/>
                <w:bCs/>
                <w:color w:val="000000"/>
                <w:szCs w:val="20"/>
                <w:lang w:val="en-US" w:eastAsia="en-AU"/>
              </w:rPr>
            </w:pPr>
            <w:r w:rsidRPr="00CC18AA">
              <w:rPr>
                <w:rFonts w:cs="Arial"/>
                <w:b/>
                <w:bCs/>
                <w:color w:val="000000"/>
                <w:szCs w:val="20"/>
                <w:lang w:val="en-US" w:eastAsia="en-AU"/>
              </w:rPr>
              <w:t>0.37</w:t>
            </w:r>
          </w:p>
        </w:tc>
        <w:tc>
          <w:tcPr>
            <w:tcW w:w="984"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5</w:t>
            </w:r>
          </w:p>
        </w:tc>
        <w:tc>
          <w:tcPr>
            <w:tcW w:w="984"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26</w:t>
            </w:r>
          </w:p>
        </w:tc>
      </w:tr>
      <w:tr w:rsidR="00CC18AA" w:rsidRPr="001D5C06" w:rsidTr="00CC18AA">
        <w:trPr>
          <w:trHeight w:val="300"/>
        </w:trPr>
        <w:tc>
          <w:tcPr>
            <w:tcW w:w="1214" w:type="pct"/>
            <w:shd w:val="clear" w:color="auto" w:fill="auto"/>
            <w:noWrap/>
            <w:hideMark/>
          </w:tcPr>
          <w:p w:rsidR="00C46513" w:rsidRPr="00CC18AA" w:rsidRDefault="00C46513" w:rsidP="00CC18AA">
            <w:pPr>
              <w:spacing w:before="60" w:after="60"/>
              <w:rPr>
                <w:rFonts w:cs="Arial"/>
                <w:bCs/>
                <w:color w:val="000000"/>
                <w:szCs w:val="20"/>
                <w:lang w:val="en-US" w:eastAsia="en-AU"/>
              </w:rPr>
            </w:pPr>
            <w:r w:rsidRPr="00CC18AA">
              <w:rPr>
                <w:rFonts w:cs="Arial"/>
                <w:bCs/>
                <w:color w:val="000000"/>
                <w:szCs w:val="20"/>
                <w:lang w:val="en-US" w:eastAsia="en-AU"/>
              </w:rPr>
              <w:t>F.Corixidae</w:t>
            </w:r>
          </w:p>
        </w:tc>
        <w:tc>
          <w:tcPr>
            <w:tcW w:w="1081"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0.73</w:t>
            </w:r>
          </w:p>
        </w:tc>
        <w:tc>
          <w:tcPr>
            <w:tcW w:w="738" w:type="pct"/>
            <w:shd w:val="clear" w:color="auto" w:fill="auto"/>
            <w:noWrap/>
            <w:hideMark/>
          </w:tcPr>
          <w:p w:rsidR="00C46513" w:rsidRPr="00CC18AA" w:rsidRDefault="00C46513" w:rsidP="00CC18AA">
            <w:pPr>
              <w:spacing w:before="60" w:after="60"/>
              <w:jc w:val="center"/>
              <w:rPr>
                <w:rFonts w:cs="Arial"/>
                <w:b/>
                <w:bCs/>
                <w:color w:val="000000"/>
                <w:szCs w:val="20"/>
                <w:lang w:val="en-US" w:eastAsia="en-AU"/>
              </w:rPr>
            </w:pPr>
            <w:r w:rsidRPr="00CC18AA">
              <w:rPr>
                <w:rFonts w:cs="Arial"/>
                <w:b/>
                <w:bCs/>
                <w:color w:val="000000"/>
                <w:szCs w:val="20"/>
                <w:lang w:val="en-US" w:eastAsia="en-AU"/>
              </w:rPr>
              <w:t>0.74</w:t>
            </w:r>
          </w:p>
        </w:tc>
        <w:tc>
          <w:tcPr>
            <w:tcW w:w="984"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5</w:t>
            </w:r>
          </w:p>
        </w:tc>
        <w:tc>
          <w:tcPr>
            <w:tcW w:w="984" w:type="pct"/>
            <w:shd w:val="clear" w:color="auto" w:fill="auto"/>
            <w:noWrap/>
            <w:hideMark/>
          </w:tcPr>
          <w:p w:rsidR="00C46513" w:rsidRPr="00CC18AA" w:rsidRDefault="00C46513" w:rsidP="00CC18AA">
            <w:pPr>
              <w:spacing w:before="60" w:after="60"/>
              <w:jc w:val="center"/>
              <w:rPr>
                <w:rFonts w:cs="Arial"/>
                <w:color w:val="000000"/>
                <w:szCs w:val="20"/>
                <w:lang w:val="en-US" w:eastAsia="en-AU"/>
              </w:rPr>
            </w:pPr>
            <w:r w:rsidRPr="00CC18AA">
              <w:rPr>
                <w:rFonts w:cs="Arial"/>
                <w:color w:val="000000"/>
                <w:szCs w:val="20"/>
                <w:lang w:val="en-US" w:eastAsia="en-AU"/>
              </w:rPr>
              <w:t>31</w:t>
            </w:r>
          </w:p>
        </w:tc>
      </w:tr>
    </w:tbl>
    <w:p w:rsidR="008E2ACC" w:rsidRDefault="008E2ACC" w:rsidP="008E2ACC"/>
    <w:p w:rsidR="00C46513" w:rsidRDefault="00C46513" w:rsidP="00401294">
      <w:pPr>
        <w:pStyle w:val="Heading7"/>
      </w:pPr>
      <w:r>
        <w:t>Discussion</w:t>
      </w:r>
    </w:p>
    <w:p w:rsidR="00C46513" w:rsidRDefault="00C46513" w:rsidP="009F3BFA">
      <w:r>
        <w:t>The macroinvertebrate sampling successful</w:t>
      </w:r>
      <w:r w:rsidR="00C861D1">
        <w:t>ly</w:t>
      </w:r>
      <w:r>
        <w:t xml:space="preserve"> captured the inundation and contraction cycle of </w:t>
      </w:r>
      <w:r w:rsidR="00C861D1">
        <w:t xml:space="preserve">environmental watering </w:t>
      </w:r>
      <w:r>
        <w:t xml:space="preserve">actions in the Selected Area. </w:t>
      </w:r>
      <w:r w:rsidR="008E049F">
        <w:t xml:space="preserve"> </w:t>
      </w:r>
      <w:r>
        <w:t>During late September, the Selected Area experienced low and stable flow condition</w:t>
      </w:r>
      <w:r w:rsidR="008E2ACC">
        <w:t>s</w:t>
      </w:r>
      <w:r>
        <w:t xml:space="preserve"> after local r</w:t>
      </w:r>
      <w:r w:rsidR="00C861D1">
        <w:t xml:space="preserve">ainfall events in late August. </w:t>
      </w:r>
      <w:r w:rsidR="008E049F">
        <w:t xml:space="preserve"> </w:t>
      </w:r>
      <w:r w:rsidR="00C861D1">
        <w:t xml:space="preserve">This was considered the </w:t>
      </w:r>
      <w:r w:rsidR="00417CDE">
        <w:t>‘p</w:t>
      </w:r>
      <w:r>
        <w:t>re’ phase prior to environmental watering actions.</w:t>
      </w:r>
      <w:r w:rsidR="008E049F">
        <w:t xml:space="preserve"> </w:t>
      </w:r>
      <w:r>
        <w:t xml:space="preserve"> Early February sampling captured the ‘wet’ phase of the Selected Area from multiple environmental watering actions. </w:t>
      </w:r>
      <w:r w:rsidR="008E049F">
        <w:t xml:space="preserve"> </w:t>
      </w:r>
      <w:r>
        <w:t>Mid-March sampling was in the contraction cycle of residual environmental water when some of the river channel</w:t>
      </w:r>
      <w:r w:rsidR="00D227F8">
        <w:t>s</w:t>
      </w:r>
      <w:r>
        <w:t xml:space="preserve"> contracted into disconnected pools. </w:t>
      </w:r>
      <w:r w:rsidR="008E049F">
        <w:t xml:space="preserve"> </w:t>
      </w:r>
      <w:r>
        <w:t xml:space="preserve">Late April sampling was designed to capture the </w:t>
      </w:r>
      <w:r w:rsidR="00D227F8">
        <w:t>low</w:t>
      </w:r>
      <w:r>
        <w:t xml:space="preserve"> flow condition, when the Mehi River and Moomin Creek contracted to disconnected pools and </w:t>
      </w:r>
      <w:r w:rsidR="00417CDE">
        <w:t xml:space="preserve">where sites in the lower Gwydir </w:t>
      </w:r>
      <w:r w:rsidR="008E2ACC">
        <w:t>River</w:t>
      </w:r>
      <w:r w:rsidR="00417CDE">
        <w:t xml:space="preserve"> and the </w:t>
      </w:r>
      <w:r w:rsidR="008E2ACC">
        <w:t xml:space="preserve">water couch site in the </w:t>
      </w:r>
      <w:r w:rsidR="00417CDE">
        <w:t xml:space="preserve">Gingham </w:t>
      </w:r>
      <w:r w:rsidR="00D227F8">
        <w:t>watercourse</w:t>
      </w:r>
      <w:r w:rsidR="008E2ACC">
        <w:t xml:space="preserve"> </w:t>
      </w:r>
      <w:r w:rsidR="00417CDE">
        <w:t>were</w:t>
      </w:r>
      <w:r>
        <w:t xml:space="preserve"> dr</w:t>
      </w:r>
      <w:r w:rsidR="00417CDE">
        <w:t>y</w:t>
      </w:r>
      <w:r>
        <w:t>.</w:t>
      </w:r>
      <w:r w:rsidR="008E049F">
        <w:t xml:space="preserve"> </w:t>
      </w:r>
      <w:r>
        <w:t xml:space="preserve"> </w:t>
      </w:r>
      <w:r w:rsidR="00417CDE">
        <w:t xml:space="preserve">Sites in the Gwydir River </w:t>
      </w:r>
      <w:r w:rsidR="00D227F8">
        <w:t xml:space="preserve">channels </w:t>
      </w:r>
      <w:r w:rsidR="00417CDE">
        <w:t xml:space="preserve">were </w:t>
      </w:r>
      <w:r w:rsidR="008E2ACC">
        <w:t xml:space="preserve">inundated </w:t>
      </w:r>
      <w:r w:rsidR="00417CDE">
        <w:t xml:space="preserve">by a </w:t>
      </w:r>
      <w:r>
        <w:t xml:space="preserve">small environmental water release </w:t>
      </w:r>
      <w:r w:rsidR="00D227F8">
        <w:t>that</w:t>
      </w:r>
      <w:r w:rsidR="00417CDE">
        <w:t xml:space="preserve"> </w:t>
      </w:r>
      <w:r>
        <w:t>occurred during the late April sampling period</w:t>
      </w:r>
      <w:r w:rsidR="00417CDE">
        <w:t>.</w:t>
      </w:r>
    </w:p>
    <w:p w:rsidR="00C46513" w:rsidRDefault="00C46513" w:rsidP="009F3BFA">
      <w:r>
        <w:t xml:space="preserve">It was likely that the </w:t>
      </w:r>
      <w:r w:rsidR="00417CDE">
        <w:t>environmental water</w:t>
      </w:r>
      <w:r>
        <w:t xml:space="preserve"> inundation and contraction cycle provided an opportunity for macroinvertebrate</w:t>
      </w:r>
      <w:r w:rsidR="00417CDE">
        <w:t>s</w:t>
      </w:r>
      <w:r>
        <w:t xml:space="preserve"> to take advantage of </w:t>
      </w:r>
      <w:r w:rsidR="00417CDE">
        <w:t>increases</w:t>
      </w:r>
      <w:r>
        <w:t xml:space="preserve"> </w:t>
      </w:r>
      <w:r w:rsidR="00417CDE">
        <w:t>in</w:t>
      </w:r>
      <w:r>
        <w:t xml:space="preserve"> primary productivity that result</w:t>
      </w:r>
      <w:r w:rsidR="00417CDE">
        <w:t>ed</w:t>
      </w:r>
      <w:r>
        <w:t xml:space="preserve"> from inundation before declining water </w:t>
      </w:r>
      <w:r w:rsidR="008E2ACC">
        <w:t xml:space="preserve">levels and associated water </w:t>
      </w:r>
      <w:r>
        <w:t>quality conditions affect</w:t>
      </w:r>
      <w:r w:rsidR="00417CDE">
        <w:t>ed</w:t>
      </w:r>
      <w:r>
        <w:t xml:space="preserve"> more sensitive macroinvertebrate families. </w:t>
      </w:r>
      <w:r w:rsidR="008E049F">
        <w:t xml:space="preserve"> </w:t>
      </w:r>
      <w:r>
        <w:t>Macroinvertebrate</w:t>
      </w:r>
      <w:r w:rsidR="00DC3305">
        <w:t>s</w:t>
      </w:r>
      <w:r>
        <w:t xml:space="preserve"> demonstrated a unidirectional shift in community composition </w:t>
      </w:r>
      <w:r w:rsidR="00417CDE">
        <w:t>through the phases of inundation and contraction</w:t>
      </w:r>
      <w:r>
        <w:t xml:space="preserve"> across all sites, reflecting community succession due to change</w:t>
      </w:r>
      <w:r w:rsidR="008E2ACC">
        <w:t>s</w:t>
      </w:r>
      <w:r>
        <w:t xml:space="preserve"> in local physical and chemical environmental conditions.</w:t>
      </w:r>
    </w:p>
    <w:p w:rsidR="00C46513" w:rsidRDefault="00C46513" w:rsidP="009F3BFA">
      <w:r>
        <w:t xml:space="preserve">There was no </w:t>
      </w:r>
      <w:r w:rsidR="008E2ACC">
        <w:t xml:space="preserve">statistically significant </w:t>
      </w:r>
      <w:r>
        <w:t>effect</w:t>
      </w:r>
      <w:r w:rsidR="008E2ACC">
        <w:t xml:space="preserve"> </w:t>
      </w:r>
      <w:r>
        <w:t>of environmental water on macroinvertebrate density, richness or diversity, but there was a significant effect on family level community composition.</w:t>
      </w:r>
      <w:r w:rsidR="008E049F">
        <w:t xml:space="preserve"> </w:t>
      </w:r>
      <w:r>
        <w:t xml:space="preserve">Macroinvertebrate density was substantially higher and community composition significantly different in the Gingham </w:t>
      </w:r>
      <w:r w:rsidR="001C3C04">
        <w:t>watercourse</w:t>
      </w:r>
      <w:r>
        <w:t xml:space="preserve"> and the Gwydir River as these zones were inundated for </w:t>
      </w:r>
      <w:r w:rsidR="005D17AB">
        <w:t xml:space="preserve">relatively </w:t>
      </w:r>
      <w:r>
        <w:t xml:space="preserve">prolonged periods compared with the contracting pools of the Mehi and Moomin systems. </w:t>
      </w:r>
      <w:r w:rsidR="008E049F">
        <w:t xml:space="preserve"> </w:t>
      </w:r>
      <w:r>
        <w:t xml:space="preserve">Within the areas receiving environmental water, there were consistent differences between the Gingham </w:t>
      </w:r>
      <w:r w:rsidR="001C3C04">
        <w:t>watercourse</w:t>
      </w:r>
      <w:r>
        <w:t xml:space="preserve"> and the Gwydir River throughout the study period. </w:t>
      </w:r>
      <w:r w:rsidR="008E049F">
        <w:t xml:space="preserve"> </w:t>
      </w:r>
      <w:r>
        <w:t>This reinforces the pattern</w:t>
      </w:r>
      <w:r w:rsidR="00417CDE">
        <w:t xml:space="preserve">s observed during the </w:t>
      </w:r>
      <w:r>
        <w:t>2014-15 watering year</w:t>
      </w:r>
      <w:r w:rsidR="005B4D3D">
        <w:t xml:space="preserve">, </w:t>
      </w:r>
      <w:r w:rsidR="00417CDE">
        <w:t>suggest</w:t>
      </w:r>
      <w:r w:rsidR="005B4D3D">
        <w:t>ing</w:t>
      </w:r>
      <w:r w:rsidR="00417CDE">
        <w:t xml:space="preserve"> that </w:t>
      </w:r>
      <w:r w:rsidR="005B4D3D">
        <w:t xml:space="preserve">the </w:t>
      </w:r>
      <w:r>
        <w:t>promoti</w:t>
      </w:r>
      <w:r w:rsidR="005B4D3D">
        <w:t>on of</w:t>
      </w:r>
      <w:r>
        <w:t xml:space="preserve"> regional scale macroinvertebrate diversity requires</w:t>
      </w:r>
      <w:r w:rsidR="005B4D3D">
        <w:t xml:space="preserve"> the inundation of </w:t>
      </w:r>
      <w:r>
        <w:t>multi</w:t>
      </w:r>
      <w:r w:rsidR="00417CDE">
        <w:t>ple river and watercourse areas</w:t>
      </w:r>
      <w:r>
        <w:t xml:space="preserve">. </w:t>
      </w:r>
    </w:p>
    <w:p w:rsidR="00C46513" w:rsidRDefault="00C46513" w:rsidP="00401294">
      <w:pPr>
        <w:pStyle w:val="Heading7"/>
      </w:pPr>
      <w:r>
        <w:t>Conclusion</w:t>
      </w:r>
    </w:p>
    <w:p w:rsidR="00C46513" w:rsidRDefault="00C46513" w:rsidP="00C46513">
      <w:r>
        <w:t xml:space="preserve">During 2015-16, environmental water throughout the Gwydir River and Gingham </w:t>
      </w:r>
      <w:r w:rsidR="001C3C04">
        <w:t>watercourse</w:t>
      </w:r>
      <w:r>
        <w:t xml:space="preserve"> increased secondary production measured as macroinvertebrate density. </w:t>
      </w:r>
      <w:r w:rsidR="008E049F">
        <w:t xml:space="preserve"> </w:t>
      </w:r>
      <w:r w:rsidR="005D17AB">
        <w:t>Connectivity provided by environmental water in early January provided</w:t>
      </w:r>
      <w:r>
        <w:t xml:space="preserve"> an opportunity for macroinvertebrate</w:t>
      </w:r>
      <w:r w:rsidR="00DC3305">
        <w:t>s</w:t>
      </w:r>
      <w:r>
        <w:t xml:space="preserve"> to take advantage of </w:t>
      </w:r>
      <w:r w:rsidR="005D17AB">
        <w:t xml:space="preserve">increases in </w:t>
      </w:r>
      <w:r>
        <w:t>primary producti</w:t>
      </w:r>
      <w:r w:rsidR="005D17AB">
        <w:t>on</w:t>
      </w:r>
      <w:r>
        <w:t xml:space="preserve"> that result</w:t>
      </w:r>
      <w:r w:rsidR="005D17AB">
        <w:t>ed</w:t>
      </w:r>
      <w:r>
        <w:t xml:space="preserve"> from inundation before declining water </w:t>
      </w:r>
      <w:r w:rsidR="00655A6E">
        <w:t xml:space="preserve">levels and associated water </w:t>
      </w:r>
      <w:r>
        <w:t xml:space="preserve">quality conditions </w:t>
      </w:r>
      <w:r w:rsidR="00655A6E">
        <w:t xml:space="preserve">became </w:t>
      </w:r>
      <w:r>
        <w:t xml:space="preserve">uninhabitable for </w:t>
      </w:r>
      <w:r w:rsidR="00655A6E">
        <w:t>some</w:t>
      </w:r>
      <w:r>
        <w:t xml:space="preserve"> sensitive macroinvertebrate families. </w:t>
      </w:r>
      <w:r w:rsidR="008E049F">
        <w:t xml:space="preserve"> </w:t>
      </w:r>
      <w:r>
        <w:t>The significant difference in macroinvertebrate community composition in different sampling occa</w:t>
      </w:r>
      <w:r w:rsidR="00185253">
        <w:t>sions indicates the benefits of</w:t>
      </w:r>
      <w:r>
        <w:t xml:space="preserve"> delivery of environmental water in maintaining regional level diversity.</w:t>
      </w:r>
    </w:p>
    <w:p w:rsidR="00C46513" w:rsidRDefault="00C46513" w:rsidP="00401294">
      <w:pPr>
        <w:pStyle w:val="Heading7"/>
      </w:pPr>
      <w:r>
        <w:t>References</w:t>
      </w:r>
    </w:p>
    <w:p w:rsidR="00C46513" w:rsidRDefault="00C46513" w:rsidP="00C46513">
      <w:r>
        <w:t>Cl</w:t>
      </w:r>
      <w:r w:rsidR="004F68E6">
        <w:t xml:space="preserve">arke, D. R. </w:t>
      </w:r>
      <w:r w:rsidR="009F0217">
        <w:t>&amp;</w:t>
      </w:r>
      <w:r w:rsidR="004F68E6">
        <w:t xml:space="preserve"> Warwick, R. M. 2001.</w:t>
      </w:r>
      <w:r>
        <w:t xml:space="preserve"> </w:t>
      </w:r>
      <w:r w:rsidRPr="004F68E6">
        <w:rPr>
          <w:i/>
        </w:rPr>
        <w:t>Changes in marine communities: an approach to statistical analysis and interpretation</w:t>
      </w:r>
      <w:r>
        <w:t xml:space="preserve">. Natural Environmental Research Council, Plymouth, UK. </w:t>
      </w:r>
    </w:p>
    <w:p w:rsidR="004F68E6" w:rsidRDefault="004F68E6" w:rsidP="004F68E6">
      <w:r>
        <w:t xml:space="preserve">Commonwealth of Australia. 2015. </w:t>
      </w:r>
      <w:r w:rsidRPr="008A7199">
        <w:rPr>
          <w:i/>
        </w:rPr>
        <w:t>Commonwealth Environmental Water Office Long Term intervention Monitoring Project Gwydir River System Selected Area – 2014-15 Evaluation Report</w:t>
      </w:r>
      <w:r>
        <w:t>. Commonwealth of Australia.</w:t>
      </w:r>
    </w:p>
    <w:p w:rsidR="00C46513" w:rsidRPr="001B25AC" w:rsidRDefault="00C46513" w:rsidP="00C46513">
      <w:r>
        <w:t>Hale</w:t>
      </w:r>
      <w:r w:rsidR="004F68E6">
        <w:t>,</w:t>
      </w:r>
      <w:r>
        <w:t xml:space="preserve"> J</w:t>
      </w:r>
      <w:r w:rsidR="004F68E6">
        <w:t>.</w:t>
      </w:r>
      <w:r>
        <w:t>, Stoffels</w:t>
      </w:r>
      <w:r w:rsidR="004F68E6">
        <w:t>,</w:t>
      </w:r>
      <w:r>
        <w:t xml:space="preserve"> R</w:t>
      </w:r>
      <w:r w:rsidR="004F68E6">
        <w:t>.</w:t>
      </w:r>
      <w:r>
        <w:t>, Butcher</w:t>
      </w:r>
      <w:r w:rsidR="004F68E6">
        <w:t>,</w:t>
      </w:r>
      <w:r>
        <w:t xml:space="preserve"> R</w:t>
      </w:r>
      <w:r w:rsidR="004F68E6">
        <w:t>.</w:t>
      </w:r>
      <w:r>
        <w:t>, Shackleton</w:t>
      </w:r>
      <w:r w:rsidR="004F68E6">
        <w:t>,</w:t>
      </w:r>
      <w:r>
        <w:t xml:space="preserve"> M</w:t>
      </w:r>
      <w:r w:rsidR="004F68E6">
        <w:t>.</w:t>
      </w:r>
      <w:r>
        <w:t>, B</w:t>
      </w:r>
      <w:r w:rsidR="004F68E6">
        <w:t xml:space="preserve">rooks, S., Gawne, B., </w:t>
      </w:r>
      <w:r w:rsidR="009F0217">
        <w:t xml:space="preserve">&amp; </w:t>
      </w:r>
      <w:r w:rsidR="004F68E6">
        <w:t>Stewardson, M. 2014.</w:t>
      </w:r>
      <w:r>
        <w:t xml:space="preserve"> </w:t>
      </w:r>
      <w:r w:rsidRPr="004F68E6">
        <w:rPr>
          <w:i/>
        </w:rPr>
        <w:t>Commonwealth Environmental Water Office Long Term Intervention Monitoring Project – Standard Methods.</w:t>
      </w:r>
      <w:r>
        <w:t xml:space="preserve"> Final Report prepared for the Commonwealth Environmental Water Office by The Murray-Darling Freshwater Research Centre, MDFRC Publication 29.2/2014, January, 175 pp.</w:t>
      </w:r>
    </w:p>
    <w:p w:rsidR="004F68E6" w:rsidRPr="00C46513" w:rsidRDefault="004F68E6" w:rsidP="00C46513">
      <w:pPr>
        <w:rPr>
          <w:highlight w:val="yellow"/>
        </w:rPr>
        <w:sectPr w:rsidR="004F68E6" w:rsidRPr="00C46513" w:rsidSect="004F411E">
          <w:headerReference w:type="default" r:id="rId94"/>
          <w:type w:val="nextColumn"/>
          <w:pgSz w:w="11899" w:h="16838"/>
          <w:pgMar w:top="1508" w:right="1219" w:bottom="1457" w:left="1480" w:header="811" w:footer="306" w:gutter="0"/>
          <w:pgNumType w:start="1" w:chapStyle="6"/>
          <w:cols w:space="708"/>
          <w:docGrid w:linePitch="360"/>
        </w:sectPr>
      </w:pPr>
    </w:p>
    <w:p w:rsidR="00B35ECC" w:rsidRPr="005C11E6" w:rsidRDefault="00B35ECC" w:rsidP="005C11E6">
      <w:pPr>
        <w:pStyle w:val="Heading6"/>
      </w:pPr>
      <w:bookmarkStart w:id="71" w:name="_Ref426807500"/>
      <w:bookmarkStart w:id="72" w:name="_Toc426839264"/>
      <w:r w:rsidRPr="005C11E6">
        <w:t>Ecosystem Type</w:t>
      </w:r>
      <w:bookmarkEnd w:id="71"/>
      <w:bookmarkEnd w:id="72"/>
    </w:p>
    <w:p w:rsidR="00B35ECC" w:rsidRPr="00255BD8" w:rsidRDefault="00B35ECC" w:rsidP="006909A2">
      <w:pPr>
        <w:pStyle w:val="Heading7"/>
        <w:spacing w:before="240" w:after="240"/>
      </w:pPr>
      <w:bookmarkStart w:id="73" w:name="_Toc426839265"/>
      <w:r w:rsidRPr="00255BD8">
        <w:t>Introduction</w:t>
      </w:r>
      <w:bookmarkEnd w:id="73"/>
    </w:p>
    <w:p w:rsidR="00B35ECC" w:rsidRPr="004335CD" w:rsidRDefault="009F73FF" w:rsidP="00B35ECC">
      <w:r>
        <w:t>The Ecosystem T</w:t>
      </w:r>
      <w:r w:rsidR="00B35ECC" w:rsidRPr="004335CD">
        <w:t>ype indicator contributes to the broader scale evaluation of Commonwealth environmental waters</w:t>
      </w:r>
      <w:r w:rsidR="00B35ECC">
        <w:t>’</w:t>
      </w:r>
      <w:r w:rsidR="00B35ECC" w:rsidRPr="004335CD">
        <w:t xml:space="preserve"> influence on ecosystem diversity. </w:t>
      </w:r>
      <w:r w:rsidR="008E049F">
        <w:t xml:space="preserve"> </w:t>
      </w:r>
      <w:r w:rsidR="00B35ECC" w:rsidRPr="004335CD">
        <w:t xml:space="preserve">While primarily designed to inform at larger basin scales, information on the types of ecosystems influenced by Commonwealth environmental water is also useful at the Selected Area scale. </w:t>
      </w:r>
      <w:r w:rsidR="008E049F">
        <w:t xml:space="preserve"> </w:t>
      </w:r>
      <w:r w:rsidR="00B35ECC" w:rsidRPr="004335CD">
        <w:t xml:space="preserve">Several specific questions </w:t>
      </w:r>
      <w:r w:rsidR="00B35ECC">
        <w:t>were</w:t>
      </w:r>
      <w:r w:rsidR="00B35ECC" w:rsidRPr="004335CD">
        <w:t xml:space="preserve"> addressed by measuring ec</w:t>
      </w:r>
      <w:r>
        <w:t>osystem type within the Gwydir r</w:t>
      </w:r>
      <w:r w:rsidR="00B35ECC" w:rsidRPr="004335CD">
        <w:t xml:space="preserve">iver </w:t>
      </w:r>
      <w:r>
        <w:t xml:space="preserve">system </w:t>
      </w:r>
      <w:r w:rsidR="00B35ECC">
        <w:t xml:space="preserve">Selected Area </w:t>
      </w:r>
      <w:r w:rsidR="00B35ECC" w:rsidRPr="004335CD">
        <w:t>during the 201</w:t>
      </w:r>
      <w:r w:rsidR="00B35ECC">
        <w:t>5</w:t>
      </w:r>
      <w:r w:rsidR="00B35ECC" w:rsidRPr="004335CD">
        <w:t>-1</w:t>
      </w:r>
      <w:r w:rsidR="00B35ECC">
        <w:t>6</w:t>
      </w:r>
      <w:r w:rsidR="00B35ECC" w:rsidRPr="004335CD">
        <w:t xml:space="preserve"> water year:</w:t>
      </w:r>
    </w:p>
    <w:p w:rsidR="00B35ECC" w:rsidRPr="00164E48" w:rsidRDefault="00B35ECC" w:rsidP="005E1E2E">
      <w:pPr>
        <w:pStyle w:val="Bullets1"/>
        <w:numPr>
          <w:ilvl w:val="0"/>
          <w:numId w:val="10"/>
        </w:numPr>
        <w:ind w:left="1134" w:hanging="567"/>
      </w:pPr>
      <w:r w:rsidRPr="00164E48">
        <w:t>What did Commonwealth environmental water contribute to sustainable ecosystem diversity?</w:t>
      </w:r>
    </w:p>
    <w:p w:rsidR="00B35ECC" w:rsidRPr="00164E48" w:rsidRDefault="00B35ECC" w:rsidP="005E1E2E">
      <w:pPr>
        <w:pStyle w:val="Bullets1"/>
        <w:numPr>
          <w:ilvl w:val="0"/>
          <w:numId w:val="10"/>
        </w:numPr>
        <w:ind w:left="1134" w:hanging="567"/>
      </w:pPr>
      <w:r w:rsidRPr="00164E48">
        <w:t>Were ecosystems to which Commonwealth environmental water was allocated sustained?</w:t>
      </w:r>
    </w:p>
    <w:p w:rsidR="00D227F8" w:rsidRPr="00164E48" w:rsidRDefault="00B35ECC" w:rsidP="005E1E2E">
      <w:pPr>
        <w:pStyle w:val="Bullets1"/>
        <w:numPr>
          <w:ilvl w:val="0"/>
          <w:numId w:val="10"/>
        </w:numPr>
        <w:spacing w:after="240"/>
        <w:ind w:left="1134" w:hanging="567"/>
      </w:pPr>
      <w:r w:rsidRPr="00164E48">
        <w:t>Was Commonwealth environmental water delivered to a representative suite of ecosystem types?</w:t>
      </w:r>
    </w:p>
    <w:p w:rsidR="00D227F8" w:rsidRDefault="00D227F8" w:rsidP="00D227F8">
      <w:pPr>
        <w:pStyle w:val="Heading8"/>
      </w:pPr>
      <w:r>
        <w:t>Environmental watering in 2015-16</w:t>
      </w:r>
    </w:p>
    <w:p w:rsidR="00D227F8" w:rsidRDefault="00D227F8" w:rsidP="00D227F8">
      <w:r w:rsidRPr="004335CD">
        <w:t xml:space="preserve">During </w:t>
      </w:r>
      <w:r>
        <w:t>2015-16</w:t>
      </w:r>
      <w:r w:rsidRPr="004335CD">
        <w:t xml:space="preserve"> </w:t>
      </w:r>
      <w:r>
        <w:t xml:space="preserve">Commonwealth </w:t>
      </w:r>
      <w:r w:rsidRPr="004335CD">
        <w:t>environmental water was delivered to a number of assets within the Gwydir River system (</w:t>
      </w:r>
      <w:r>
        <w:fldChar w:fldCharType="begin"/>
      </w:r>
      <w:r>
        <w:instrText xml:space="preserve"> REF _Ref457987841 \r \h </w:instrText>
      </w:r>
      <w:r>
        <w:fldChar w:fldCharType="separate"/>
      </w:r>
      <w:r w:rsidR="005D5925">
        <w:t>Appendix A</w:t>
      </w:r>
      <w:r>
        <w:fldChar w:fldCharType="end"/>
      </w:r>
      <w:r w:rsidRPr="004335CD">
        <w:t xml:space="preserve">). </w:t>
      </w:r>
      <w:r w:rsidR="008E049F">
        <w:t xml:space="preserve"> </w:t>
      </w:r>
      <w:r>
        <w:t xml:space="preserve">In November 2015, a flow event occurred down the Mehi River and supplementary water licences owned by the CEWO were triggered. </w:t>
      </w:r>
      <w:r w:rsidR="008E049F">
        <w:t xml:space="preserve"> </w:t>
      </w:r>
      <w:r>
        <w:t>A total of 1,300 ML were accounted for with 964 ML of this water flowing down the Mehi River, and 336 ML directed down Mallowa Creek.</w:t>
      </w:r>
    </w:p>
    <w:p w:rsidR="00D227F8" w:rsidRDefault="00D227F8" w:rsidP="00D227F8">
      <w:r>
        <w:t xml:space="preserve">Through January 2016, flows were delivered into the Mallowa Creek system to inundate fringing wetlands in association with WaterNSW water bulk water deliveries. </w:t>
      </w:r>
      <w:r w:rsidR="008E049F">
        <w:t xml:space="preserve"> </w:t>
      </w:r>
      <w:r>
        <w:t xml:space="preserve">Flows were also delivered into the lower Gwydir River and Gingham watercourse in February 2016, to replace flows that were abstracted in a supplementary flow event. </w:t>
      </w:r>
      <w:r w:rsidR="008E049F">
        <w:t xml:space="preserve"> </w:t>
      </w:r>
      <w:r>
        <w:t>While not large in volume, these flows made it into the wetlands.</w:t>
      </w:r>
    </w:p>
    <w:p w:rsidR="00D227F8" w:rsidRDefault="00D227F8" w:rsidP="00D227F8">
      <w:r>
        <w:t xml:space="preserve">Due to critically low flows experienced in the lower Gwydir system in March and April 2016, water was delivered down the lower Gwydir, Gingham, Mehi and Carole channels as part of a dry river flow action in early April. </w:t>
      </w:r>
      <w:r w:rsidR="008E049F">
        <w:t xml:space="preserve"> </w:t>
      </w:r>
      <w:r>
        <w:t>This followed a period of 30-40 days of nil flows conditions across the catchment.</w:t>
      </w:r>
    </w:p>
    <w:p w:rsidR="00B35ECC" w:rsidRPr="00255BD8" w:rsidRDefault="00B35ECC" w:rsidP="00FB1AE6">
      <w:pPr>
        <w:pStyle w:val="Heading7"/>
      </w:pPr>
      <w:bookmarkStart w:id="74" w:name="_Toc426839266"/>
      <w:r w:rsidRPr="00255BD8">
        <w:t>Methods</w:t>
      </w:r>
      <w:bookmarkEnd w:id="74"/>
    </w:p>
    <w:p w:rsidR="005F23F1" w:rsidRDefault="00B35ECC" w:rsidP="005F23F1">
      <w:r w:rsidRPr="004335CD">
        <w:t>The ANAE classification for ea</w:t>
      </w:r>
      <w:r w:rsidR="009F73FF">
        <w:t>ch sampling site in the Gwydir r</w:t>
      </w:r>
      <w:r w:rsidRPr="004335CD">
        <w:t xml:space="preserve">iver </w:t>
      </w:r>
      <w:r w:rsidR="009F73FF">
        <w:t xml:space="preserve">system </w:t>
      </w:r>
      <w:r w:rsidRPr="004335CD">
        <w:t>Selected Area was mapped using a process of desk-top identification and field verification</w:t>
      </w:r>
      <w:r>
        <w:t xml:space="preserve"> (Commonwealth of Australia 2014)</w:t>
      </w:r>
      <w:r w:rsidRPr="004335CD">
        <w:t xml:space="preserve">. </w:t>
      </w:r>
      <w:r w:rsidR="008E049F">
        <w:t xml:space="preserve"> </w:t>
      </w:r>
      <w:r w:rsidRPr="004335CD">
        <w:t>Existing ANAE GIS layers (Brooks et al</w:t>
      </w:r>
      <w:r>
        <w:t>.</w:t>
      </w:r>
      <w:r w:rsidRPr="004335CD">
        <w:t xml:space="preserve"> 2013) were used to assign an ecosystem type to each monitoring site, and this was then verified in the field. </w:t>
      </w:r>
      <w:r w:rsidR="008E049F">
        <w:t xml:space="preserve"> </w:t>
      </w:r>
      <w:r w:rsidRPr="004335CD">
        <w:t xml:space="preserve">Sites where existing ANAE mapping did not provide coverage were assigned an ANAE classification using available desktop information and then verified in the field. </w:t>
      </w:r>
      <w:bookmarkStart w:id="75" w:name="_Toc426839267"/>
    </w:p>
    <w:p w:rsidR="00B35ECC" w:rsidRPr="00255BD8" w:rsidRDefault="00B35ECC" w:rsidP="006909A2">
      <w:pPr>
        <w:pStyle w:val="Heading7"/>
        <w:spacing w:before="240" w:after="240"/>
      </w:pPr>
      <w:r w:rsidRPr="00255BD8">
        <w:t>Results</w:t>
      </w:r>
      <w:bookmarkEnd w:id="75"/>
    </w:p>
    <w:p w:rsidR="00B35ECC" w:rsidRDefault="00B35ECC" w:rsidP="00B35ECC">
      <w:r>
        <w:t>149</w:t>
      </w:r>
      <w:r w:rsidRPr="004335CD">
        <w:t xml:space="preserve"> survey sites </w:t>
      </w:r>
      <w:r>
        <w:t>were</w:t>
      </w:r>
      <w:r w:rsidR="009F73FF">
        <w:t xml:space="preserve"> sampled as part of the Gwydir r</w:t>
      </w:r>
      <w:r w:rsidRPr="004335CD">
        <w:t xml:space="preserve">iver </w:t>
      </w:r>
      <w:r w:rsidR="009F73FF">
        <w:t xml:space="preserve">system </w:t>
      </w:r>
      <w:r w:rsidRPr="004335CD">
        <w:t>Selected Area LTIM project</w:t>
      </w:r>
      <w:r>
        <w:t xml:space="preserve"> in the 2015-16 water year. </w:t>
      </w:r>
      <w:r w:rsidR="008E049F">
        <w:t xml:space="preserve"> </w:t>
      </w:r>
      <w:r>
        <w:t>These fe</w:t>
      </w:r>
      <w:r w:rsidRPr="004335CD">
        <w:t>ll into 10 ANAE</w:t>
      </w:r>
      <w:r>
        <w:t xml:space="preserve"> ecosystem types, including five</w:t>
      </w:r>
      <w:r w:rsidRPr="004335CD">
        <w:t xml:space="preserve"> Riverine types, three Floodplain types and two </w:t>
      </w:r>
      <w:proofErr w:type="gramStart"/>
      <w:r w:rsidRPr="004335CD">
        <w:t>Lacustrine</w:t>
      </w:r>
      <w:proofErr w:type="gramEnd"/>
      <w:r w:rsidRPr="004335CD">
        <w:t xml:space="preserve"> types.</w:t>
      </w:r>
      <w:r w:rsidR="008E049F">
        <w:t xml:space="preserve"> </w:t>
      </w:r>
      <w:r w:rsidRPr="004335CD">
        <w:t xml:space="preserve"> The Rp1.4: The Permanent lowland streams type </w:t>
      </w:r>
      <w:r>
        <w:t>was</w:t>
      </w:r>
      <w:r w:rsidRPr="004335CD">
        <w:t xml:space="preserve"> represented by the most sites, with </w:t>
      </w:r>
      <w:r>
        <w:t>59</w:t>
      </w:r>
      <w:r w:rsidRPr="004335CD">
        <w:t xml:space="preserve"> sites </w:t>
      </w:r>
      <w:r>
        <w:t>classified as</w:t>
      </w:r>
      <w:r w:rsidRPr="004335CD">
        <w:t xml:space="preserve"> this ecosystem type (</w:t>
      </w:r>
      <w:r w:rsidRPr="0067223A">
        <w:fldChar w:fldCharType="begin"/>
      </w:r>
      <w:r w:rsidRPr="0067223A">
        <w:instrText xml:space="preserve"> REF _Ref427311704 \h  \* MERGEFORMAT </w:instrText>
      </w:r>
      <w:r w:rsidRPr="0067223A">
        <w:fldChar w:fldCharType="separate"/>
      </w:r>
      <w:r w:rsidR="005D5925">
        <w:t xml:space="preserve">Table </w:t>
      </w:r>
      <w:r w:rsidR="005D5925">
        <w:rPr>
          <w:noProof/>
        </w:rPr>
        <w:t>F</w:t>
      </w:r>
      <w:r w:rsidR="005D5925">
        <w:rPr>
          <w:noProof/>
        </w:rPr>
        <w:noBreakHyphen/>
        <w:t>1</w:t>
      </w:r>
      <w:r w:rsidRPr="0067223A">
        <w:fldChar w:fldCharType="end"/>
      </w:r>
      <w:r w:rsidRPr="004335CD">
        <w:t xml:space="preserve">). </w:t>
      </w:r>
      <w:r w:rsidR="008E049F">
        <w:t xml:space="preserve"> </w:t>
      </w:r>
      <w:r>
        <w:t>Thirty-four</w:t>
      </w:r>
      <w:r w:rsidRPr="004335CD">
        <w:t xml:space="preserve"> sites </w:t>
      </w:r>
      <w:r>
        <w:t>were classified as</w:t>
      </w:r>
      <w:r w:rsidRPr="004335CD">
        <w:t xml:space="preserve"> the F3.2: Sedge/forb/grassland floodplain type, while 1</w:t>
      </w:r>
      <w:r>
        <w:t>8</w:t>
      </w:r>
      <w:r w:rsidRPr="004335CD">
        <w:t xml:space="preserve"> sites </w:t>
      </w:r>
      <w:r>
        <w:t>were classified as</w:t>
      </w:r>
      <w:r w:rsidRPr="004335CD">
        <w:t xml:space="preserve"> the Rt1.4: Temporary lowland stream ecosystem type</w:t>
      </w:r>
      <w:r>
        <w:t xml:space="preserve"> and 14 sites were classified as the F1.11: River cooba woodland floodplain ecosystem type</w:t>
      </w:r>
      <w:r w:rsidRPr="004335CD">
        <w:t xml:space="preserve"> (</w:t>
      </w:r>
      <w:r>
        <w:fldChar w:fldCharType="begin"/>
      </w:r>
      <w:r>
        <w:instrText xml:space="preserve"> REF _Ref427311704 \h </w:instrText>
      </w:r>
      <w:r>
        <w:fldChar w:fldCharType="separate"/>
      </w:r>
      <w:r w:rsidR="005D5925">
        <w:t xml:space="preserve">Table </w:t>
      </w:r>
      <w:r w:rsidR="005D5925">
        <w:rPr>
          <w:noProof/>
        </w:rPr>
        <w:t>F</w:t>
      </w:r>
      <w:r w:rsidR="005D5925">
        <w:noBreakHyphen/>
      </w:r>
      <w:r w:rsidR="005D5925">
        <w:rPr>
          <w:noProof/>
        </w:rPr>
        <w:t>1</w:t>
      </w:r>
      <w:r>
        <w:fldChar w:fldCharType="end"/>
      </w:r>
      <w:r w:rsidRPr="004335CD">
        <w:t xml:space="preserve">). </w:t>
      </w:r>
      <w:r w:rsidR="008E049F">
        <w:t xml:space="preserve"> </w:t>
      </w:r>
      <w:r w:rsidRPr="004335CD">
        <w:t xml:space="preserve">All other types are represented by </w:t>
      </w:r>
      <w:r>
        <w:t>10</w:t>
      </w:r>
      <w:r w:rsidRPr="004335CD">
        <w:t xml:space="preserve"> sites</w:t>
      </w:r>
      <w:r w:rsidR="009F73FF">
        <w:t xml:space="preserve"> or fewer</w:t>
      </w:r>
      <w:r>
        <w:t>.</w:t>
      </w:r>
      <w:r w:rsidRPr="004335CD">
        <w:t xml:space="preserve"> </w:t>
      </w:r>
    </w:p>
    <w:p w:rsidR="00B35ECC" w:rsidRDefault="00D227F8" w:rsidP="00B35ECC">
      <w:r>
        <w:t xml:space="preserve">53 </w:t>
      </w:r>
      <w:r w:rsidR="00B35ECC">
        <w:t>survey sites were new for the 2015-16 water year (</w:t>
      </w:r>
      <w:r w:rsidR="00B35ECC">
        <w:rPr>
          <w:highlight w:val="yellow"/>
        </w:rPr>
        <w:fldChar w:fldCharType="begin"/>
      </w:r>
      <w:r w:rsidR="00B35ECC">
        <w:instrText xml:space="preserve"> REF _Ref454452653 \h </w:instrText>
      </w:r>
      <w:r w:rsidR="00B35ECC">
        <w:rPr>
          <w:highlight w:val="yellow"/>
        </w:rPr>
        <w:instrText xml:space="preserve"> \* MERGEFORMAT </w:instrText>
      </w:r>
      <w:r w:rsidR="00B35ECC">
        <w:rPr>
          <w:highlight w:val="yellow"/>
        </w:rPr>
      </w:r>
      <w:r w:rsidR="00B35ECC">
        <w:rPr>
          <w:highlight w:val="yellow"/>
        </w:rPr>
        <w:fldChar w:fldCharType="separate"/>
      </w:r>
      <w:r w:rsidR="005D5925">
        <w:t xml:space="preserve">Figure </w:t>
      </w:r>
      <w:r w:rsidR="005D5925">
        <w:rPr>
          <w:noProof/>
        </w:rPr>
        <w:t>F</w:t>
      </w:r>
      <w:r w:rsidR="005D5925">
        <w:rPr>
          <w:noProof/>
        </w:rPr>
        <w:noBreakHyphen/>
        <w:t>1</w:t>
      </w:r>
      <w:r w:rsidR="00B35ECC">
        <w:rPr>
          <w:highlight w:val="yellow"/>
        </w:rPr>
        <w:fldChar w:fldCharType="end"/>
      </w:r>
      <w:r w:rsidR="00B35ECC">
        <w:t xml:space="preserve">). </w:t>
      </w:r>
      <w:r w:rsidR="008E049F">
        <w:t xml:space="preserve"> </w:t>
      </w:r>
      <w:r w:rsidR="00B35ECC">
        <w:t>Generally, these sites are used for Fish (</w:t>
      </w:r>
      <w:r w:rsidR="009F73FF">
        <w:t>Movement) and V</w:t>
      </w:r>
      <w:r w:rsidR="00B35ECC">
        <w:t>egetation indicators in the Mallowa Wetlands, hence the majority of new sites are represented by Rp1.4: Permanent lowland streams and F1.11: River cooba woodland floodplain ecosystem types (</w:t>
      </w:r>
      <w:r w:rsidR="00B35ECC">
        <w:fldChar w:fldCharType="begin"/>
      </w:r>
      <w:r w:rsidR="00B35ECC">
        <w:instrText xml:space="preserve"> REF _Ref454531558 \h </w:instrText>
      </w:r>
      <w:r w:rsidR="00B35ECC">
        <w:fldChar w:fldCharType="separate"/>
      </w:r>
      <w:r w:rsidR="005D5925">
        <w:t xml:space="preserve">Table </w:t>
      </w:r>
      <w:r w:rsidR="005D5925">
        <w:rPr>
          <w:noProof/>
        </w:rPr>
        <w:t>F</w:t>
      </w:r>
      <w:r w:rsidR="005D5925">
        <w:noBreakHyphen/>
      </w:r>
      <w:r w:rsidR="005D5925">
        <w:rPr>
          <w:noProof/>
        </w:rPr>
        <w:t>2</w:t>
      </w:r>
      <w:r w:rsidR="00B35ECC">
        <w:fldChar w:fldCharType="end"/>
      </w:r>
      <w:r w:rsidR="00B35ECC">
        <w:t>).</w:t>
      </w:r>
    </w:p>
    <w:p w:rsidR="00B35ECC" w:rsidRDefault="00B35ECC" w:rsidP="00B35ECC">
      <w:r w:rsidRPr="004335CD">
        <w:t>Within the Selected Area, most sites (</w:t>
      </w:r>
      <w:r>
        <w:t>45</w:t>
      </w:r>
      <w:r w:rsidRPr="004335CD">
        <w:t xml:space="preserve">%) are situated in the </w:t>
      </w:r>
      <w:r w:rsidR="001C3C04">
        <w:t>lower</w:t>
      </w:r>
      <w:r w:rsidR="009F73FF">
        <w:t xml:space="preserve"> </w:t>
      </w:r>
      <w:r w:rsidRPr="004335CD">
        <w:t>Gwydir</w:t>
      </w:r>
      <w:r w:rsidR="009F73FF">
        <w:t xml:space="preserve"> River and </w:t>
      </w:r>
      <w:r w:rsidRPr="004335CD">
        <w:t xml:space="preserve">Gingham </w:t>
      </w:r>
      <w:r w:rsidR="001C3C04">
        <w:t>watercourse</w:t>
      </w:r>
      <w:r w:rsidRPr="004335CD">
        <w:t xml:space="preserve"> zone</w:t>
      </w:r>
      <w:r w:rsidR="008E049F">
        <w:t xml:space="preserve"> (</w:t>
      </w:r>
      <w:r w:rsidR="008E049F">
        <w:fldChar w:fldCharType="begin"/>
      </w:r>
      <w:r w:rsidR="008E049F">
        <w:instrText xml:space="preserve"> REF _Ref423090076 \h </w:instrText>
      </w:r>
      <w:r w:rsidR="008E049F">
        <w:fldChar w:fldCharType="separate"/>
      </w:r>
      <w:r w:rsidR="005D5925" w:rsidRPr="004335CD">
        <w:t xml:space="preserve">Figure </w:t>
      </w:r>
      <w:r w:rsidR="005D5925">
        <w:rPr>
          <w:noProof/>
        </w:rPr>
        <w:t>F</w:t>
      </w:r>
      <w:r w:rsidR="005D5925">
        <w:noBreakHyphen/>
      </w:r>
      <w:r w:rsidR="005D5925">
        <w:rPr>
          <w:noProof/>
        </w:rPr>
        <w:t>2</w:t>
      </w:r>
      <w:r w:rsidR="008E049F">
        <w:fldChar w:fldCharType="end"/>
      </w:r>
      <w:r w:rsidR="008E049F">
        <w:t>)</w:t>
      </w:r>
      <w:r w:rsidRPr="004335CD">
        <w:t xml:space="preserve">. </w:t>
      </w:r>
      <w:r w:rsidR="008E049F">
        <w:t xml:space="preserve"> </w:t>
      </w:r>
      <w:r w:rsidRPr="004335CD">
        <w:t>Th</w:t>
      </w:r>
      <w:r>
        <w:t>is zone contains</w:t>
      </w:r>
      <w:r w:rsidRPr="004335CD">
        <w:t xml:space="preserve"> </w:t>
      </w:r>
      <w:r>
        <w:t>all</w:t>
      </w:r>
      <w:r w:rsidRPr="004335CD">
        <w:t xml:space="preserve"> </w:t>
      </w:r>
      <w:r>
        <w:t>ANAE E</w:t>
      </w:r>
      <w:r w:rsidRPr="004335CD">
        <w:t xml:space="preserve">cosystem types present within the Selected Area, </w:t>
      </w:r>
      <w:r>
        <w:t xml:space="preserve">except Rp1.3: Permanent high energy upland streams. </w:t>
      </w:r>
      <w:r w:rsidR="008E049F">
        <w:t xml:space="preserve"> </w:t>
      </w:r>
      <w:r>
        <w:t>The F1.10: Coolibah woodland and forest</w:t>
      </w:r>
      <w:r w:rsidRPr="004335CD">
        <w:t xml:space="preserve"> floodplain</w:t>
      </w:r>
      <w:r>
        <w:t xml:space="preserve"> and Rt1.3: Temporary low energy upland streams types are only found within the </w:t>
      </w:r>
      <w:r w:rsidR="001C3C04">
        <w:t>lower</w:t>
      </w:r>
      <w:r w:rsidR="00892217">
        <w:t xml:space="preserve"> </w:t>
      </w:r>
      <w:r w:rsidR="00892217" w:rsidRPr="004335CD">
        <w:t>Gwydir</w:t>
      </w:r>
      <w:r w:rsidR="00892217">
        <w:t xml:space="preserve"> River and </w:t>
      </w:r>
      <w:r w:rsidR="00892217" w:rsidRPr="004335CD">
        <w:t xml:space="preserve">Gingham </w:t>
      </w:r>
      <w:r w:rsidR="001C3C04">
        <w:t>watercourse</w:t>
      </w:r>
      <w:r w:rsidR="00D227F8">
        <w:t xml:space="preserve"> zone</w:t>
      </w:r>
      <w:r>
        <w:t xml:space="preserve">. </w:t>
      </w:r>
      <w:r w:rsidR="008E049F">
        <w:t xml:space="preserve"> </w:t>
      </w:r>
      <w:r>
        <w:t>There are 24 sites within the Mehi</w:t>
      </w:r>
      <w:r w:rsidR="00892217">
        <w:t xml:space="preserve"> River and </w:t>
      </w:r>
      <w:r>
        <w:t>Moo</w:t>
      </w:r>
      <w:r w:rsidR="00892217">
        <w:t>m</w:t>
      </w:r>
      <w:r>
        <w:t xml:space="preserve">in </w:t>
      </w:r>
      <w:r w:rsidR="00892217">
        <w:t xml:space="preserve">Creek </w:t>
      </w:r>
      <w:r>
        <w:t xml:space="preserve">zone, and these were classified as Rp1.4: Permanent lowland streams, </w:t>
      </w:r>
      <w:r w:rsidRPr="004335CD">
        <w:t>Rt1.4: Temporary</w:t>
      </w:r>
      <w:r>
        <w:t xml:space="preserve"> lowland streams, and Lt2.2: </w:t>
      </w:r>
      <w:r w:rsidRPr="005B7163">
        <w:rPr>
          <w:rFonts w:cs="Arial"/>
          <w:color w:val="000000"/>
          <w:szCs w:val="20"/>
          <w:lang w:eastAsia="en-AU"/>
        </w:rPr>
        <w:t>Temporary floodplain lake with aquatic beds</w:t>
      </w:r>
      <w:r>
        <w:rPr>
          <w:rFonts w:cs="Arial"/>
          <w:color w:val="000000"/>
          <w:szCs w:val="20"/>
          <w:lang w:eastAsia="en-AU"/>
        </w:rPr>
        <w:t xml:space="preserve"> ecosystem types.</w:t>
      </w:r>
      <w:r w:rsidR="008E049F">
        <w:rPr>
          <w:rFonts w:cs="Arial"/>
          <w:color w:val="000000"/>
          <w:szCs w:val="20"/>
          <w:lang w:eastAsia="en-AU"/>
        </w:rPr>
        <w:t xml:space="preserve"> </w:t>
      </w:r>
      <w:r>
        <w:rPr>
          <w:rFonts w:cs="Arial"/>
          <w:color w:val="000000"/>
          <w:szCs w:val="20"/>
          <w:lang w:eastAsia="en-AU"/>
        </w:rPr>
        <w:t xml:space="preserve"> </w:t>
      </w:r>
      <w:r>
        <w:t xml:space="preserve">Sites within the Gwydir River zone are located within </w:t>
      </w:r>
      <w:r w:rsidRPr="004335CD">
        <w:t>Rp1.4: Permanent lowland streams</w:t>
      </w:r>
      <w:r>
        <w:t>,</w:t>
      </w:r>
      <w:r w:rsidRPr="004335CD">
        <w:t xml:space="preserve"> Rt1.4: Temporary lowland streams</w:t>
      </w:r>
      <w:r>
        <w:t>, Rp1.3: Permanent high energy upland streams and Rt1.3 Temporary low energy upland streams</w:t>
      </w:r>
      <w:r w:rsidRPr="004335CD">
        <w:t xml:space="preserve"> ecosystem types</w:t>
      </w:r>
      <w:r>
        <w:t xml:space="preserve">. </w:t>
      </w:r>
      <w:r w:rsidR="008E049F">
        <w:t xml:space="preserve"> </w:t>
      </w:r>
      <w:r>
        <w:t xml:space="preserve">Monitoring of </w:t>
      </w:r>
      <w:r w:rsidR="00892217">
        <w:t>Waterbird and V</w:t>
      </w:r>
      <w:r>
        <w:t xml:space="preserve">egetation </w:t>
      </w:r>
      <w:r w:rsidR="00892217">
        <w:t xml:space="preserve">indicators </w:t>
      </w:r>
      <w:r>
        <w:t xml:space="preserve">within Mallowa </w:t>
      </w:r>
      <w:r w:rsidR="008E064B">
        <w:t>Creek</w:t>
      </w:r>
      <w:r>
        <w:t xml:space="preserve"> commenced in the 2015-16 water year. </w:t>
      </w:r>
      <w:r w:rsidR="008E049F">
        <w:t xml:space="preserve"> </w:t>
      </w:r>
      <w:r>
        <w:t>Sites within this zone are located across three ecosystem types including F1.11: River cooba woodland floodplain, F3.2: Sedge/forb/grassland floodplain and Rt1.4: Temporary lowland streams (</w:t>
      </w:r>
      <w:r>
        <w:fldChar w:fldCharType="begin"/>
      </w:r>
      <w:r>
        <w:instrText xml:space="preserve"> REF _Ref423090076 \h </w:instrText>
      </w:r>
      <w:r>
        <w:fldChar w:fldCharType="separate"/>
      </w:r>
      <w:r w:rsidR="005D5925" w:rsidRPr="004335CD">
        <w:t xml:space="preserve">Figure </w:t>
      </w:r>
      <w:r w:rsidR="005D5925">
        <w:rPr>
          <w:noProof/>
        </w:rPr>
        <w:t>F</w:t>
      </w:r>
      <w:r w:rsidR="005D5925">
        <w:noBreakHyphen/>
      </w:r>
      <w:r w:rsidR="005D5925">
        <w:rPr>
          <w:noProof/>
        </w:rPr>
        <w:t>2</w:t>
      </w:r>
      <w:r>
        <w:fldChar w:fldCharType="end"/>
      </w:r>
      <w:r>
        <w:t>).</w:t>
      </w:r>
    </w:p>
    <w:p w:rsidR="00B35ECC" w:rsidRDefault="00B35ECC" w:rsidP="00B35ECC">
      <w:r>
        <w:t>Within the Selected Area, a total of 122 sites, accounting for 82% of all sites were inundated during the 2015-16 water year (</w:t>
      </w:r>
      <w:r>
        <w:fldChar w:fldCharType="begin"/>
      </w:r>
      <w:r>
        <w:instrText xml:space="preserve"> REF _Ref454452537 \h </w:instrText>
      </w:r>
      <w:r>
        <w:fldChar w:fldCharType="separate"/>
      </w:r>
      <w:r w:rsidR="005D5925">
        <w:t xml:space="preserve">Figure </w:t>
      </w:r>
      <w:r w:rsidR="005D5925">
        <w:rPr>
          <w:noProof/>
        </w:rPr>
        <w:t>F</w:t>
      </w:r>
      <w:r w:rsidR="005D5925">
        <w:noBreakHyphen/>
      </w:r>
      <w:r w:rsidR="005D5925">
        <w:rPr>
          <w:noProof/>
        </w:rPr>
        <w:t>3</w:t>
      </w:r>
      <w:r>
        <w:fldChar w:fldCharType="end"/>
      </w:r>
      <w:r w:rsidR="008E049F">
        <w:t xml:space="preserve"> and </w:t>
      </w:r>
      <w:r w:rsidR="008E049F">
        <w:fldChar w:fldCharType="begin"/>
      </w:r>
      <w:r w:rsidR="008E049F">
        <w:instrText xml:space="preserve"> REF _Ref459889110 \h </w:instrText>
      </w:r>
      <w:r w:rsidR="008E049F">
        <w:fldChar w:fldCharType="separate"/>
      </w:r>
      <w:r w:rsidR="005D5925">
        <w:t xml:space="preserve">Figure </w:t>
      </w:r>
      <w:r w:rsidR="005D5925">
        <w:rPr>
          <w:noProof/>
        </w:rPr>
        <w:t>F</w:t>
      </w:r>
      <w:r w:rsidR="005D5925">
        <w:noBreakHyphen/>
      </w:r>
      <w:r w:rsidR="005D5925">
        <w:rPr>
          <w:noProof/>
        </w:rPr>
        <w:t>4</w:t>
      </w:r>
      <w:r w:rsidR="008E049F">
        <w:fldChar w:fldCharType="end"/>
      </w:r>
      <w:r>
        <w:t xml:space="preserve">). </w:t>
      </w:r>
      <w:r w:rsidR="008E049F">
        <w:t xml:space="preserve"> </w:t>
      </w:r>
      <w:r>
        <w:t xml:space="preserve">All ecosystem types except F1.11: River cooba woodland floodplain and Lt2.2: Temporary </w:t>
      </w:r>
      <w:proofErr w:type="gramStart"/>
      <w:r>
        <w:t>floodplain lake</w:t>
      </w:r>
      <w:proofErr w:type="gramEnd"/>
      <w:r>
        <w:t xml:space="preserve"> were inundated.</w:t>
      </w:r>
    </w:p>
    <w:p w:rsidR="008E064B" w:rsidRDefault="00B35ECC" w:rsidP="008E064B">
      <w:pPr>
        <w:spacing w:after="0"/>
      </w:pPr>
      <w:r>
        <w:t>Environmental flows contributed to inundation at ninety sites across all zones (</w:t>
      </w:r>
      <w:r>
        <w:fldChar w:fldCharType="begin"/>
      </w:r>
      <w:r>
        <w:instrText xml:space="preserve"> REF _Ref454452537 \h </w:instrText>
      </w:r>
      <w:r>
        <w:fldChar w:fldCharType="separate"/>
      </w:r>
      <w:r w:rsidR="005D5925">
        <w:t xml:space="preserve">Figure </w:t>
      </w:r>
      <w:r w:rsidR="005D5925">
        <w:rPr>
          <w:noProof/>
        </w:rPr>
        <w:t>F</w:t>
      </w:r>
      <w:r w:rsidR="005D5925">
        <w:noBreakHyphen/>
      </w:r>
      <w:r w:rsidR="005D5925">
        <w:rPr>
          <w:noProof/>
        </w:rPr>
        <w:t>3</w:t>
      </w:r>
      <w:r>
        <w:fldChar w:fldCharType="end"/>
      </w:r>
      <w:r>
        <w:t xml:space="preserve">). </w:t>
      </w:r>
      <w:r w:rsidR="008E049F">
        <w:t xml:space="preserve"> </w:t>
      </w:r>
      <w:r>
        <w:t>All ecosystem types were inundated by environmental flows, except F1.11: River cooba woodland floodplain and Lt2.2: Temporary floodplain lake</w:t>
      </w:r>
      <w:r w:rsidR="008E049F">
        <w:t xml:space="preserve"> (</w:t>
      </w:r>
      <w:r w:rsidR="008E049F">
        <w:fldChar w:fldCharType="begin"/>
      </w:r>
      <w:r w:rsidR="008E049F">
        <w:instrText xml:space="preserve"> REF _Ref459889134 \h </w:instrText>
      </w:r>
      <w:r w:rsidR="008E049F">
        <w:fldChar w:fldCharType="separate"/>
      </w:r>
      <w:r w:rsidR="005D5925">
        <w:t xml:space="preserve">Figure </w:t>
      </w:r>
      <w:r w:rsidR="005D5925">
        <w:rPr>
          <w:noProof/>
        </w:rPr>
        <w:t>F</w:t>
      </w:r>
      <w:r w:rsidR="005D5925">
        <w:noBreakHyphen/>
      </w:r>
      <w:r w:rsidR="005D5925">
        <w:rPr>
          <w:noProof/>
        </w:rPr>
        <w:t>5</w:t>
      </w:r>
      <w:r w:rsidR="008E049F">
        <w:fldChar w:fldCharType="end"/>
      </w:r>
      <w:r w:rsidR="008E049F">
        <w:t>)</w:t>
      </w:r>
      <w:r>
        <w:t xml:space="preserve">.  </w:t>
      </w:r>
    </w:p>
    <w:p w:rsidR="00B35ECC" w:rsidRPr="007A0923" w:rsidRDefault="00B35ECC" w:rsidP="007A0923">
      <w:pPr>
        <w:pStyle w:val="Caption"/>
      </w:pPr>
      <w:bookmarkStart w:id="76" w:name="_Ref427311704"/>
      <w:r>
        <w:t xml:space="preserve">Table </w:t>
      </w:r>
      <w:fldSimple w:instr=" STYLEREF 6 \s ">
        <w:r w:rsidR="005D5925">
          <w:rPr>
            <w:noProof/>
          </w:rPr>
          <w:t>F</w:t>
        </w:r>
      </w:fldSimple>
      <w:r w:rsidR="005D4453">
        <w:noBreakHyphen/>
      </w:r>
      <w:fldSimple w:instr=" SEQ Table \* ARABIC \s 6 ">
        <w:r w:rsidR="005D5925">
          <w:rPr>
            <w:noProof/>
          </w:rPr>
          <w:t>1</w:t>
        </w:r>
      </w:fldSimple>
      <w:bookmarkEnd w:id="76"/>
      <w:r>
        <w:t xml:space="preserve">:  </w:t>
      </w:r>
      <w:r w:rsidRPr="00842458">
        <w:t xml:space="preserve">ANAE Ecosystem </w:t>
      </w:r>
      <w:r>
        <w:t>type</w:t>
      </w:r>
      <w:r w:rsidRPr="00842458">
        <w:t xml:space="preserve">s covered by monitoring sites in the Gwydir </w:t>
      </w:r>
      <w:r w:rsidR="00892217">
        <w:t>r</w:t>
      </w:r>
      <w:r w:rsidRPr="00842458">
        <w:t>iver</w:t>
      </w:r>
      <w:r w:rsidR="00892217">
        <w:t xml:space="preserve"> system</w:t>
      </w:r>
      <w:r w:rsidRPr="00842458">
        <w:t xml:space="preserve"> Selected Area LTIM project.</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822"/>
        <w:gridCol w:w="2617"/>
        <w:gridCol w:w="1761"/>
      </w:tblGrid>
      <w:tr w:rsidR="00B35ECC" w:rsidRPr="00164E48" w:rsidTr="00CC18AA">
        <w:trPr>
          <w:trHeight w:val="300"/>
        </w:trPr>
        <w:tc>
          <w:tcPr>
            <w:tcW w:w="2692" w:type="pct"/>
            <w:shd w:val="clear" w:color="auto" w:fill="D9D9D9"/>
            <w:noWrap/>
            <w:vAlign w:val="bottom"/>
            <w:hideMark/>
          </w:tcPr>
          <w:p w:rsidR="00B35ECC" w:rsidRPr="00164E48" w:rsidRDefault="00B35ECC" w:rsidP="00164E48">
            <w:pPr>
              <w:spacing w:before="60" w:after="60"/>
              <w:jc w:val="center"/>
              <w:rPr>
                <w:rFonts w:cs="Arial"/>
                <w:color w:val="000000"/>
                <w:szCs w:val="20"/>
                <w:lang w:eastAsia="en-AU"/>
              </w:rPr>
            </w:pPr>
            <w:r w:rsidRPr="00164E48">
              <w:rPr>
                <w:rFonts w:cs="Arial"/>
                <w:color w:val="000000"/>
                <w:szCs w:val="20"/>
                <w:lang w:eastAsia="en-AU"/>
              </w:rPr>
              <w:t>ANAE Typology</w:t>
            </w:r>
          </w:p>
        </w:tc>
        <w:tc>
          <w:tcPr>
            <w:tcW w:w="1280" w:type="pct"/>
            <w:shd w:val="clear" w:color="auto" w:fill="D9D9D9"/>
            <w:noWrap/>
            <w:vAlign w:val="bottom"/>
            <w:hideMark/>
          </w:tcPr>
          <w:p w:rsidR="00B35ECC" w:rsidRPr="00164E48" w:rsidRDefault="00B35ECC" w:rsidP="00164E48">
            <w:pPr>
              <w:spacing w:before="60" w:after="60"/>
              <w:jc w:val="center"/>
              <w:rPr>
                <w:rFonts w:cs="Arial"/>
                <w:color w:val="000000"/>
                <w:szCs w:val="20"/>
                <w:lang w:eastAsia="en-AU"/>
              </w:rPr>
            </w:pPr>
            <w:r w:rsidRPr="00164E48">
              <w:rPr>
                <w:rFonts w:cs="Arial"/>
                <w:color w:val="000000"/>
                <w:szCs w:val="20"/>
                <w:lang w:eastAsia="en-AU"/>
              </w:rPr>
              <w:t xml:space="preserve">Number of sites (All </w:t>
            </w:r>
            <w:r w:rsidR="00F00C5A" w:rsidRPr="00164E48">
              <w:rPr>
                <w:rFonts w:cs="Arial"/>
                <w:color w:val="000000"/>
                <w:szCs w:val="20"/>
                <w:lang w:eastAsia="en-AU"/>
              </w:rPr>
              <w:t>zone</w:t>
            </w:r>
            <w:r w:rsidRPr="00164E48">
              <w:rPr>
                <w:rFonts w:cs="Arial"/>
                <w:color w:val="000000"/>
                <w:szCs w:val="20"/>
                <w:lang w:eastAsia="en-AU"/>
              </w:rPr>
              <w:t>s)</w:t>
            </w:r>
          </w:p>
        </w:tc>
        <w:tc>
          <w:tcPr>
            <w:tcW w:w="1029" w:type="pct"/>
            <w:shd w:val="clear" w:color="auto" w:fill="D9D9D9"/>
            <w:noWrap/>
            <w:vAlign w:val="bottom"/>
            <w:hideMark/>
          </w:tcPr>
          <w:p w:rsidR="00B35ECC" w:rsidRPr="00164E48" w:rsidRDefault="00B35ECC" w:rsidP="00164E48">
            <w:pPr>
              <w:spacing w:before="60" w:after="60"/>
              <w:jc w:val="center"/>
              <w:rPr>
                <w:rFonts w:cs="Arial"/>
                <w:color w:val="000000"/>
                <w:szCs w:val="20"/>
                <w:lang w:eastAsia="en-AU"/>
              </w:rPr>
            </w:pPr>
            <w:r w:rsidRPr="00164E48">
              <w:rPr>
                <w:rFonts w:cs="Arial"/>
                <w:color w:val="000000"/>
                <w:szCs w:val="20"/>
                <w:lang w:eastAsia="en-AU"/>
              </w:rPr>
              <w:t>% of all sites</w:t>
            </w:r>
          </w:p>
        </w:tc>
      </w:tr>
      <w:tr w:rsidR="00B35ECC" w:rsidRPr="00164E48" w:rsidTr="00B35ECC">
        <w:trPr>
          <w:trHeight w:val="300"/>
        </w:trPr>
        <w:tc>
          <w:tcPr>
            <w:tcW w:w="2692" w:type="pct"/>
            <w:shd w:val="clear" w:color="auto" w:fill="auto"/>
            <w:noWrap/>
            <w:vAlign w:val="bottom"/>
            <w:hideMark/>
          </w:tcPr>
          <w:p w:rsidR="00B35ECC" w:rsidRPr="00164E48" w:rsidRDefault="00B35ECC" w:rsidP="00164E48">
            <w:pPr>
              <w:spacing w:before="60" w:after="60"/>
              <w:jc w:val="left"/>
              <w:rPr>
                <w:rFonts w:cs="Arial"/>
                <w:color w:val="000000"/>
                <w:szCs w:val="20"/>
                <w:lang w:eastAsia="en-AU"/>
              </w:rPr>
            </w:pPr>
            <w:r w:rsidRPr="00164E48">
              <w:rPr>
                <w:rFonts w:cs="Arial"/>
                <w:color w:val="000000"/>
                <w:szCs w:val="20"/>
                <w:lang w:eastAsia="en-AU"/>
              </w:rPr>
              <w:t>F1.10: Coolibah woodland and forest floodplain</w:t>
            </w:r>
          </w:p>
        </w:tc>
        <w:tc>
          <w:tcPr>
            <w:tcW w:w="1280" w:type="pct"/>
            <w:shd w:val="clear" w:color="auto" w:fill="auto"/>
            <w:noWrap/>
            <w:vAlign w:val="bottom"/>
            <w:hideMark/>
          </w:tcPr>
          <w:p w:rsidR="00B35ECC" w:rsidRPr="00164E48" w:rsidRDefault="00B35ECC" w:rsidP="00164E48">
            <w:pPr>
              <w:spacing w:before="60" w:after="60"/>
              <w:jc w:val="center"/>
              <w:rPr>
                <w:rFonts w:cs="Arial"/>
                <w:color w:val="000000"/>
                <w:szCs w:val="20"/>
                <w:lang w:eastAsia="en-AU"/>
              </w:rPr>
            </w:pPr>
            <w:r w:rsidRPr="00164E48">
              <w:rPr>
                <w:rFonts w:cs="Arial"/>
                <w:color w:val="000000"/>
                <w:szCs w:val="20"/>
                <w:lang w:eastAsia="en-AU"/>
              </w:rPr>
              <w:t>5</w:t>
            </w:r>
          </w:p>
        </w:tc>
        <w:tc>
          <w:tcPr>
            <w:tcW w:w="1029" w:type="pct"/>
            <w:shd w:val="clear" w:color="auto" w:fill="auto"/>
            <w:noWrap/>
            <w:vAlign w:val="bottom"/>
            <w:hideMark/>
          </w:tcPr>
          <w:p w:rsidR="00B35ECC" w:rsidRPr="00164E48" w:rsidRDefault="00B35ECC" w:rsidP="00164E48">
            <w:pPr>
              <w:spacing w:before="60" w:after="60"/>
              <w:jc w:val="center"/>
              <w:rPr>
                <w:rFonts w:cs="Arial"/>
                <w:color w:val="000000"/>
                <w:szCs w:val="20"/>
                <w:lang w:eastAsia="en-AU"/>
              </w:rPr>
            </w:pPr>
            <w:r w:rsidRPr="00164E48">
              <w:rPr>
                <w:rFonts w:cs="Arial"/>
                <w:color w:val="000000"/>
                <w:szCs w:val="20"/>
                <w:lang w:eastAsia="en-AU"/>
              </w:rPr>
              <w:t>3.4</w:t>
            </w:r>
          </w:p>
        </w:tc>
      </w:tr>
      <w:tr w:rsidR="00B35ECC" w:rsidRPr="00164E48" w:rsidTr="00B35ECC">
        <w:trPr>
          <w:trHeight w:val="300"/>
        </w:trPr>
        <w:tc>
          <w:tcPr>
            <w:tcW w:w="2692" w:type="pct"/>
            <w:shd w:val="clear" w:color="auto" w:fill="auto"/>
            <w:noWrap/>
            <w:vAlign w:val="bottom"/>
            <w:hideMark/>
          </w:tcPr>
          <w:p w:rsidR="00B35ECC" w:rsidRPr="00164E48" w:rsidRDefault="00B35ECC" w:rsidP="00164E48">
            <w:pPr>
              <w:spacing w:before="60" w:after="60"/>
              <w:jc w:val="left"/>
              <w:rPr>
                <w:rFonts w:cs="Arial"/>
                <w:color w:val="000000"/>
                <w:szCs w:val="20"/>
                <w:lang w:eastAsia="en-AU"/>
              </w:rPr>
            </w:pPr>
            <w:r w:rsidRPr="00164E48">
              <w:rPr>
                <w:rFonts w:cs="Arial"/>
                <w:color w:val="000000"/>
                <w:szCs w:val="20"/>
                <w:lang w:eastAsia="en-AU"/>
              </w:rPr>
              <w:t>F1.11: River cooba woodland floodplain</w:t>
            </w:r>
          </w:p>
        </w:tc>
        <w:tc>
          <w:tcPr>
            <w:tcW w:w="1280" w:type="pct"/>
            <w:shd w:val="clear" w:color="auto" w:fill="auto"/>
            <w:noWrap/>
            <w:vAlign w:val="bottom"/>
            <w:hideMark/>
          </w:tcPr>
          <w:p w:rsidR="00B35ECC" w:rsidRPr="00164E48" w:rsidRDefault="00B35ECC" w:rsidP="00164E48">
            <w:pPr>
              <w:spacing w:before="60" w:after="60"/>
              <w:jc w:val="center"/>
              <w:rPr>
                <w:rFonts w:cs="Arial"/>
                <w:color w:val="000000"/>
                <w:szCs w:val="20"/>
                <w:lang w:eastAsia="en-AU"/>
              </w:rPr>
            </w:pPr>
            <w:r w:rsidRPr="00164E48">
              <w:rPr>
                <w:rFonts w:cs="Arial"/>
                <w:color w:val="000000"/>
                <w:szCs w:val="20"/>
                <w:lang w:eastAsia="en-AU"/>
              </w:rPr>
              <w:t>14</w:t>
            </w:r>
          </w:p>
        </w:tc>
        <w:tc>
          <w:tcPr>
            <w:tcW w:w="1029" w:type="pct"/>
            <w:shd w:val="clear" w:color="auto" w:fill="auto"/>
            <w:noWrap/>
            <w:vAlign w:val="bottom"/>
            <w:hideMark/>
          </w:tcPr>
          <w:p w:rsidR="00B35ECC" w:rsidRPr="00164E48" w:rsidRDefault="00B35ECC" w:rsidP="00164E48">
            <w:pPr>
              <w:spacing w:before="60" w:after="60"/>
              <w:jc w:val="center"/>
              <w:rPr>
                <w:rFonts w:cs="Arial"/>
                <w:color w:val="000000"/>
                <w:szCs w:val="20"/>
                <w:lang w:eastAsia="en-AU"/>
              </w:rPr>
            </w:pPr>
            <w:r w:rsidRPr="00164E48">
              <w:rPr>
                <w:rFonts w:cs="Arial"/>
                <w:color w:val="000000"/>
                <w:szCs w:val="20"/>
                <w:lang w:eastAsia="en-AU"/>
              </w:rPr>
              <w:t>9.4</w:t>
            </w:r>
          </w:p>
        </w:tc>
      </w:tr>
      <w:tr w:rsidR="00B35ECC" w:rsidRPr="00164E48" w:rsidTr="00B35ECC">
        <w:trPr>
          <w:trHeight w:val="300"/>
        </w:trPr>
        <w:tc>
          <w:tcPr>
            <w:tcW w:w="2692" w:type="pct"/>
            <w:shd w:val="clear" w:color="auto" w:fill="auto"/>
            <w:noWrap/>
            <w:vAlign w:val="bottom"/>
            <w:hideMark/>
          </w:tcPr>
          <w:p w:rsidR="00B35ECC" w:rsidRPr="00164E48" w:rsidRDefault="00B35ECC" w:rsidP="00164E48">
            <w:pPr>
              <w:spacing w:before="60" w:after="60"/>
              <w:jc w:val="left"/>
              <w:rPr>
                <w:rFonts w:cs="Arial"/>
                <w:color w:val="000000"/>
                <w:szCs w:val="20"/>
                <w:lang w:eastAsia="en-AU"/>
              </w:rPr>
            </w:pPr>
            <w:r w:rsidRPr="00164E48">
              <w:rPr>
                <w:rFonts w:cs="Arial"/>
                <w:color w:val="000000"/>
                <w:szCs w:val="20"/>
                <w:lang w:eastAsia="en-AU"/>
              </w:rPr>
              <w:t>F3.2: Sedge/forb/grassland floodplain</w:t>
            </w:r>
          </w:p>
        </w:tc>
        <w:tc>
          <w:tcPr>
            <w:tcW w:w="1280" w:type="pct"/>
            <w:shd w:val="clear" w:color="auto" w:fill="auto"/>
            <w:noWrap/>
            <w:vAlign w:val="bottom"/>
            <w:hideMark/>
          </w:tcPr>
          <w:p w:rsidR="00B35ECC" w:rsidRPr="00164E48" w:rsidRDefault="00B35ECC" w:rsidP="00164E48">
            <w:pPr>
              <w:spacing w:before="60" w:after="60"/>
              <w:jc w:val="center"/>
              <w:rPr>
                <w:rFonts w:cs="Arial"/>
                <w:color w:val="000000"/>
                <w:szCs w:val="20"/>
                <w:lang w:eastAsia="en-AU"/>
              </w:rPr>
            </w:pPr>
            <w:r w:rsidRPr="00164E48">
              <w:rPr>
                <w:rFonts w:cs="Arial"/>
                <w:color w:val="000000"/>
                <w:szCs w:val="20"/>
                <w:lang w:eastAsia="en-AU"/>
              </w:rPr>
              <w:t>34</w:t>
            </w:r>
          </w:p>
        </w:tc>
        <w:tc>
          <w:tcPr>
            <w:tcW w:w="1029" w:type="pct"/>
            <w:shd w:val="clear" w:color="auto" w:fill="auto"/>
            <w:noWrap/>
            <w:vAlign w:val="bottom"/>
            <w:hideMark/>
          </w:tcPr>
          <w:p w:rsidR="00B35ECC" w:rsidRPr="00164E48" w:rsidRDefault="00B35ECC" w:rsidP="00164E48">
            <w:pPr>
              <w:spacing w:before="60" w:after="60"/>
              <w:jc w:val="center"/>
              <w:rPr>
                <w:rFonts w:cs="Arial"/>
                <w:color w:val="000000"/>
                <w:szCs w:val="20"/>
                <w:lang w:eastAsia="en-AU"/>
              </w:rPr>
            </w:pPr>
            <w:r w:rsidRPr="00164E48">
              <w:rPr>
                <w:rFonts w:cs="Arial"/>
                <w:color w:val="000000"/>
                <w:szCs w:val="20"/>
                <w:lang w:eastAsia="en-AU"/>
              </w:rPr>
              <w:t>22.8</w:t>
            </w:r>
          </w:p>
        </w:tc>
      </w:tr>
      <w:tr w:rsidR="00B35ECC" w:rsidRPr="00164E48" w:rsidTr="00B35ECC">
        <w:trPr>
          <w:trHeight w:val="300"/>
        </w:trPr>
        <w:tc>
          <w:tcPr>
            <w:tcW w:w="2692" w:type="pct"/>
            <w:shd w:val="clear" w:color="auto" w:fill="auto"/>
            <w:noWrap/>
            <w:vAlign w:val="bottom"/>
            <w:hideMark/>
          </w:tcPr>
          <w:p w:rsidR="00B35ECC" w:rsidRPr="00164E48" w:rsidRDefault="00B35ECC" w:rsidP="00164E48">
            <w:pPr>
              <w:spacing w:before="60" w:after="60"/>
              <w:jc w:val="left"/>
              <w:rPr>
                <w:rFonts w:cs="Arial"/>
                <w:color w:val="000000"/>
                <w:szCs w:val="20"/>
                <w:lang w:eastAsia="en-AU"/>
              </w:rPr>
            </w:pPr>
            <w:r w:rsidRPr="00164E48">
              <w:rPr>
                <w:rFonts w:cs="Arial"/>
                <w:color w:val="000000"/>
                <w:szCs w:val="20"/>
                <w:lang w:eastAsia="en-AU"/>
              </w:rPr>
              <w:t>Lp2.1: Temporary floodplain lake</w:t>
            </w:r>
          </w:p>
        </w:tc>
        <w:tc>
          <w:tcPr>
            <w:tcW w:w="1280" w:type="pct"/>
            <w:shd w:val="clear" w:color="auto" w:fill="auto"/>
            <w:noWrap/>
            <w:vAlign w:val="bottom"/>
            <w:hideMark/>
          </w:tcPr>
          <w:p w:rsidR="00B35ECC" w:rsidRPr="00164E48" w:rsidRDefault="00B35ECC" w:rsidP="00164E48">
            <w:pPr>
              <w:spacing w:before="60" w:after="60"/>
              <w:jc w:val="center"/>
              <w:rPr>
                <w:rFonts w:cs="Arial"/>
                <w:color w:val="000000"/>
                <w:szCs w:val="20"/>
                <w:lang w:eastAsia="en-AU"/>
              </w:rPr>
            </w:pPr>
            <w:r w:rsidRPr="00164E48">
              <w:rPr>
                <w:rFonts w:cs="Arial"/>
                <w:color w:val="000000"/>
                <w:szCs w:val="20"/>
                <w:lang w:eastAsia="en-AU"/>
              </w:rPr>
              <w:t>2</w:t>
            </w:r>
          </w:p>
        </w:tc>
        <w:tc>
          <w:tcPr>
            <w:tcW w:w="1029" w:type="pct"/>
            <w:shd w:val="clear" w:color="auto" w:fill="auto"/>
            <w:noWrap/>
            <w:vAlign w:val="bottom"/>
            <w:hideMark/>
          </w:tcPr>
          <w:p w:rsidR="00B35ECC" w:rsidRPr="00164E48" w:rsidRDefault="00B35ECC" w:rsidP="00164E48">
            <w:pPr>
              <w:spacing w:before="60" w:after="60"/>
              <w:jc w:val="center"/>
              <w:rPr>
                <w:rFonts w:cs="Arial"/>
                <w:color w:val="000000"/>
                <w:szCs w:val="20"/>
                <w:lang w:eastAsia="en-AU"/>
              </w:rPr>
            </w:pPr>
            <w:r w:rsidRPr="00164E48">
              <w:rPr>
                <w:rFonts w:cs="Arial"/>
                <w:color w:val="000000"/>
                <w:szCs w:val="20"/>
                <w:lang w:eastAsia="en-AU"/>
              </w:rPr>
              <w:t>1.3</w:t>
            </w:r>
          </w:p>
        </w:tc>
      </w:tr>
      <w:tr w:rsidR="00B35ECC" w:rsidRPr="00164E48" w:rsidTr="00B35ECC">
        <w:trPr>
          <w:trHeight w:val="300"/>
        </w:trPr>
        <w:tc>
          <w:tcPr>
            <w:tcW w:w="2692" w:type="pct"/>
            <w:shd w:val="clear" w:color="auto" w:fill="auto"/>
            <w:noWrap/>
            <w:vAlign w:val="bottom"/>
            <w:hideMark/>
          </w:tcPr>
          <w:p w:rsidR="00B35ECC" w:rsidRPr="00164E48" w:rsidRDefault="00B35ECC" w:rsidP="00164E48">
            <w:pPr>
              <w:spacing w:before="60" w:after="60"/>
              <w:jc w:val="left"/>
              <w:rPr>
                <w:rFonts w:cs="Arial"/>
                <w:color w:val="000000"/>
                <w:szCs w:val="20"/>
                <w:lang w:eastAsia="en-AU"/>
              </w:rPr>
            </w:pPr>
            <w:r w:rsidRPr="00164E48">
              <w:rPr>
                <w:rFonts w:cs="Arial"/>
                <w:color w:val="000000"/>
                <w:szCs w:val="20"/>
                <w:lang w:eastAsia="en-AU"/>
              </w:rPr>
              <w:t>Lt2.2: Temporary floodplain lake with aquatic beds</w:t>
            </w:r>
          </w:p>
        </w:tc>
        <w:tc>
          <w:tcPr>
            <w:tcW w:w="1280" w:type="pct"/>
            <w:shd w:val="clear" w:color="auto" w:fill="auto"/>
            <w:noWrap/>
            <w:vAlign w:val="bottom"/>
            <w:hideMark/>
          </w:tcPr>
          <w:p w:rsidR="00B35ECC" w:rsidRPr="00164E48" w:rsidRDefault="00B35ECC" w:rsidP="00164E48">
            <w:pPr>
              <w:spacing w:before="60" w:after="60"/>
              <w:jc w:val="center"/>
              <w:rPr>
                <w:rFonts w:cs="Arial"/>
                <w:color w:val="000000"/>
                <w:szCs w:val="20"/>
                <w:lang w:eastAsia="en-AU"/>
              </w:rPr>
            </w:pPr>
            <w:r w:rsidRPr="00164E48">
              <w:rPr>
                <w:rFonts w:cs="Arial"/>
                <w:color w:val="000000"/>
                <w:szCs w:val="20"/>
                <w:lang w:eastAsia="en-AU"/>
              </w:rPr>
              <w:t>9</w:t>
            </w:r>
          </w:p>
        </w:tc>
        <w:tc>
          <w:tcPr>
            <w:tcW w:w="1029" w:type="pct"/>
            <w:shd w:val="clear" w:color="auto" w:fill="auto"/>
            <w:noWrap/>
            <w:vAlign w:val="bottom"/>
            <w:hideMark/>
          </w:tcPr>
          <w:p w:rsidR="00B35ECC" w:rsidRPr="00164E48" w:rsidRDefault="00B35ECC" w:rsidP="00164E48">
            <w:pPr>
              <w:spacing w:before="60" w:after="60"/>
              <w:jc w:val="center"/>
              <w:rPr>
                <w:rFonts w:cs="Arial"/>
                <w:color w:val="000000"/>
                <w:szCs w:val="20"/>
                <w:lang w:eastAsia="en-AU"/>
              </w:rPr>
            </w:pPr>
            <w:r w:rsidRPr="00164E48">
              <w:rPr>
                <w:rFonts w:cs="Arial"/>
                <w:color w:val="000000"/>
                <w:szCs w:val="20"/>
                <w:lang w:eastAsia="en-AU"/>
              </w:rPr>
              <w:t>6.0</w:t>
            </w:r>
          </w:p>
        </w:tc>
      </w:tr>
      <w:tr w:rsidR="00B35ECC" w:rsidRPr="00164E48" w:rsidTr="00B35ECC">
        <w:trPr>
          <w:trHeight w:val="300"/>
        </w:trPr>
        <w:tc>
          <w:tcPr>
            <w:tcW w:w="2692" w:type="pct"/>
            <w:shd w:val="clear" w:color="auto" w:fill="auto"/>
            <w:noWrap/>
            <w:vAlign w:val="bottom"/>
            <w:hideMark/>
          </w:tcPr>
          <w:p w:rsidR="00B35ECC" w:rsidRPr="00164E48" w:rsidRDefault="00B35ECC" w:rsidP="00164E48">
            <w:pPr>
              <w:spacing w:before="60" w:after="60"/>
              <w:jc w:val="left"/>
              <w:rPr>
                <w:rFonts w:cs="Arial"/>
                <w:color w:val="000000"/>
                <w:szCs w:val="20"/>
                <w:lang w:eastAsia="en-AU"/>
              </w:rPr>
            </w:pPr>
            <w:r w:rsidRPr="00164E48">
              <w:rPr>
                <w:rFonts w:cs="Arial"/>
                <w:color w:val="000000"/>
                <w:szCs w:val="20"/>
                <w:lang w:eastAsia="en-AU"/>
              </w:rPr>
              <w:t>Rp1.1: Permanent high energy upland streams</w:t>
            </w:r>
          </w:p>
        </w:tc>
        <w:tc>
          <w:tcPr>
            <w:tcW w:w="1280" w:type="pct"/>
            <w:shd w:val="clear" w:color="auto" w:fill="auto"/>
            <w:noWrap/>
            <w:vAlign w:val="bottom"/>
            <w:hideMark/>
          </w:tcPr>
          <w:p w:rsidR="00B35ECC" w:rsidRPr="00164E48" w:rsidRDefault="00B35ECC" w:rsidP="00164E48">
            <w:pPr>
              <w:spacing w:before="60" w:after="60"/>
              <w:jc w:val="center"/>
              <w:rPr>
                <w:rFonts w:cs="Arial"/>
                <w:color w:val="000000"/>
                <w:szCs w:val="20"/>
                <w:lang w:eastAsia="en-AU"/>
              </w:rPr>
            </w:pPr>
            <w:r w:rsidRPr="00164E48">
              <w:rPr>
                <w:rFonts w:cs="Arial"/>
                <w:color w:val="000000"/>
                <w:szCs w:val="20"/>
                <w:lang w:eastAsia="en-AU"/>
              </w:rPr>
              <w:t>1</w:t>
            </w:r>
          </w:p>
        </w:tc>
        <w:tc>
          <w:tcPr>
            <w:tcW w:w="1029" w:type="pct"/>
            <w:shd w:val="clear" w:color="auto" w:fill="auto"/>
            <w:noWrap/>
            <w:vAlign w:val="bottom"/>
            <w:hideMark/>
          </w:tcPr>
          <w:p w:rsidR="00B35ECC" w:rsidRPr="00164E48" w:rsidRDefault="00B35ECC" w:rsidP="00164E48">
            <w:pPr>
              <w:spacing w:before="60" w:after="60"/>
              <w:jc w:val="center"/>
              <w:rPr>
                <w:rFonts w:cs="Arial"/>
                <w:color w:val="000000"/>
                <w:szCs w:val="20"/>
                <w:lang w:eastAsia="en-AU"/>
              </w:rPr>
            </w:pPr>
            <w:r w:rsidRPr="00164E48">
              <w:rPr>
                <w:rFonts w:cs="Arial"/>
                <w:color w:val="000000"/>
                <w:szCs w:val="20"/>
                <w:lang w:eastAsia="en-AU"/>
              </w:rPr>
              <w:t>0.7</w:t>
            </w:r>
          </w:p>
        </w:tc>
      </w:tr>
      <w:tr w:rsidR="00B35ECC" w:rsidRPr="00164E48" w:rsidTr="00B35ECC">
        <w:trPr>
          <w:trHeight w:val="300"/>
        </w:trPr>
        <w:tc>
          <w:tcPr>
            <w:tcW w:w="2692" w:type="pct"/>
            <w:shd w:val="clear" w:color="auto" w:fill="auto"/>
            <w:noWrap/>
            <w:vAlign w:val="bottom"/>
            <w:hideMark/>
          </w:tcPr>
          <w:p w:rsidR="00B35ECC" w:rsidRPr="00164E48" w:rsidRDefault="00B35ECC" w:rsidP="00164E48">
            <w:pPr>
              <w:spacing w:before="60" w:after="60"/>
              <w:jc w:val="left"/>
              <w:rPr>
                <w:rFonts w:cs="Arial"/>
                <w:color w:val="000000"/>
                <w:szCs w:val="20"/>
                <w:lang w:eastAsia="en-AU"/>
              </w:rPr>
            </w:pPr>
            <w:r w:rsidRPr="00164E48">
              <w:rPr>
                <w:rFonts w:cs="Arial"/>
                <w:color w:val="000000"/>
                <w:szCs w:val="20"/>
                <w:lang w:eastAsia="en-AU"/>
              </w:rPr>
              <w:t>Rp1.3: Permanent low energy upland streams</w:t>
            </w:r>
          </w:p>
        </w:tc>
        <w:tc>
          <w:tcPr>
            <w:tcW w:w="1280" w:type="pct"/>
            <w:shd w:val="clear" w:color="auto" w:fill="auto"/>
            <w:noWrap/>
            <w:vAlign w:val="bottom"/>
            <w:hideMark/>
          </w:tcPr>
          <w:p w:rsidR="00B35ECC" w:rsidRPr="00164E48" w:rsidRDefault="00B35ECC" w:rsidP="00164E48">
            <w:pPr>
              <w:spacing w:before="60" w:after="60"/>
              <w:jc w:val="center"/>
              <w:rPr>
                <w:rFonts w:cs="Arial"/>
                <w:color w:val="000000"/>
                <w:szCs w:val="20"/>
                <w:lang w:eastAsia="en-AU"/>
              </w:rPr>
            </w:pPr>
            <w:r w:rsidRPr="00164E48">
              <w:rPr>
                <w:rFonts w:cs="Arial"/>
                <w:color w:val="000000"/>
                <w:szCs w:val="20"/>
                <w:lang w:eastAsia="en-AU"/>
              </w:rPr>
              <w:t>5</w:t>
            </w:r>
          </w:p>
        </w:tc>
        <w:tc>
          <w:tcPr>
            <w:tcW w:w="1029" w:type="pct"/>
            <w:shd w:val="clear" w:color="auto" w:fill="auto"/>
            <w:noWrap/>
            <w:vAlign w:val="bottom"/>
            <w:hideMark/>
          </w:tcPr>
          <w:p w:rsidR="00B35ECC" w:rsidRPr="00164E48" w:rsidRDefault="00B35ECC" w:rsidP="00164E48">
            <w:pPr>
              <w:spacing w:before="60" w:after="60"/>
              <w:jc w:val="center"/>
              <w:rPr>
                <w:rFonts w:cs="Arial"/>
                <w:color w:val="000000"/>
                <w:szCs w:val="20"/>
                <w:lang w:eastAsia="en-AU"/>
              </w:rPr>
            </w:pPr>
            <w:r w:rsidRPr="00164E48">
              <w:rPr>
                <w:rFonts w:cs="Arial"/>
                <w:color w:val="000000"/>
                <w:szCs w:val="20"/>
                <w:lang w:eastAsia="en-AU"/>
              </w:rPr>
              <w:t>3.4</w:t>
            </w:r>
          </w:p>
        </w:tc>
      </w:tr>
      <w:tr w:rsidR="00B35ECC" w:rsidRPr="00164E48" w:rsidTr="00B35ECC">
        <w:trPr>
          <w:trHeight w:val="300"/>
        </w:trPr>
        <w:tc>
          <w:tcPr>
            <w:tcW w:w="2692" w:type="pct"/>
            <w:shd w:val="clear" w:color="auto" w:fill="auto"/>
            <w:noWrap/>
            <w:vAlign w:val="bottom"/>
            <w:hideMark/>
          </w:tcPr>
          <w:p w:rsidR="00B35ECC" w:rsidRPr="00164E48" w:rsidRDefault="00B35ECC" w:rsidP="00164E48">
            <w:pPr>
              <w:spacing w:before="60" w:after="60"/>
              <w:jc w:val="left"/>
              <w:rPr>
                <w:rFonts w:cs="Arial"/>
                <w:color w:val="000000"/>
                <w:szCs w:val="20"/>
                <w:lang w:eastAsia="en-AU"/>
              </w:rPr>
            </w:pPr>
            <w:r w:rsidRPr="00164E48">
              <w:rPr>
                <w:rFonts w:cs="Arial"/>
                <w:color w:val="000000"/>
                <w:szCs w:val="20"/>
                <w:lang w:eastAsia="en-AU"/>
              </w:rPr>
              <w:t>Rp1.4: Permanent lowland streams</w:t>
            </w:r>
          </w:p>
        </w:tc>
        <w:tc>
          <w:tcPr>
            <w:tcW w:w="1280" w:type="pct"/>
            <w:shd w:val="clear" w:color="auto" w:fill="auto"/>
            <w:noWrap/>
            <w:vAlign w:val="bottom"/>
            <w:hideMark/>
          </w:tcPr>
          <w:p w:rsidR="00B35ECC" w:rsidRPr="00164E48" w:rsidRDefault="00B35ECC" w:rsidP="00164E48">
            <w:pPr>
              <w:spacing w:before="60" w:after="60"/>
              <w:jc w:val="center"/>
              <w:rPr>
                <w:rFonts w:cs="Arial"/>
                <w:color w:val="000000"/>
                <w:szCs w:val="20"/>
                <w:lang w:eastAsia="en-AU"/>
              </w:rPr>
            </w:pPr>
            <w:r w:rsidRPr="00164E48">
              <w:rPr>
                <w:rFonts w:cs="Arial"/>
                <w:color w:val="000000"/>
                <w:szCs w:val="20"/>
                <w:lang w:eastAsia="en-AU"/>
              </w:rPr>
              <w:t>59</w:t>
            </w:r>
          </w:p>
        </w:tc>
        <w:tc>
          <w:tcPr>
            <w:tcW w:w="1029" w:type="pct"/>
            <w:shd w:val="clear" w:color="auto" w:fill="auto"/>
            <w:noWrap/>
            <w:vAlign w:val="bottom"/>
            <w:hideMark/>
          </w:tcPr>
          <w:p w:rsidR="00B35ECC" w:rsidRPr="00164E48" w:rsidRDefault="00B35ECC" w:rsidP="00164E48">
            <w:pPr>
              <w:spacing w:before="60" w:after="60"/>
              <w:jc w:val="center"/>
              <w:rPr>
                <w:rFonts w:cs="Arial"/>
                <w:color w:val="000000"/>
                <w:szCs w:val="20"/>
                <w:lang w:eastAsia="en-AU"/>
              </w:rPr>
            </w:pPr>
            <w:r w:rsidRPr="00164E48">
              <w:rPr>
                <w:rFonts w:cs="Arial"/>
                <w:color w:val="000000"/>
                <w:szCs w:val="20"/>
                <w:lang w:eastAsia="en-AU"/>
              </w:rPr>
              <w:t>39.6</w:t>
            </w:r>
          </w:p>
        </w:tc>
      </w:tr>
      <w:tr w:rsidR="00B35ECC" w:rsidRPr="00164E48" w:rsidTr="00B35ECC">
        <w:trPr>
          <w:trHeight w:val="300"/>
        </w:trPr>
        <w:tc>
          <w:tcPr>
            <w:tcW w:w="2692" w:type="pct"/>
            <w:shd w:val="clear" w:color="auto" w:fill="auto"/>
            <w:noWrap/>
            <w:vAlign w:val="bottom"/>
            <w:hideMark/>
          </w:tcPr>
          <w:p w:rsidR="00B35ECC" w:rsidRPr="00164E48" w:rsidRDefault="00B35ECC" w:rsidP="00164E48">
            <w:pPr>
              <w:spacing w:before="60" w:after="60"/>
              <w:jc w:val="left"/>
              <w:rPr>
                <w:rFonts w:cs="Arial"/>
                <w:color w:val="000000"/>
                <w:szCs w:val="20"/>
                <w:lang w:eastAsia="en-AU"/>
              </w:rPr>
            </w:pPr>
            <w:r w:rsidRPr="00164E48">
              <w:rPr>
                <w:rFonts w:cs="Arial"/>
                <w:color w:val="000000"/>
                <w:szCs w:val="20"/>
                <w:lang w:eastAsia="en-AU"/>
              </w:rPr>
              <w:t>Rt1.3: Temporary low energy upland streams</w:t>
            </w:r>
          </w:p>
        </w:tc>
        <w:tc>
          <w:tcPr>
            <w:tcW w:w="1280" w:type="pct"/>
            <w:shd w:val="clear" w:color="auto" w:fill="auto"/>
            <w:noWrap/>
            <w:vAlign w:val="bottom"/>
            <w:hideMark/>
          </w:tcPr>
          <w:p w:rsidR="00B35ECC" w:rsidRPr="00164E48" w:rsidRDefault="00B35ECC" w:rsidP="00164E48">
            <w:pPr>
              <w:spacing w:before="60" w:after="60"/>
              <w:jc w:val="center"/>
              <w:rPr>
                <w:rFonts w:cs="Arial"/>
                <w:color w:val="000000"/>
                <w:szCs w:val="20"/>
                <w:lang w:eastAsia="en-AU"/>
              </w:rPr>
            </w:pPr>
            <w:r w:rsidRPr="00164E48">
              <w:rPr>
                <w:rFonts w:cs="Arial"/>
                <w:color w:val="000000"/>
                <w:szCs w:val="20"/>
                <w:lang w:eastAsia="en-AU"/>
              </w:rPr>
              <w:t>2</w:t>
            </w:r>
          </w:p>
        </w:tc>
        <w:tc>
          <w:tcPr>
            <w:tcW w:w="1029" w:type="pct"/>
            <w:shd w:val="clear" w:color="auto" w:fill="auto"/>
            <w:noWrap/>
            <w:vAlign w:val="bottom"/>
            <w:hideMark/>
          </w:tcPr>
          <w:p w:rsidR="00B35ECC" w:rsidRPr="00164E48" w:rsidRDefault="00B35ECC" w:rsidP="00164E48">
            <w:pPr>
              <w:spacing w:before="60" w:after="60"/>
              <w:jc w:val="center"/>
              <w:rPr>
                <w:rFonts w:cs="Arial"/>
                <w:color w:val="000000"/>
                <w:szCs w:val="20"/>
                <w:lang w:eastAsia="en-AU"/>
              </w:rPr>
            </w:pPr>
            <w:r w:rsidRPr="00164E48">
              <w:rPr>
                <w:rFonts w:cs="Arial"/>
                <w:color w:val="000000"/>
                <w:szCs w:val="20"/>
                <w:lang w:eastAsia="en-AU"/>
              </w:rPr>
              <w:t>1.3</w:t>
            </w:r>
          </w:p>
        </w:tc>
      </w:tr>
      <w:tr w:rsidR="00B35ECC" w:rsidRPr="00164E48" w:rsidTr="00B35ECC">
        <w:trPr>
          <w:trHeight w:val="300"/>
        </w:trPr>
        <w:tc>
          <w:tcPr>
            <w:tcW w:w="2692" w:type="pct"/>
            <w:shd w:val="clear" w:color="auto" w:fill="auto"/>
            <w:noWrap/>
            <w:vAlign w:val="bottom"/>
            <w:hideMark/>
          </w:tcPr>
          <w:p w:rsidR="00B35ECC" w:rsidRPr="00164E48" w:rsidRDefault="00B35ECC" w:rsidP="00164E48">
            <w:pPr>
              <w:spacing w:before="60" w:after="60"/>
              <w:jc w:val="left"/>
              <w:rPr>
                <w:rFonts w:cs="Arial"/>
                <w:color w:val="000000"/>
                <w:szCs w:val="20"/>
                <w:lang w:eastAsia="en-AU"/>
              </w:rPr>
            </w:pPr>
            <w:r w:rsidRPr="00164E48">
              <w:rPr>
                <w:rFonts w:cs="Arial"/>
                <w:color w:val="000000"/>
                <w:szCs w:val="20"/>
                <w:lang w:eastAsia="en-AU"/>
              </w:rPr>
              <w:t>Rt1.4: Temporary lowland streams</w:t>
            </w:r>
          </w:p>
        </w:tc>
        <w:tc>
          <w:tcPr>
            <w:tcW w:w="1280" w:type="pct"/>
            <w:shd w:val="clear" w:color="auto" w:fill="auto"/>
            <w:noWrap/>
            <w:vAlign w:val="bottom"/>
            <w:hideMark/>
          </w:tcPr>
          <w:p w:rsidR="00B35ECC" w:rsidRPr="00164E48" w:rsidRDefault="00B35ECC" w:rsidP="00164E48">
            <w:pPr>
              <w:spacing w:before="60" w:after="60"/>
              <w:jc w:val="center"/>
              <w:rPr>
                <w:rFonts w:cs="Arial"/>
                <w:color w:val="000000"/>
                <w:szCs w:val="20"/>
                <w:lang w:eastAsia="en-AU"/>
              </w:rPr>
            </w:pPr>
            <w:r w:rsidRPr="00164E48">
              <w:rPr>
                <w:rFonts w:cs="Arial"/>
                <w:color w:val="000000"/>
                <w:szCs w:val="20"/>
                <w:lang w:eastAsia="en-AU"/>
              </w:rPr>
              <w:t>18</w:t>
            </w:r>
          </w:p>
        </w:tc>
        <w:tc>
          <w:tcPr>
            <w:tcW w:w="1029" w:type="pct"/>
            <w:shd w:val="clear" w:color="auto" w:fill="auto"/>
            <w:noWrap/>
            <w:vAlign w:val="bottom"/>
            <w:hideMark/>
          </w:tcPr>
          <w:p w:rsidR="00B35ECC" w:rsidRPr="00164E48" w:rsidRDefault="00B35ECC" w:rsidP="00164E48">
            <w:pPr>
              <w:spacing w:before="60" w:after="60"/>
              <w:jc w:val="center"/>
              <w:rPr>
                <w:rFonts w:cs="Arial"/>
                <w:color w:val="000000"/>
                <w:szCs w:val="20"/>
                <w:lang w:eastAsia="en-AU"/>
              </w:rPr>
            </w:pPr>
            <w:r w:rsidRPr="00164E48">
              <w:rPr>
                <w:rFonts w:cs="Arial"/>
                <w:color w:val="000000"/>
                <w:szCs w:val="20"/>
                <w:lang w:eastAsia="en-AU"/>
              </w:rPr>
              <w:t>12.1</w:t>
            </w:r>
          </w:p>
        </w:tc>
      </w:tr>
      <w:tr w:rsidR="00B35ECC" w:rsidRPr="00164E48" w:rsidTr="00B35ECC">
        <w:trPr>
          <w:trHeight w:val="300"/>
        </w:trPr>
        <w:tc>
          <w:tcPr>
            <w:tcW w:w="2692" w:type="pct"/>
            <w:shd w:val="clear" w:color="auto" w:fill="auto"/>
            <w:noWrap/>
            <w:vAlign w:val="bottom"/>
          </w:tcPr>
          <w:p w:rsidR="00B35ECC" w:rsidRPr="00164E48" w:rsidRDefault="00B35ECC" w:rsidP="00164E48">
            <w:pPr>
              <w:spacing w:before="60" w:after="60"/>
              <w:jc w:val="left"/>
              <w:rPr>
                <w:rFonts w:cs="Arial"/>
                <w:color w:val="000000"/>
                <w:szCs w:val="20"/>
                <w:lang w:eastAsia="en-AU"/>
              </w:rPr>
            </w:pPr>
            <w:r w:rsidRPr="00164E48">
              <w:rPr>
                <w:rFonts w:cs="Arial"/>
                <w:color w:val="000000"/>
                <w:szCs w:val="20"/>
                <w:lang w:eastAsia="en-AU"/>
              </w:rPr>
              <w:t>Total</w:t>
            </w:r>
          </w:p>
        </w:tc>
        <w:tc>
          <w:tcPr>
            <w:tcW w:w="1280" w:type="pct"/>
            <w:shd w:val="clear" w:color="auto" w:fill="auto"/>
            <w:noWrap/>
            <w:vAlign w:val="bottom"/>
          </w:tcPr>
          <w:p w:rsidR="00B35ECC" w:rsidRPr="00164E48" w:rsidRDefault="00B35ECC" w:rsidP="00164E48">
            <w:pPr>
              <w:spacing w:before="60" w:after="60"/>
              <w:jc w:val="center"/>
              <w:rPr>
                <w:rFonts w:cs="Arial"/>
                <w:color w:val="000000"/>
                <w:szCs w:val="20"/>
                <w:lang w:eastAsia="en-AU"/>
              </w:rPr>
            </w:pPr>
            <w:r w:rsidRPr="00164E48">
              <w:rPr>
                <w:rFonts w:cs="Arial"/>
                <w:color w:val="000000"/>
                <w:szCs w:val="20"/>
                <w:lang w:eastAsia="en-AU"/>
              </w:rPr>
              <w:t>149</w:t>
            </w:r>
          </w:p>
        </w:tc>
        <w:tc>
          <w:tcPr>
            <w:tcW w:w="1029" w:type="pct"/>
            <w:shd w:val="clear" w:color="auto" w:fill="auto"/>
            <w:noWrap/>
            <w:vAlign w:val="bottom"/>
          </w:tcPr>
          <w:p w:rsidR="00B35ECC" w:rsidRPr="00164E48" w:rsidRDefault="00B35ECC" w:rsidP="00164E48">
            <w:pPr>
              <w:spacing w:before="60" w:after="60"/>
              <w:jc w:val="center"/>
              <w:rPr>
                <w:rFonts w:cs="Arial"/>
                <w:color w:val="000000"/>
                <w:szCs w:val="20"/>
                <w:lang w:eastAsia="en-AU"/>
              </w:rPr>
            </w:pPr>
          </w:p>
        </w:tc>
      </w:tr>
    </w:tbl>
    <w:p w:rsidR="00B35ECC" w:rsidRPr="004335CD" w:rsidRDefault="00B35ECC" w:rsidP="00B35ECC">
      <w:pPr>
        <w:sectPr w:rsidR="00B35ECC" w:rsidRPr="004335CD" w:rsidSect="00164E48">
          <w:headerReference w:type="default" r:id="rId95"/>
          <w:footerReference w:type="default" r:id="rId96"/>
          <w:type w:val="nextColumn"/>
          <w:pgSz w:w="11899" w:h="16838" w:code="9"/>
          <w:pgMar w:top="1073" w:right="1219" w:bottom="1457" w:left="1480" w:header="811" w:footer="306" w:gutter="0"/>
          <w:pgNumType w:start="1" w:chapStyle="6"/>
          <w:cols w:space="708"/>
          <w:docGrid w:linePitch="272"/>
        </w:sectPr>
      </w:pPr>
    </w:p>
    <w:p w:rsidR="00B35ECC" w:rsidRDefault="004176FF" w:rsidP="00B35ECC">
      <w:pPr>
        <w:keepNext/>
        <w:spacing w:after="0" w:line="240" w:lineRule="auto"/>
        <w:jc w:val="left"/>
      </w:pPr>
      <w:r w:rsidRPr="00CC18AA">
        <w:rPr>
          <w:noProof/>
          <w:sz w:val="16"/>
          <w:szCs w:val="16"/>
          <w:lang w:eastAsia="en-AU"/>
        </w:rPr>
        <w:drawing>
          <wp:inline distT="0" distB="0" distL="0" distR="0">
            <wp:extent cx="7924800" cy="5610225"/>
            <wp:effectExtent l="0" t="0" r="0" b="9525"/>
            <wp:docPr id="6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7">
                      <a:extLst>
                        <a:ext uri="{28A0092B-C50C-407E-A947-70E740481C1C}">
                          <a14:useLocalDpi xmlns:a14="http://schemas.microsoft.com/office/drawing/2010/main"/>
                        </a:ext>
                      </a:extLst>
                    </a:blip>
                    <a:srcRect/>
                    <a:stretch>
                      <a:fillRect/>
                    </a:stretch>
                  </pic:blipFill>
                  <pic:spPr bwMode="auto">
                    <a:xfrm>
                      <a:off x="0" y="0"/>
                      <a:ext cx="7924800" cy="5610225"/>
                    </a:xfrm>
                    <a:prstGeom prst="rect">
                      <a:avLst/>
                    </a:prstGeom>
                    <a:noFill/>
                    <a:ln>
                      <a:noFill/>
                    </a:ln>
                  </pic:spPr>
                </pic:pic>
              </a:graphicData>
            </a:graphic>
          </wp:inline>
        </w:drawing>
      </w:r>
    </w:p>
    <w:p w:rsidR="00B35ECC" w:rsidRDefault="00B35ECC" w:rsidP="00B35ECC">
      <w:pPr>
        <w:pStyle w:val="Caption"/>
        <w:jc w:val="left"/>
        <w:sectPr w:rsidR="00B35ECC" w:rsidSect="00426200">
          <w:headerReference w:type="even" r:id="rId98"/>
          <w:headerReference w:type="default" r:id="rId99"/>
          <w:footerReference w:type="default" r:id="rId100"/>
          <w:headerReference w:type="first" r:id="rId101"/>
          <w:type w:val="nextColumn"/>
          <w:pgSz w:w="16838" w:h="11899" w:orient="landscape"/>
          <w:pgMar w:top="1276" w:right="1219" w:bottom="1276" w:left="1480" w:header="811" w:footer="305" w:gutter="0"/>
          <w:pgNumType w:chapStyle="6"/>
          <w:cols w:space="708"/>
          <w:docGrid w:linePitch="360"/>
        </w:sectPr>
      </w:pPr>
      <w:bookmarkStart w:id="77" w:name="_Ref454452653"/>
      <w:r>
        <w:t xml:space="preserve">Figure </w:t>
      </w:r>
      <w:fldSimple w:instr=" STYLEREF 6 \s ">
        <w:r w:rsidR="00673DAF">
          <w:rPr>
            <w:noProof/>
          </w:rPr>
          <w:t>F</w:t>
        </w:r>
      </w:fldSimple>
      <w:r w:rsidR="00673DAF">
        <w:noBreakHyphen/>
      </w:r>
      <w:fldSimple w:instr=" SEQ Figure \* ARABIC \s 6 ">
        <w:r w:rsidR="00673DAF">
          <w:rPr>
            <w:noProof/>
          </w:rPr>
          <w:t>1</w:t>
        </w:r>
      </w:fldSimple>
      <w:bookmarkEnd w:id="77"/>
      <w:r>
        <w:t xml:space="preserve">: New and old sites monitored within the Selected </w:t>
      </w:r>
      <w:r w:rsidR="008979DC">
        <w:t>Area for the 2105-16 water year</w:t>
      </w:r>
    </w:p>
    <w:p w:rsidR="00B35ECC" w:rsidRDefault="00B35ECC" w:rsidP="00B35ECC">
      <w:pPr>
        <w:pStyle w:val="Caption"/>
        <w:keepNext/>
      </w:pPr>
      <w:bookmarkStart w:id="78" w:name="_Ref454446192"/>
      <w:bookmarkStart w:id="79" w:name="_Ref454531558"/>
      <w:r>
        <w:t xml:space="preserve">Table </w:t>
      </w:r>
      <w:fldSimple w:instr=" STYLEREF 6 \s ">
        <w:r w:rsidR="005D5925">
          <w:rPr>
            <w:noProof/>
          </w:rPr>
          <w:t>F</w:t>
        </w:r>
      </w:fldSimple>
      <w:r w:rsidR="005D4453">
        <w:noBreakHyphen/>
      </w:r>
      <w:fldSimple w:instr=" SEQ Table \* ARABIC \s 6 ">
        <w:r w:rsidR="005D5925">
          <w:rPr>
            <w:noProof/>
          </w:rPr>
          <w:t>2</w:t>
        </w:r>
      </w:fldSimple>
      <w:bookmarkEnd w:id="78"/>
      <w:bookmarkEnd w:id="79"/>
      <w:r>
        <w:t xml:space="preserve">: ANAE Ecosystem Types covered by new </w:t>
      </w:r>
      <w:r w:rsidR="00892217">
        <w:t>monitoring sites in the Gwydir r</w:t>
      </w:r>
      <w:r>
        <w:t>iver</w:t>
      </w:r>
      <w:r w:rsidR="00892217">
        <w:t xml:space="preserve"> system</w:t>
      </w:r>
      <w:r>
        <w:t xml:space="preserve"> Selected Area</w:t>
      </w:r>
      <w:r w:rsidR="008E064B">
        <w:t>.</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785"/>
        <w:gridCol w:w="3415"/>
      </w:tblGrid>
      <w:tr w:rsidR="00B35ECC" w:rsidRPr="008979DC" w:rsidTr="00CC18AA">
        <w:trPr>
          <w:trHeight w:val="300"/>
        </w:trPr>
        <w:tc>
          <w:tcPr>
            <w:tcW w:w="3144" w:type="pct"/>
            <w:shd w:val="clear" w:color="auto" w:fill="D9D9D9"/>
            <w:noWrap/>
            <w:vAlign w:val="bottom"/>
            <w:hideMark/>
          </w:tcPr>
          <w:p w:rsidR="00B35ECC" w:rsidRPr="008979DC" w:rsidRDefault="00B35ECC" w:rsidP="00433ED5">
            <w:pPr>
              <w:spacing w:before="60" w:after="60"/>
              <w:jc w:val="center"/>
              <w:rPr>
                <w:szCs w:val="20"/>
                <w:lang w:eastAsia="en-AU"/>
              </w:rPr>
            </w:pPr>
            <w:r w:rsidRPr="008979DC">
              <w:rPr>
                <w:szCs w:val="20"/>
                <w:lang w:eastAsia="en-AU"/>
              </w:rPr>
              <w:t>ANAE Typology</w:t>
            </w:r>
          </w:p>
        </w:tc>
        <w:tc>
          <w:tcPr>
            <w:tcW w:w="1856" w:type="pct"/>
            <w:shd w:val="clear" w:color="auto" w:fill="D9D9D9"/>
            <w:noWrap/>
            <w:vAlign w:val="bottom"/>
            <w:hideMark/>
          </w:tcPr>
          <w:p w:rsidR="00B35ECC" w:rsidRPr="008979DC" w:rsidRDefault="00B35ECC" w:rsidP="00433ED5">
            <w:pPr>
              <w:spacing w:before="60" w:after="60"/>
              <w:jc w:val="center"/>
              <w:rPr>
                <w:szCs w:val="20"/>
                <w:lang w:eastAsia="en-AU"/>
              </w:rPr>
            </w:pPr>
            <w:r w:rsidRPr="008979DC">
              <w:rPr>
                <w:szCs w:val="20"/>
                <w:lang w:eastAsia="en-AU"/>
              </w:rPr>
              <w:t xml:space="preserve">Number of sites (All </w:t>
            </w:r>
            <w:r w:rsidR="00F00C5A" w:rsidRPr="008979DC">
              <w:rPr>
                <w:szCs w:val="20"/>
                <w:lang w:eastAsia="en-AU"/>
              </w:rPr>
              <w:t>zone</w:t>
            </w:r>
            <w:r w:rsidRPr="008979DC">
              <w:rPr>
                <w:szCs w:val="20"/>
                <w:lang w:eastAsia="en-AU"/>
              </w:rPr>
              <w:t>s)</w:t>
            </w:r>
          </w:p>
        </w:tc>
      </w:tr>
      <w:tr w:rsidR="00B35ECC" w:rsidRPr="008979DC" w:rsidTr="00B35ECC">
        <w:trPr>
          <w:trHeight w:val="300"/>
        </w:trPr>
        <w:tc>
          <w:tcPr>
            <w:tcW w:w="3144" w:type="pct"/>
            <w:shd w:val="clear" w:color="auto" w:fill="auto"/>
            <w:noWrap/>
            <w:vAlign w:val="bottom"/>
            <w:hideMark/>
          </w:tcPr>
          <w:p w:rsidR="00B35ECC" w:rsidRPr="008979DC" w:rsidRDefault="00B35ECC" w:rsidP="00433ED5">
            <w:pPr>
              <w:spacing w:before="60" w:after="60"/>
              <w:rPr>
                <w:szCs w:val="20"/>
                <w:lang w:eastAsia="en-AU"/>
              </w:rPr>
            </w:pPr>
            <w:r w:rsidRPr="008979DC">
              <w:rPr>
                <w:szCs w:val="20"/>
                <w:lang w:eastAsia="en-AU"/>
              </w:rPr>
              <w:t>F1.11: River cooba woodland floodplain</w:t>
            </w:r>
          </w:p>
        </w:tc>
        <w:tc>
          <w:tcPr>
            <w:tcW w:w="1856" w:type="pct"/>
            <w:shd w:val="clear" w:color="auto" w:fill="auto"/>
            <w:noWrap/>
            <w:vAlign w:val="bottom"/>
            <w:hideMark/>
          </w:tcPr>
          <w:p w:rsidR="00B35ECC" w:rsidRPr="008979DC" w:rsidRDefault="00B35ECC" w:rsidP="00433ED5">
            <w:pPr>
              <w:spacing w:before="60" w:after="60"/>
              <w:jc w:val="center"/>
              <w:rPr>
                <w:szCs w:val="20"/>
                <w:lang w:eastAsia="en-AU"/>
              </w:rPr>
            </w:pPr>
            <w:r w:rsidRPr="008979DC">
              <w:rPr>
                <w:szCs w:val="20"/>
                <w:lang w:eastAsia="en-AU"/>
              </w:rPr>
              <w:t>10</w:t>
            </w:r>
          </w:p>
        </w:tc>
      </w:tr>
      <w:tr w:rsidR="00B35ECC" w:rsidRPr="008979DC" w:rsidTr="00B35ECC">
        <w:trPr>
          <w:trHeight w:val="300"/>
        </w:trPr>
        <w:tc>
          <w:tcPr>
            <w:tcW w:w="3144" w:type="pct"/>
            <w:shd w:val="clear" w:color="auto" w:fill="auto"/>
            <w:noWrap/>
            <w:vAlign w:val="bottom"/>
            <w:hideMark/>
          </w:tcPr>
          <w:p w:rsidR="00B35ECC" w:rsidRPr="008979DC" w:rsidRDefault="00B35ECC" w:rsidP="00433ED5">
            <w:pPr>
              <w:spacing w:before="60" w:after="60"/>
              <w:rPr>
                <w:szCs w:val="20"/>
                <w:lang w:eastAsia="en-AU"/>
              </w:rPr>
            </w:pPr>
            <w:r w:rsidRPr="008979DC">
              <w:rPr>
                <w:szCs w:val="20"/>
                <w:lang w:eastAsia="en-AU"/>
              </w:rPr>
              <w:t>F3.2: Sedge/forb/grassland floodplain</w:t>
            </w:r>
          </w:p>
        </w:tc>
        <w:tc>
          <w:tcPr>
            <w:tcW w:w="1856" w:type="pct"/>
            <w:shd w:val="clear" w:color="auto" w:fill="auto"/>
            <w:noWrap/>
            <w:vAlign w:val="bottom"/>
            <w:hideMark/>
          </w:tcPr>
          <w:p w:rsidR="00B35ECC" w:rsidRPr="008979DC" w:rsidRDefault="00B35ECC" w:rsidP="00433ED5">
            <w:pPr>
              <w:spacing w:before="60" w:after="60"/>
              <w:jc w:val="center"/>
              <w:rPr>
                <w:szCs w:val="20"/>
                <w:lang w:eastAsia="en-AU"/>
              </w:rPr>
            </w:pPr>
            <w:r w:rsidRPr="008979DC">
              <w:rPr>
                <w:szCs w:val="20"/>
                <w:lang w:eastAsia="en-AU"/>
              </w:rPr>
              <w:t>3</w:t>
            </w:r>
          </w:p>
        </w:tc>
      </w:tr>
      <w:tr w:rsidR="00B35ECC" w:rsidRPr="008979DC" w:rsidTr="00B35ECC">
        <w:trPr>
          <w:trHeight w:val="300"/>
        </w:trPr>
        <w:tc>
          <w:tcPr>
            <w:tcW w:w="3144" w:type="pct"/>
            <w:shd w:val="clear" w:color="auto" w:fill="auto"/>
            <w:noWrap/>
            <w:vAlign w:val="bottom"/>
            <w:hideMark/>
          </w:tcPr>
          <w:p w:rsidR="00B35ECC" w:rsidRPr="008979DC" w:rsidRDefault="00B35ECC" w:rsidP="00433ED5">
            <w:pPr>
              <w:spacing w:before="60" w:after="60"/>
              <w:rPr>
                <w:szCs w:val="20"/>
                <w:lang w:eastAsia="en-AU"/>
              </w:rPr>
            </w:pPr>
            <w:r w:rsidRPr="008979DC">
              <w:rPr>
                <w:szCs w:val="20"/>
                <w:lang w:eastAsia="en-AU"/>
              </w:rPr>
              <w:t>Lt2.2: Temporary floodplain lake with aquatic beds</w:t>
            </w:r>
          </w:p>
        </w:tc>
        <w:tc>
          <w:tcPr>
            <w:tcW w:w="1856" w:type="pct"/>
            <w:shd w:val="clear" w:color="auto" w:fill="auto"/>
            <w:noWrap/>
            <w:vAlign w:val="bottom"/>
            <w:hideMark/>
          </w:tcPr>
          <w:p w:rsidR="00B35ECC" w:rsidRPr="008979DC" w:rsidRDefault="00B35ECC" w:rsidP="00433ED5">
            <w:pPr>
              <w:spacing w:before="60" w:after="60"/>
              <w:jc w:val="center"/>
              <w:rPr>
                <w:szCs w:val="20"/>
                <w:lang w:eastAsia="en-AU"/>
              </w:rPr>
            </w:pPr>
            <w:r w:rsidRPr="008979DC">
              <w:rPr>
                <w:szCs w:val="20"/>
                <w:lang w:eastAsia="en-AU"/>
              </w:rPr>
              <w:t>6</w:t>
            </w:r>
          </w:p>
        </w:tc>
      </w:tr>
      <w:tr w:rsidR="00B35ECC" w:rsidRPr="008979DC" w:rsidTr="00B35ECC">
        <w:trPr>
          <w:trHeight w:val="300"/>
        </w:trPr>
        <w:tc>
          <w:tcPr>
            <w:tcW w:w="3144" w:type="pct"/>
            <w:shd w:val="clear" w:color="auto" w:fill="auto"/>
            <w:noWrap/>
            <w:vAlign w:val="bottom"/>
            <w:hideMark/>
          </w:tcPr>
          <w:p w:rsidR="00B35ECC" w:rsidRPr="008979DC" w:rsidRDefault="00B35ECC" w:rsidP="00433ED5">
            <w:pPr>
              <w:spacing w:before="60" w:after="60"/>
              <w:rPr>
                <w:szCs w:val="20"/>
                <w:lang w:eastAsia="en-AU"/>
              </w:rPr>
            </w:pPr>
            <w:r w:rsidRPr="008979DC">
              <w:rPr>
                <w:szCs w:val="20"/>
                <w:lang w:eastAsia="en-AU"/>
              </w:rPr>
              <w:t>Rp1.4: Permanent lowland streams</w:t>
            </w:r>
          </w:p>
        </w:tc>
        <w:tc>
          <w:tcPr>
            <w:tcW w:w="1856" w:type="pct"/>
            <w:shd w:val="clear" w:color="auto" w:fill="auto"/>
            <w:noWrap/>
            <w:vAlign w:val="bottom"/>
            <w:hideMark/>
          </w:tcPr>
          <w:p w:rsidR="00B35ECC" w:rsidRPr="008979DC" w:rsidRDefault="00B35ECC" w:rsidP="00433ED5">
            <w:pPr>
              <w:spacing w:before="60" w:after="60"/>
              <w:jc w:val="center"/>
              <w:rPr>
                <w:szCs w:val="20"/>
                <w:lang w:eastAsia="en-AU"/>
              </w:rPr>
            </w:pPr>
            <w:r w:rsidRPr="008979DC">
              <w:rPr>
                <w:szCs w:val="20"/>
                <w:lang w:eastAsia="en-AU"/>
              </w:rPr>
              <w:t>30</w:t>
            </w:r>
          </w:p>
        </w:tc>
      </w:tr>
      <w:tr w:rsidR="00B35ECC" w:rsidRPr="008979DC" w:rsidTr="00B35ECC">
        <w:trPr>
          <w:trHeight w:val="300"/>
        </w:trPr>
        <w:tc>
          <w:tcPr>
            <w:tcW w:w="3144" w:type="pct"/>
            <w:shd w:val="clear" w:color="auto" w:fill="auto"/>
            <w:noWrap/>
            <w:vAlign w:val="bottom"/>
            <w:hideMark/>
          </w:tcPr>
          <w:p w:rsidR="00B35ECC" w:rsidRPr="008979DC" w:rsidRDefault="00B35ECC" w:rsidP="00433ED5">
            <w:pPr>
              <w:spacing w:before="60" w:after="60"/>
              <w:rPr>
                <w:szCs w:val="20"/>
                <w:lang w:eastAsia="en-AU"/>
              </w:rPr>
            </w:pPr>
            <w:r w:rsidRPr="008979DC">
              <w:rPr>
                <w:szCs w:val="20"/>
                <w:lang w:eastAsia="en-AU"/>
              </w:rPr>
              <w:t>Rt1.4: Temporary lowland streams</w:t>
            </w:r>
          </w:p>
        </w:tc>
        <w:tc>
          <w:tcPr>
            <w:tcW w:w="1856" w:type="pct"/>
            <w:shd w:val="clear" w:color="auto" w:fill="auto"/>
            <w:noWrap/>
            <w:vAlign w:val="bottom"/>
            <w:hideMark/>
          </w:tcPr>
          <w:p w:rsidR="00B35ECC" w:rsidRPr="008979DC" w:rsidRDefault="00B35ECC" w:rsidP="00433ED5">
            <w:pPr>
              <w:spacing w:before="60" w:after="60"/>
              <w:jc w:val="center"/>
              <w:rPr>
                <w:szCs w:val="20"/>
                <w:lang w:eastAsia="en-AU"/>
              </w:rPr>
            </w:pPr>
            <w:r w:rsidRPr="008979DC">
              <w:rPr>
                <w:szCs w:val="20"/>
                <w:lang w:eastAsia="en-AU"/>
              </w:rPr>
              <w:t>4</w:t>
            </w:r>
          </w:p>
        </w:tc>
      </w:tr>
    </w:tbl>
    <w:p w:rsidR="00B35ECC" w:rsidRDefault="00B35ECC" w:rsidP="00B35ECC"/>
    <w:p w:rsidR="00B35ECC" w:rsidRDefault="00B35ECC" w:rsidP="00B35ECC"/>
    <w:p w:rsidR="00B35ECC" w:rsidRPr="004335CD" w:rsidRDefault="004176FF" w:rsidP="00B35ECC">
      <w:pPr>
        <w:keepNext/>
        <w:spacing w:line="240" w:lineRule="auto"/>
      </w:pPr>
      <w:r w:rsidRPr="008F5E11">
        <w:rPr>
          <w:noProof/>
          <w:lang w:eastAsia="en-AU"/>
        </w:rPr>
        <w:drawing>
          <wp:inline distT="0" distB="0" distL="0" distR="0">
            <wp:extent cx="5845175" cy="5017770"/>
            <wp:effectExtent l="0" t="0" r="3175" b="11430"/>
            <wp:docPr id="62" name="Chart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B35ECC" w:rsidRDefault="00B35ECC" w:rsidP="00B35ECC">
      <w:pPr>
        <w:pStyle w:val="Caption"/>
      </w:pPr>
      <w:bookmarkStart w:id="80" w:name="_Ref423090076"/>
      <w:r w:rsidRPr="004335CD">
        <w:t xml:space="preserve">Figure </w:t>
      </w:r>
      <w:fldSimple w:instr=" STYLEREF 6 \s ">
        <w:r w:rsidR="00673DAF">
          <w:rPr>
            <w:noProof/>
          </w:rPr>
          <w:t>F</w:t>
        </w:r>
      </w:fldSimple>
      <w:r w:rsidR="00673DAF">
        <w:noBreakHyphen/>
      </w:r>
      <w:fldSimple w:instr=" SEQ Figure \* ARABIC \s 6 ">
        <w:r w:rsidR="00673DAF">
          <w:rPr>
            <w:noProof/>
          </w:rPr>
          <w:t>2</w:t>
        </w:r>
      </w:fldSimple>
      <w:bookmarkEnd w:id="80"/>
      <w:r>
        <w:rPr>
          <w:noProof/>
        </w:rPr>
        <w:t xml:space="preserve">: </w:t>
      </w:r>
      <w:r>
        <w:t xml:space="preserve"> Distribution of ANAE E</w:t>
      </w:r>
      <w:r w:rsidR="008E064B">
        <w:t>cosystem T</w:t>
      </w:r>
      <w:r w:rsidRPr="004335CD">
        <w:t xml:space="preserve">ypes represented by sites across the </w:t>
      </w:r>
      <w:r>
        <w:t>four</w:t>
      </w:r>
      <w:r w:rsidRPr="004335CD">
        <w:t xml:space="preserve"> monitoring zones wit</w:t>
      </w:r>
      <w:r>
        <w:t>hin the Selected Area</w:t>
      </w:r>
      <w:r w:rsidR="008E064B">
        <w:t>.</w:t>
      </w:r>
    </w:p>
    <w:p w:rsidR="00B35ECC" w:rsidRDefault="00B35ECC" w:rsidP="00B35ECC"/>
    <w:p w:rsidR="00B35ECC" w:rsidRDefault="00B35ECC" w:rsidP="00B35ECC">
      <w:pPr>
        <w:sectPr w:rsidR="00B35ECC" w:rsidSect="004F411E">
          <w:headerReference w:type="default" r:id="rId103"/>
          <w:footerReference w:type="default" r:id="rId104"/>
          <w:type w:val="nextColumn"/>
          <w:pgSz w:w="11899" w:h="16838"/>
          <w:pgMar w:top="1508" w:right="1219" w:bottom="1457" w:left="1480" w:header="811" w:footer="305" w:gutter="0"/>
          <w:pgNumType w:chapStyle="6"/>
          <w:cols w:space="708"/>
          <w:docGrid w:linePitch="360"/>
        </w:sectPr>
      </w:pPr>
      <w:bookmarkStart w:id="81" w:name="_Toc426839268"/>
    </w:p>
    <w:p w:rsidR="00B35ECC" w:rsidRDefault="004176FF" w:rsidP="00B35ECC">
      <w:pPr>
        <w:keepNext/>
        <w:spacing w:after="0" w:line="240" w:lineRule="auto"/>
      </w:pPr>
      <w:r w:rsidRPr="00CC18AA">
        <w:rPr>
          <w:noProof/>
          <w:sz w:val="16"/>
          <w:szCs w:val="16"/>
          <w:lang w:eastAsia="en-AU"/>
        </w:rPr>
        <w:drawing>
          <wp:inline distT="0" distB="0" distL="0" distR="0">
            <wp:extent cx="7981950" cy="5648325"/>
            <wp:effectExtent l="0" t="0" r="0" b="9525"/>
            <wp:docPr id="63"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05">
                      <a:extLst>
                        <a:ext uri="{28A0092B-C50C-407E-A947-70E740481C1C}">
                          <a14:useLocalDpi xmlns:a14="http://schemas.microsoft.com/office/drawing/2010/main"/>
                        </a:ext>
                      </a:extLst>
                    </a:blip>
                    <a:srcRect/>
                    <a:stretch>
                      <a:fillRect/>
                    </a:stretch>
                  </pic:blipFill>
                  <pic:spPr bwMode="auto">
                    <a:xfrm>
                      <a:off x="0" y="0"/>
                      <a:ext cx="7981950" cy="5648325"/>
                    </a:xfrm>
                    <a:prstGeom prst="rect">
                      <a:avLst/>
                    </a:prstGeom>
                    <a:noFill/>
                    <a:ln>
                      <a:noFill/>
                    </a:ln>
                  </pic:spPr>
                </pic:pic>
              </a:graphicData>
            </a:graphic>
          </wp:inline>
        </w:drawing>
      </w:r>
    </w:p>
    <w:p w:rsidR="00B35ECC" w:rsidRDefault="00B35ECC" w:rsidP="00B35ECC">
      <w:pPr>
        <w:pStyle w:val="Caption"/>
      </w:pPr>
      <w:bookmarkStart w:id="82" w:name="_Ref454452537"/>
      <w:r>
        <w:t xml:space="preserve">Figure </w:t>
      </w:r>
      <w:fldSimple w:instr=" STYLEREF 6 \s ">
        <w:r w:rsidR="00673DAF">
          <w:rPr>
            <w:noProof/>
          </w:rPr>
          <w:t>F</w:t>
        </w:r>
      </w:fldSimple>
      <w:r w:rsidR="00673DAF">
        <w:noBreakHyphen/>
      </w:r>
      <w:fldSimple w:instr=" SEQ Figure \* ARABIC \s 6 ">
        <w:r w:rsidR="00673DAF">
          <w:rPr>
            <w:noProof/>
          </w:rPr>
          <w:t>3</w:t>
        </w:r>
      </w:fldSimple>
      <w:bookmarkEnd w:id="82"/>
      <w:r>
        <w:t>: Inundation status of sites sampled in the Selected Area during the 2015-16 water year</w:t>
      </w:r>
    </w:p>
    <w:p w:rsidR="00B35ECC" w:rsidRDefault="00B35ECC" w:rsidP="00B35ECC">
      <w:pPr>
        <w:sectPr w:rsidR="00B35ECC" w:rsidSect="00426200">
          <w:headerReference w:type="default" r:id="rId106"/>
          <w:footerReference w:type="default" r:id="rId107"/>
          <w:type w:val="nextColumn"/>
          <w:pgSz w:w="16838" w:h="11899" w:orient="landscape"/>
          <w:pgMar w:top="1386" w:right="1219" w:bottom="1276" w:left="1480" w:header="811" w:footer="305" w:gutter="0"/>
          <w:pgNumType w:chapStyle="6"/>
          <w:cols w:space="708"/>
          <w:docGrid w:linePitch="360"/>
        </w:sectPr>
      </w:pPr>
    </w:p>
    <w:p w:rsidR="00B35ECC" w:rsidRDefault="004176FF" w:rsidP="00B35ECC">
      <w:pPr>
        <w:keepNext/>
        <w:spacing w:line="240" w:lineRule="auto"/>
      </w:pPr>
      <w:r w:rsidRPr="008F5E11">
        <w:rPr>
          <w:noProof/>
          <w:lang w:eastAsia="en-AU"/>
        </w:rPr>
        <w:drawing>
          <wp:inline distT="0" distB="0" distL="0" distR="0">
            <wp:extent cx="5845175" cy="3495675"/>
            <wp:effectExtent l="0" t="0" r="3175" b="9525"/>
            <wp:docPr id="64" name="Chart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B35ECC" w:rsidRDefault="00B35ECC" w:rsidP="00B35ECC">
      <w:pPr>
        <w:pStyle w:val="Caption"/>
      </w:pPr>
      <w:bookmarkStart w:id="83" w:name="_Ref459889110"/>
      <w:r>
        <w:t xml:space="preserve">Figure </w:t>
      </w:r>
      <w:fldSimple w:instr=" STYLEREF 6 \s ">
        <w:r w:rsidR="00673DAF">
          <w:rPr>
            <w:noProof/>
          </w:rPr>
          <w:t>F</w:t>
        </w:r>
      </w:fldSimple>
      <w:r w:rsidR="00673DAF">
        <w:noBreakHyphen/>
      </w:r>
      <w:fldSimple w:instr=" SEQ Figure \* ARABIC \s 6 ">
        <w:r w:rsidR="00673DAF">
          <w:rPr>
            <w:noProof/>
          </w:rPr>
          <w:t>4</w:t>
        </w:r>
      </w:fldSimple>
      <w:bookmarkEnd w:id="83"/>
      <w:r>
        <w:t xml:space="preserve">: Distribution of ANAE </w:t>
      </w:r>
      <w:r w:rsidR="008E064B">
        <w:t>E</w:t>
      </w:r>
      <w:r>
        <w:t xml:space="preserve">cosystem </w:t>
      </w:r>
      <w:r w:rsidR="008E064B">
        <w:t>T</w:t>
      </w:r>
      <w:r>
        <w:t>ypes inundated across the four monitoring zones within the Selected Area</w:t>
      </w:r>
      <w:r w:rsidR="008E064B">
        <w:t>.</w:t>
      </w:r>
    </w:p>
    <w:p w:rsidR="00B35ECC" w:rsidRDefault="004176FF" w:rsidP="00833B2A">
      <w:pPr>
        <w:keepNext/>
        <w:spacing w:after="0" w:line="240" w:lineRule="auto"/>
      </w:pPr>
      <w:r w:rsidRPr="008F5E11">
        <w:rPr>
          <w:noProof/>
          <w:lang w:eastAsia="en-AU"/>
        </w:rPr>
        <w:drawing>
          <wp:inline distT="0" distB="0" distL="0" distR="0">
            <wp:extent cx="5836285" cy="4676775"/>
            <wp:effectExtent l="0" t="0" r="12065" b="9525"/>
            <wp:docPr id="65" name="Chart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B35ECC" w:rsidRPr="004D3FA1" w:rsidRDefault="00B35ECC" w:rsidP="00833B2A">
      <w:pPr>
        <w:pStyle w:val="Caption"/>
        <w:spacing w:after="0"/>
      </w:pPr>
      <w:bookmarkStart w:id="84" w:name="_Ref459889134"/>
      <w:r>
        <w:t xml:space="preserve">Figure </w:t>
      </w:r>
      <w:fldSimple w:instr=" STYLEREF 6 \s ">
        <w:r w:rsidR="00673DAF">
          <w:rPr>
            <w:noProof/>
          </w:rPr>
          <w:t>F</w:t>
        </w:r>
      </w:fldSimple>
      <w:r w:rsidR="00673DAF">
        <w:noBreakHyphen/>
      </w:r>
      <w:fldSimple w:instr=" SEQ Figure \* ARABIC \s 6 ">
        <w:r w:rsidR="00673DAF">
          <w:rPr>
            <w:noProof/>
          </w:rPr>
          <w:t>5</w:t>
        </w:r>
      </w:fldSimple>
      <w:bookmarkEnd w:id="84"/>
      <w:r>
        <w:t>: Proportion of sites inundated at each ANAE ecosystem type influenced by environmental water</w:t>
      </w:r>
      <w:r w:rsidR="008E064B">
        <w:t>.</w:t>
      </w:r>
    </w:p>
    <w:p w:rsidR="00B35ECC" w:rsidRPr="00255BD8" w:rsidRDefault="00B35ECC" w:rsidP="00FB1AE6">
      <w:pPr>
        <w:pStyle w:val="Heading7"/>
      </w:pPr>
      <w:r w:rsidRPr="00255BD8">
        <w:t>Discussion</w:t>
      </w:r>
      <w:bookmarkEnd w:id="81"/>
    </w:p>
    <w:p w:rsidR="00B35ECC" w:rsidRPr="004335CD" w:rsidRDefault="00B35ECC" w:rsidP="00B35ECC">
      <w:r w:rsidRPr="004335CD">
        <w:t xml:space="preserve">The types of ecosystems monitored in this project are a reflection of the nature of the delivery of environmental water, and the indicators being assessed. </w:t>
      </w:r>
      <w:r w:rsidR="00A97349">
        <w:t xml:space="preserve"> </w:t>
      </w:r>
      <w:r w:rsidRPr="004335CD">
        <w:t>Given the emphasis on eco-hydrology links in the proj</w:t>
      </w:r>
      <w:r>
        <w:t>ect, the dominance of Riverine E</w:t>
      </w:r>
      <w:r w:rsidRPr="004335CD">
        <w:t xml:space="preserve">cosystem types is self-evident. </w:t>
      </w:r>
      <w:r w:rsidR="00A97349">
        <w:t xml:space="preserve"> </w:t>
      </w:r>
      <w:r w:rsidRPr="004335CD">
        <w:t xml:space="preserve">The large representation of sites within the Sedge/forb/grassland floodplain type is a reflection of the dominance of this type in low lying areas of the </w:t>
      </w:r>
      <w:r w:rsidR="008E064B">
        <w:t xml:space="preserve">lower </w:t>
      </w:r>
      <w:r w:rsidRPr="004335CD">
        <w:t xml:space="preserve">Gwydir and Gingham </w:t>
      </w:r>
      <w:r w:rsidR="001C3C04">
        <w:t>watercourse</w:t>
      </w:r>
      <w:r>
        <w:t xml:space="preserve"> zone</w:t>
      </w:r>
      <w:r w:rsidRPr="004335CD">
        <w:t xml:space="preserve"> that commonly form the target for environmental watering. </w:t>
      </w:r>
    </w:p>
    <w:p w:rsidR="00B35ECC" w:rsidRPr="00255BD8" w:rsidRDefault="00B35ECC" w:rsidP="009C1DAC">
      <w:pPr>
        <w:pStyle w:val="Heading7"/>
      </w:pPr>
      <w:bookmarkStart w:id="85" w:name="_Toc426839269"/>
      <w:r w:rsidRPr="009C1DAC">
        <w:t>References</w:t>
      </w:r>
      <w:bookmarkEnd w:id="85"/>
    </w:p>
    <w:p w:rsidR="00B35ECC" w:rsidRPr="004335CD" w:rsidRDefault="00B35ECC" w:rsidP="00B35ECC">
      <w:r w:rsidRPr="004335CD">
        <w:t>Brooks, S., Cottingham</w:t>
      </w:r>
      <w:r w:rsidR="004F68E6">
        <w:t xml:space="preserve">, P., Butcher, R, </w:t>
      </w:r>
      <w:r w:rsidR="009F0217">
        <w:t>&amp;</w:t>
      </w:r>
      <w:r w:rsidR="004F68E6">
        <w:t xml:space="preserve"> Hale, J. 2013.</w:t>
      </w:r>
      <w:r w:rsidRPr="004335CD">
        <w:t xml:space="preserve"> </w:t>
      </w:r>
      <w:r w:rsidRPr="004F68E6">
        <w:rPr>
          <w:i/>
        </w:rPr>
        <w:t>Murray Darling aquatic ecosystem classification: Stage 2 report.</w:t>
      </w:r>
      <w:r w:rsidRPr="004335CD">
        <w:t xml:space="preserve"> </w:t>
      </w:r>
      <w:r w:rsidR="004F68E6">
        <w:t xml:space="preserve">Prepared by </w:t>
      </w:r>
      <w:r w:rsidRPr="004335CD">
        <w:t xml:space="preserve">Peter Cottingham &amp; Associates </w:t>
      </w:r>
      <w:r w:rsidR="004F68E6">
        <w:t>for</w:t>
      </w:r>
      <w:r w:rsidRPr="004335CD">
        <w:t xml:space="preserve"> the Commonwealth Environmental Water Office and Murray</w:t>
      </w:r>
      <w:r>
        <w:t xml:space="preserve"> </w:t>
      </w:r>
      <w:r w:rsidRPr="004335CD">
        <w:t>Darling Basin Authority, Canberra.</w:t>
      </w:r>
    </w:p>
    <w:p w:rsidR="004F68E6" w:rsidRPr="003B535A" w:rsidRDefault="004F68E6" w:rsidP="004F68E6">
      <w:r>
        <w:t>Commonwealth of Australia. 2014.</w:t>
      </w:r>
      <w:r w:rsidRPr="004335CD">
        <w:t xml:space="preserve"> </w:t>
      </w:r>
      <w:r w:rsidRPr="00F51322">
        <w:rPr>
          <w:i/>
        </w:rPr>
        <w:t>Commonwealth Environmental Water Office Long Term Intervention Monitoring Project Gwydir River System Selected Area</w:t>
      </w:r>
      <w:r>
        <w:rPr>
          <w:i/>
        </w:rPr>
        <w:t>.</w:t>
      </w:r>
      <w:r>
        <w:t xml:space="preserve"> Commonwealth of Australia.</w:t>
      </w:r>
    </w:p>
    <w:p w:rsidR="00B35ECC" w:rsidRPr="004335CD" w:rsidRDefault="00B35ECC" w:rsidP="00B35ECC">
      <w:pPr>
        <w:spacing w:after="0" w:line="240" w:lineRule="auto"/>
        <w:jc w:val="left"/>
        <w:sectPr w:rsidR="00B35ECC" w:rsidRPr="004335CD" w:rsidSect="00833B2A">
          <w:headerReference w:type="default" r:id="rId110"/>
          <w:footerReference w:type="default" r:id="rId111"/>
          <w:type w:val="nextColumn"/>
          <w:pgSz w:w="11899" w:h="16838"/>
          <w:pgMar w:top="1508" w:right="1219" w:bottom="1134" w:left="1480" w:header="811" w:footer="305" w:gutter="0"/>
          <w:pgNumType w:chapStyle="6"/>
          <w:cols w:space="708"/>
          <w:docGrid w:linePitch="360"/>
        </w:sectPr>
      </w:pPr>
    </w:p>
    <w:p w:rsidR="00E809F1" w:rsidRPr="009666D2" w:rsidRDefault="00E809F1" w:rsidP="005C11E6">
      <w:pPr>
        <w:pStyle w:val="Heading6"/>
        <w:rPr>
          <w:i/>
        </w:rPr>
      </w:pPr>
      <w:bookmarkStart w:id="86" w:name="_Toc384971685"/>
      <w:bookmarkStart w:id="87" w:name="_Toc384972400"/>
      <w:bookmarkStart w:id="88" w:name="_Toc426839284"/>
      <w:bookmarkStart w:id="89" w:name="_Ref457988274"/>
      <w:r w:rsidRPr="009666D2">
        <w:t>Vegetation Diversity</w:t>
      </w:r>
      <w:bookmarkEnd w:id="86"/>
      <w:bookmarkEnd w:id="87"/>
      <w:bookmarkEnd w:id="88"/>
      <w:bookmarkEnd w:id="89"/>
      <w:r w:rsidRPr="009666D2">
        <w:t xml:space="preserve"> </w:t>
      </w:r>
    </w:p>
    <w:p w:rsidR="00E809F1" w:rsidRPr="00B235D8" w:rsidRDefault="00E809F1" w:rsidP="006E559A">
      <w:pPr>
        <w:pStyle w:val="Heading7"/>
      </w:pPr>
      <w:bookmarkStart w:id="90" w:name="_Toc426839285"/>
      <w:r w:rsidRPr="00B235D8">
        <w:t>Introduction</w:t>
      </w:r>
      <w:bookmarkEnd w:id="90"/>
    </w:p>
    <w:p w:rsidR="00E809F1" w:rsidRPr="00BD6C5B" w:rsidRDefault="00E809F1" w:rsidP="00E809F1">
      <w:r w:rsidRPr="00B235D8">
        <w:t xml:space="preserve">The </w:t>
      </w:r>
      <w:r w:rsidR="001C3C04">
        <w:t>lower</w:t>
      </w:r>
      <w:r w:rsidRPr="00B235D8">
        <w:t xml:space="preserve"> Gwydir</w:t>
      </w:r>
      <w:r w:rsidR="00E60B3A">
        <w:t xml:space="preserve"> River</w:t>
      </w:r>
      <w:r w:rsidRPr="00B235D8">
        <w:t xml:space="preserve"> and Gingham </w:t>
      </w:r>
      <w:r w:rsidR="001C3C04">
        <w:t>watercourse</w:t>
      </w:r>
      <w:r w:rsidRPr="00B235D8">
        <w:t xml:space="preserve"> support a number of water dependent vegetation communities, including flood dependent woodlands (supporting ecological vegetation communities with</w:t>
      </w:r>
      <w:r>
        <w:t xml:space="preserve"> dominant tree species such as c</w:t>
      </w:r>
      <w:r w:rsidRPr="00B235D8">
        <w:t xml:space="preserve">oolibah and </w:t>
      </w:r>
      <w:r>
        <w:t>b</w:t>
      </w:r>
      <w:r w:rsidRPr="00B235D8">
        <w:t xml:space="preserve">lack </w:t>
      </w:r>
      <w:r>
        <w:t>b</w:t>
      </w:r>
      <w:r w:rsidRPr="00B235D8">
        <w:t>ox), floodplain w</w:t>
      </w:r>
      <w:r>
        <w:t>etland communities (supporting r</w:t>
      </w:r>
      <w:r w:rsidRPr="00B235D8">
        <w:t>iver red g</w:t>
      </w:r>
      <w:r>
        <w:t>um, coolibah woodlands and r</w:t>
      </w:r>
      <w:r w:rsidRPr="00B235D8">
        <w:t>iver c</w:t>
      </w:r>
      <w:r>
        <w:t>ooba and l</w:t>
      </w:r>
      <w:r w:rsidRPr="00B235D8">
        <w:t>ignum shrubland species) and semi-permanent wetlan</w:t>
      </w:r>
      <w:r>
        <w:t>ds (supporting species such as water couch, m</w:t>
      </w:r>
      <w:r w:rsidRPr="00B235D8">
        <w:t xml:space="preserve">arsh club-rush, </w:t>
      </w:r>
      <w:r>
        <w:t>s</w:t>
      </w:r>
      <w:r w:rsidRPr="00B235D8">
        <w:t xml:space="preserve">pike rush, </w:t>
      </w:r>
      <w:r>
        <w:t>tussock rushes, sedges and c</w:t>
      </w:r>
      <w:r w:rsidRPr="00B235D8">
        <w:t xml:space="preserve">umbungi) (Bowen and Simpson 2010). </w:t>
      </w:r>
      <w:r w:rsidR="00A97349">
        <w:t xml:space="preserve"> </w:t>
      </w:r>
      <w:r w:rsidRPr="00B235D8">
        <w:t>The area occupied by these communities has declined since river regulation as a result of both restricted flows and clearing for agriculture (Wilson et al. 2009, Bowen and Simpson 2010).</w:t>
      </w:r>
      <w:r w:rsidR="00A97349">
        <w:t xml:space="preserve"> </w:t>
      </w:r>
      <w:r w:rsidRPr="00B235D8">
        <w:t xml:space="preserve">Maintaining the current extent and </w:t>
      </w:r>
      <w:r>
        <w:t xml:space="preserve">then </w:t>
      </w:r>
      <w:r w:rsidRPr="00B235D8">
        <w:t>improving and maintaining the health of these communities has become a target for environmental water management in the Gwydir catchment (Commonwea</w:t>
      </w:r>
      <w:r w:rsidR="00E60B3A">
        <w:t>lth of Australia 2014a).</w:t>
      </w:r>
      <w:r w:rsidR="00A97349">
        <w:t xml:space="preserve"> </w:t>
      </w:r>
      <w:r w:rsidR="00E60B3A">
        <w:t xml:space="preserve"> Two</w:t>
      </w:r>
      <w:r w:rsidRPr="00B235D8">
        <w:t xml:space="preserve"> specific questions were addressed through the monitoring of vegetation diversity in the </w:t>
      </w:r>
      <w:r w:rsidRPr="00BD6C5B">
        <w:t xml:space="preserve">2015-16 water year in the </w:t>
      </w:r>
      <w:r w:rsidR="001C3C04">
        <w:t>lower</w:t>
      </w:r>
      <w:r w:rsidRPr="00BD6C5B">
        <w:t xml:space="preserve"> Gwydir wetlands:</w:t>
      </w:r>
    </w:p>
    <w:p w:rsidR="00E809F1" w:rsidRPr="0063461D" w:rsidRDefault="00E809F1" w:rsidP="005E1E2E">
      <w:pPr>
        <w:pStyle w:val="Bullets1"/>
        <w:numPr>
          <w:ilvl w:val="0"/>
          <w:numId w:val="10"/>
        </w:numPr>
        <w:ind w:left="1134" w:hanging="567"/>
      </w:pPr>
      <w:r w:rsidRPr="0063461D">
        <w:t>What did Commonwealth environmental water contribute to vegetation species diversity?</w:t>
      </w:r>
    </w:p>
    <w:p w:rsidR="00E809F1" w:rsidRPr="0063461D" w:rsidRDefault="00E809F1" w:rsidP="005E1E2E">
      <w:pPr>
        <w:pStyle w:val="Bullets1"/>
        <w:numPr>
          <w:ilvl w:val="0"/>
          <w:numId w:val="10"/>
        </w:numPr>
        <w:spacing w:after="240"/>
        <w:ind w:left="1134" w:hanging="567"/>
      </w:pPr>
      <w:r w:rsidRPr="0063461D">
        <w:t>What did Commonwealth environmental water contribute to vegetation community diversity?</w:t>
      </w:r>
    </w:p>
    <w:p w:rsidR="00E809F1" w:rsidRPr="00BD6C5B" w:rsidRDefault="00E809F1" w:rsidP="006E559A">
      <w:pPr>
        <w:pStyle w:val="Heading8"/>
      </w:pPr>
      <w:r w:rsidRPr="00BD6C5B">
        <w:t>Environmental watering in 2015-16</w:t>
      </w:r>
    </w:p>
    <w:p w:rsidR="00E809F1" w:rsidRDefault="00E809F1" w:rsidP="00E809F1">
      <w:pPr>
        <w:pStyle w:val="Bullets1"/>
        <w:numPr>
          <w:ilvl w:val="0"/>
          <w:numId w:val="0"/>
        </w:numPr>
        <w:spacing w:before="240"/>
      </w:pPr>
      <w:r>
        <w:t>During 2015-16</w:t>
      </w:r>
      <w:r w:rsidR="008E064B">
        <w:t>,</w:t>
      </w:r>
      <w:r>
        <w:t xml:space="preserve"> environmental water was delivered to several of the </w:t>
      </w:r>
      <w:r w:rsidR="001C3C04">
        <w:t>lower</w:t>
      </w:r>
      <w:r>
        <w:t xml:space="preserve"> Gwydir River channels (</w:t>
      </w:r>
      <w:r w:rsidR="009273DA">
        <w:fldChar w:fldCharType="begin"/>
      </w:r>
      <w:r w:rsidR="009273DA">
        <w:instrText xml:space="preserve"> REF _Ref457987841 \r \h </w:instrText>
      </w:r>
      <w:r w:rsidR="009273DA">
        <w:fldChar w:fldCharType="separate"/>
      </w:r>
      <w:r w:rsidR="005D5925">
        <w:t>Appendix A</w:t>
      </w:r>
      <w:r w:rsidR="009273DA">
        <w:fldChar w:fldCharType="end"/>
      </w:r>
      <w:r>
        <w:t xml:space="preserve">). </w:t>
      </w:r>
      <w:r w:rsidR="00A97349">
        <w:t xml:space="preserve"> </w:t>
      </w:r>
      <w:r>
        <w:t>In November 2015, a flow event occurred down the Mehi River and supplementary water licences owned by the CEWO were triggered.</w:t>
      </w:r>
      <w:r w:rsidR="00A97349">
        <w:t xml:space="preserve"> </w:t>
      </w:r>
      <w:r>
        <w:t xml:space="preserve"> A total of 1300 ML were accounted for with 964 ML of this water flowing down the Mehi River, and 336 ML directed down Mallowa Creek.  Through January 2016, flows were delivered into the Mallowa Creek system to inundate fringing wetlands. </w:t>
      </w:r>
      <w:r w:rsidR="00A97349">
        <w:t xml:space="preserve"> </w:t>
      </w:r>
      <w:r>
        <w:t xml:space="preserve">Flows were also delivered into the </w:t>
      </w:r>
      <w:r w:rsidR="001C3C04">
        <w:t>lower</w:t>
      </w:r>
      <w:r>
        <w:t xml:space="preserve"> Gwydir River and Gingham watercourse in February 2016 to replace flows that were abstracted in a supplementary flow event.</w:t>
      </w:r>
      <w:r w:rsidR="00A97349">
        <w:t xml:space="preserve"> </w:t>
      </w:r>
      <w:r>
        <w:t xml:space="preserve"> </w:t>
      </w:r>
      <w:r w:rsidR="000A32AE">
        <w:t xml:space="preserve">Due to critically low flows experienced in the lower Gwydir system in March and April 2016, water was delivered </w:t>
      </w:r>
      <w:r w:rsidR="008E064B">
        <w:t>to</w:t>
      </w:r>
      <w:r w:rsidR="000A32AE">
        <w:t xml:space="preserve"> the lower Gwydir, Gingham, Mehi and Carole channels as part of a dry river flow action in early April. </w:t>
      </w:r>
      <w:r w:rsidR="00A97349">
        <w:t xml:space="preserve"> </w:t>
      </w:r>
      <w:r w:rsidR="000A32AE">
        <w:t>This followed a period of 30-40 days of nil flow conditions across the catchment.</w:t>
      </w:r>
      <w:r w:rsidR="00A97349">
        <w:t xml:space="preserve"> </w:t>
      </w:r>
      <w:r w:rsidR="000A32AE">
        <w:t xml:space="preserve"> </w:t>
      </w:r>
      <w:r>
        <w:t>These flows were not large in volume (</w:t>
      </w:r>
      <w:r w:rsidR="009273DA">
        <w:fldChar w:fldCharType="begin"/>
      </w:r>
      <w:r w:rsidR="009273DA">
        <w:instrText xml:space="preserve"> REF _Ref457987841 \r \h </w:instrText>
      </w:r>
      <w:r w:rsidR="009273DA">
        <w:fldChar w:fldCharType="separate"/>
      </w:r>
      <w:r w:rsidR="005D5925">
        <w:t>Appendix A</w:t>
      </w:r>
      <w:r w:rsidR="009273DA">
        <w:fldChar w:fldCharType="end"/>
      </w:r>
      <w:r>
        <w:t>), and did not inundate any sites monitored for vegetation diversity.</w:t>
      </w:r>
    </w:p>
    <w:p w:rsidR="00A066AC" w:rsidRDefault="00E809F1" w:rsidP="00E809F1">
      <w:pPr>
        <w:pStyle w:val="Bullets1"/>
        <w:numPr>
          <w:ilvl w:val="0"/>
          <w:numId w:val="0"/>
        </w:numPr>
        <w:spacing w:before="240"/>
      </w:pPr>
      <w:r>
        <w:t xml:space="preserve">In </w:t>
      </w:r>
      <w:r w:rsidRPr="00545122">
        <w:t xml:space="preserve">the Gingham and </w:t>
      </w:r>
      <w:r w:rsidR="001C3C04">
        <w:t>lower</w:t>
      </w:r>
      <w:r w:rsidRPr="00545122">
        <w:t xml:space="preserve"> Gwydir wetlands </w:t>
      </w:r>
      <w:r>
        <w:t>48% of the plots surveyed for vegetation diversity in October 2015 were inundated</w:t>
      </w:r>
      <w:r w:rsidRPr="00545122">
        <w:t xml:space="preserve"> (</w:t>
      </w:r>
      <w:r>
        <w:fldChar w:fldCharType="begin"/>
      </w:r>
      <w:r>
        <w:instrText xml:space="preserve"> REF _Ref455571875 \h </w:instrText>
      </w:r>
      <w:r>
        <w:fldChar w:fldCharType="separate"/>
      </w:r>
      <w:r w:rsidR="005D5925">
        <w:t xml:space="preserve">Table </w:t>
      </w:r>
      <w:r w:rsidR="005D5925">
        <w:rPr>
          <w:noProof/>
        </w:rPr>
        <w:t>G</w:t>
      </w:r>
      <w:r w:rsidR="005D5925">
        <w:noBreakHyphen/>
      </w:r>
      <w:r w:rsidR="005D5925">
        <w:rPr>
          <w:noProof/>
        </w:rPr>
        <w:t>1</w:t>
      </w:r>
      <w:r>
        <w:fldChar w:fldCharType="end"/>
      </w:r>
      <w:r w:rsidRPr="00545122">
        <w:t>).</w:t>
      </w:r>
      <w:r w:rsidR="00A97349">
        <w:t xml:space="preserve"> </w:t>
      </w:r>
      <w:r w:rsidRPr="00545122">
        <w:t xml:space="preserve"> </w:t>
      </w:r>
      <w:r>
        <w:t xml:space="preserve">This inundation was a result of </w:t>
      </w:r>
      <w:r w:rsidR="008E064B">
        <w:t xml:space="preserve">remnant </w:t>
      </w:r>
      <w:r w:rsidR="00947836">
        <w:t xml:space="preserve">environmental </w:t>
      </w:r>
      <w:r w:rsidR="008E064B">
        <w:t xml:space="preserve">water and </w:t>
      </w:r>
      <w:r>
        <w:t xml:space="preserve">localised rainfall earlier in the 2015-16 water year. </w:t>
      </w:r>
      <w:r w:rsidR="00A97349">
        <w:t xml:space="preserve"> </w:t>
      </w:r>
      <w:r>
        <w:t>Five of the seven plots within the Mallowa wetlands were inundated by environmental water over the summer period, and hence were classed as ‘wet’ in the analysis (</w:t>
      </w:r>
      <w:r>
        <w:fldChar w:fldCharType="begin"/>
      </w:r>
      <w:r>
        <w:instrText xml:space="preserve"> REF _Ref455571875 \h </w:instrText>
      </w:r>
      <w:r>
        <w:fldChar w:fldCharType="separate"/>
      </w:r>
      <w:r w:rsidR="005D5925">
        <w:t xml:space="preserve">Table </w:t>
      </w:r>
      <w:r w:rsidR="005D5925">
        <w:rPr>
          <w:noProof/>
        </w:rPr>
        <w:t>G</w:t>
      </w:r>
      <w:r w:rsidR="005D5925">
        <w:noBreakHyphen/>
      </w:r>
      <w:r w:rsidR="005D5925">
        <w:rPr>
          <w:noProof/>
        </w:rPr>
        <w:t>1</w:t>
      </w:r>
      <w:r>
        <w:fldChar w:fldCharType="end"/>
      </w:r>
      <w:r>
        <w:t xml:space="preserve">). </w:t>
      </w:r>
      <w:r w:rsidR="00A97349">
        <w:t xml:space="preserve"> </w:t>
      </w:r>
      <w:r>
        <w:t xml:space="preserve">All other plots were dry in </w:t>
      </w:r>
      <w:r w:rsidRPr="00545122">
        <w:t xml:space="preserve">March 2016. </w:t>
      </w:r>
      <w:r w:rsidR="00A97349">
        <w:t xml:space="preserve"> </w:t>
      </w:r>
      <w:r w:rsidRPr="00545122">
        <w:t xml:space="preserve">Of the </w:t>
      </w:r>
      <w:r w:rsidR="008E064B">
        <w:t xml:space="preserve">total </w:t>
      </w:r>
      <w:r w:rsidRPr="00545122">
        <w:t>40 plots</w:t>
      </w:r>
      <w:r w:rsidRPr="00A07A2B">
        <w:t>, all 19 (48%) that were wet in October 2015 were dry in March 2016, 5 (13%) went from dry to wet, and 16 (40%) remained dry between the two survey times.</w:t>
      </w:r>
    </w:p>
    <w:p w:rsidR="00E809F1" w:rsidRPr="00DF0550" w:rsidRDefault="00E809F1" w:rsidP="006E559A">
      <w:pPr>
        <w:pStyle w:val="Heading8"/>
      </w:pPr>
      <w:r w:rsidRPr="00DF0550">
        <w:t>Previous Monitoring</w:t>
      </w:r>
    </w:p>
    <w:p w:rsidR="00E809F1" w:rsidRDefault="00E809F1" w:rsidP="00E809F1">
      <w:r>
        <w:t>Vegetation monitoring was undertaken in the 2014-15 water year by Eco Logical Australia and OEH staff as part of the first year of the LTIM project.</w:t>
      </w:r>
    </w:p>
    <w:p w:rsidR="00E809F1" w:rsidRPr="00DF0550" w:rsidRDefault="00E809F1" w:rsidP="00E809F1">
      <w:pPr>
        <w:rPr>
          <w:highlight w:val="yellow"/>
        </w:rPr>
      </w:pPr>
      <w:r>
        <w:t xml:space="preserve">The delivery of environmental water into the Gingham and </w:t>
      </w:r>
      <w:r w:rsidR="001C3C04">
        <w:t>lower</w:t>
      </w:r>
      <w:r>
        <w:t xml:space="preserve"> Gwydir wetlands during the 2014-15 season influenced all five water dependent vegetation communities surveyed</w:t>
      </w:r>
      <w:r w:rsidR="00137C11">
        <w:t>, inundating a total of 25 vegetation plots</w:t>
      </w:r>
      <w:r>
        <w:t xml:space="preserve">. </w:t>
      </w:r>
      <w:r w:rsidR="00A97349">
        <w:t xml:space="preserve"> </w:t>
      </w:r>
      <w:r>
        <w:t xml:space="preserve">While </w:t>
      </w:r>
      <w:r w:rsidR="008E064B">
        <w:t xml:space="preserve">the </w:t>
      </w:r>
      <w:r>
        <w:t xml:space="preserve">season was shown to be an influencing factor, the presence of environmental water had the largest influence on vegetation diversity and composition. </w:t>
      </w:r>
      <w:r w:rsidR="00A97349">
        <w:t xml:space="preserve"> </w:t>
      </w:r>
      <w:r>
        <w:t xml:space="preserve">The application of environmental water decreased the amount of bare ground and increased the diversity of aquatic species. </w:t>
      </w:r>
      <w:r w:rsidR="00A97349">
        <w:t xml:space="preserve"> </w:t>
      </w:r>
      <w:r>
        <w:rPr>
          <w:rFonts w:cs="Arial"/>
          <w:szCs w:val="20"/>
          <w:lang w:eastAsia="en-AU"/>
        </w:rPr>
        <w:t>T</w:t>
      </w:r>
      <w:r>
        <w:t xml:space="preserve">here was also a significant reduction in the cover of the weed species lippia </w:t>
      </w:r>
      <w:r>
        <w:rPr>
          <w:i/>
          <w:szCs w:val="20"/>
        </w:rPr>
        <w:t xml:space="preserve">(Phyla canescens) </w:t>
      </w:r>
      <w:r>
        <w:t>in plots that became inundated by environmental water.</w:t>
      </w:r>
      <w:r w:rsidR="00A97349">
        <w:t xml:space="preserve"> </w:t>
      </w:r>
      <w:r>
        <w:t xml:space="preserve"> Native wetland species such as water couch </w:t>
      </w:r>
      <w:r w:rsidR="000E74C9">
        <w:rPr>
          <w:i/>
          <w:szCs w:val="20"/>
        </w:rPr>
        <w:t>(Paspalum distinch</w:t>
      </w:r>
      <w:r>
        <w:rPr>
          <w:i/>
          <w:szCs w:val="20"/>
        </w:rPr>
        <w:t xml:space="preserve">um) </w:t>
      </w:r>
      <w:r>
        <w:t xml:space="preserve">and flat spike-sedge </w:t>
      </w:r>
      <w:r w:rsidRPr="004335CD">
        <w:rPr>
          <w:rFonts w:cs="Arial"/>
          <w:szCs w:val="20"/>
          <w:lang w:eastAsia="en-AU"/>
        </w:rPr>
        <w:t>(</w:t>
      </w:r>
      <w:r w:rsidRPr="004335CD">
        <w:rPr>
          <w:rFonts w:cs="Arial"/>
          <w:i/>
          <w:szCs w:val="20"/>
          <w:lang w:eastAsia="en-AU"/>
        </w:rPr>
        <w:t>Eleocharis plana</w:t>
      </w:r>
      <w:r w:rsidRPr="004335CD">
        <w:rPr>
          <w:rFonts w:cs="Arial"/>
          <w:szCs w:val="20"/>
          <w:lang w:eastAsia="en-AU"/>
        </w:rPr>
        <w:t>)</w:t>
      </w:r>
      <w:r>
        <w:rPr>
          <w:rFonts w:cs="Arial"/>
          <w:szCs w:val="20"/>
          <w:lang w:eastAsia="en-AU"/>
        </w:rPr>
        <w:t xml:space="preserve"> </w:t>
      </w:r>
      <w:r>
        <w:t xml:space="preserve">displayed significantly increased cover in plots inundated by environmental water. </w:t>
      </w:r>
      <w:r w:rsidR="00A97349">
        <w:t xml:space="preserve"> </w:t>
      </w:r>
      <w:r>
        <w:t>It is likely that the increased growth of these species in inundated plots resulted in them out-competing lippia, and led to weed suppression in inundated locations.</w:t>
      </w:r>
    </w:p>
    <w:p w:rsidR="00E809F1" w:rsidRPr="00D87388" w:rsidRDefault="00E809F1" w:rsidP="006E559A">
      <w:pPr>
        <w:pStyle w:val="Heading7"/>
      </w:pPr>
      <w:bookmarkStart w:id="91" w:name="_Toc426839286"/>
      <w:r w:rsidRPr="00D87388">
        <w:t>Methods</w:t>
      </w:r>
      <w:bookmarkEnd w:id="91"/>
    </w:p>
    <w:p w:rsidR="00E809F1" w:rsidRDefault="00E809F1" w:rsidP="006E559A">
      <w:pPr>
        <w:pStyle w:val="Heading8"/>
      </w:pPr>
      <w:r>
        <w:t>2015-16 water year</w:t>
      </w:r>
    </w:p>
    <w:p w:rsidR="00E809F1" w:rsidRPr="002B0EA3" w:rsidRDefault="00E809F1" w:rsidP="00E809F1">
      <w:pPr>
        <w:rPr>
          <w:highlight w:val="yellow"/>
        </w:rPr>
      </w:pPr>
      <w:r w:rsidRPr="00D87388">
        <w:t xml:space="preserve">Monitoring throughout the </w:t>
      </w:r>
      <w:r w:rsidR="001C3C04">
        <w:t>lower</w:t>
      </w:r>
      <w:r>
        <w:t xml:space="preserve"> </w:t>
      </w:r>
      <w:r w:rsidRPr="00D87388">
        <w:t xml:space="preserve">Gwydir </w:t>
      </w:r>
      <w:r w:rsidR="008E064B">
        <w:t xml:space="preserve">wetlands </w:t>
      </w:r>
      <w:r w:rsidRPr="00D87388">
        <w:t xml:space="preserve">and Gingham </w:t>
      </w:r>
      <w:r w:rsidR="008E064B">
        <w:t>watercourse</w:t>
      </w:r>
      <w:r w:rsidRPr="00D87388">
        <w:t xml:space="preserve"> was undertaken in October 2015</w:t>
      </w:r>
      <w:r>
        <w:t xml:space="preserve"> and March 2016 in thirty-three</w:t>
      </w:r>
      <w:r w:rsidRPr="00D87388">
        <w:t xml:space="preserve"> plots at 1</w:t>
      </w:r>
      <w:r>
        <w:t>2</w:t>
      </w:r>
      <w:r w:rsidRPr="00D87388">
        <w:t xml:space="preserve"> locations</w:t>
      </w:r>
      <w:r>
        <w:t xml:space="preserve"> (</w:t>
      </w:r>
      <w:r>
        <w:fldChar w:fldCharType="begin"/>
      </w:r>
      <w:r>
        <w:instrText xml:space="preserve"> REF _Ref455571942 \h </w:instrText>
      </w:r>
      <w:r>
        <w:fldChar w:fldCharType="separate"/>
      </w:r>
      <w:r w:rsidR="005D5925">
        <w:t xml:space="preserve">Figure </w:t>
      </w:r>
      <w:r w:rsidR="005D5925">
        <w:rPr>
          <w:noProof/>
        </w:rPr>
        <w:t>G</w:t>
      </w:r>
      <w:r w:rsidR="005D5925">
        <w:noBreakHyphen/>
      </w:r>
      <w:r w:rsidR="005D5925">
        <w:rPr>
          <w:noProof/>
        </w:rPr>
        <w:t>1</w:t>
      </w:r>
      <w:r>
        <w:fldChar w:fldCharType="end"/>
      </w:r>
      <w:r>
        <w:t xml:space="preserve"> and </w:t>
      </w:r>
      <w:r>
        <w:fldChar w:fldCharType="begin"/>
      </w:r>
      <w:r>
        <w:instrText xml:space="preserve"> REF _Ref455752809 \h </w:instrText>
      </w:r>
      <w:r>
        <w:fldChar w:fldCharType="separate"/>
      </w:r>
      <w:r w:rsidR="005D5925">
        <w:t xml:space="preserve">Figure </w:t>
      </w:r>
      <w:r w:rsidR="005D5925">
        <w:rPr>
          <w:noProof/>
        </w:rPr>
        <w:t>G</w:t>
      </w:r>
      <w:r w:rsidR="005D5925">
        <w:noBreakHyphen/>
      </w:r>
      <w:r w:rsidR="005D5925">
        <w:rPr>
          <w:noProof/>
        </w:rPr>
        <w:t>2</w:t>
      </w:r>
      <w:r>
        <w:fldChar w:fldCharType="end"/>
      </w:r>
      <w:r>
        <w:t>).</w:t>
      </w:r>
      <w:r w:rsidR="00A97349">
        <w:t xml:space="preserve"> </w:t>
      </w:r>
      <w:r>
        <w:t xml:space="preserve"> </w:t>
      </w:r>
      <w:r w:rsidR="00137C11">
        <w:t>These plots were the same as sampled in 2014-15 with the addition of a coolibah woodland site</w:t>
      </w:r>
      <w:r w:rsidR="00851767">
        <w:t xml:space="preserve"> in the Gwydir wetlands which was surveyed in 2015-16</w:t>
      </w:r>
      <w:r w:rsidR="00137C11">
        <w:t xml:space="preserve"> (</w:t>
      </w:r>
      <w:r w:rsidR="00851767" w:rsidRPr="0063461D">
        <w:rPr>
          <w:rFonts w:cs="Arial"/>
          <w:szCs w:val="20"/>
          <w:lang w:eastAsia="en-AU"/>
        </w:rPr>
        <w:t>Old_Dromana_Ramsar_2_1</w:t>
      </w:r>
      <w:r w:rsidR="00851767">
        <w:rPr>
          <w:rFonts w:cs="Arial"/>
          <w:szCs w:val="20"/>
          <w:lang w:eastAsia="en-AU"/>
        </w:rPr>
        <w:t xml:space="preserve">). </w:t>
      </w:r>
      <w:r>
        <w:t>In addition, seven plots at three locations were monitored in the Mallowa wetlands during both survey periods (</w:t>
      </w:r>
      <w:r>
        <w:rPr>
          <w:highlight w:val="yellow"/>
        </w:rPr>
        <w:fldChar w:fldCharType="begin"/>
      </w:r>
      <w:r>
        <w:instrText xml:space="preserve"> REF _Ref455752826 \h </w:instrText>
      </w:r>
      <w:r>
        <w:rPr>
          <w:highlight w:val="yellow"/>
        </w:rPr>
      </w:r>
      <w:r>
        <w:rPr>
          <w:highlight w:val="yellow"/>
        </w:rPr>
        <w:fldChar w:fldCharType="separate"/>
      </w:r>
      <w:r w:rsidR="005D5925">
        <w:t xml:space="preserve">Figure </w:t>
      </w:r>
      <w:r w:rsidR="005D5925">
        <w:rPr>
          <w:noProof/>
        </w:rPr>
        <w:t>G</w:t>
      </w:r>
      <w:r w:rsidR="005D5925">
        <w:noBreakHyphen/>
      </w:r>
      <w:r w:rsidR="005D5925">
        <w:rPr>
          <w:noProof/>
        </w:rPr>
        <w:t>3</w:t>
      </w:r>
      <w:r>
        <w:rPr>
          <w:highlight w:val="yellow"/>
        </w:rPr>
        <w:fldChar w:fldCharType="end"/>
      </w:r>
      <w:r>
        <w:t>).</w:t>
      </w:r>
      <w:r w:rsidRPr="00D87388">
        <w:t xml:space="preserve"> </w:t>
      </w:r>
      <w:r w:rsidR="00A97349">
        <w:t xml:space="preserve"> </w:t>
      </w:r>
      <w:r>
        <w:t>All</w:t>
      </w:r>
      <w:r w:rsidRPr="00D87388">
        <w:t xml:space="preserve"> plots were located in </w:t>
      </w:r>
      <w:r>
        <w:t>six</w:t>
      </w:r>
      <w:r w:rsidRPr="00D87388">
        <w:t xml:space="preserve"> broad wetland vegetation communities, and experienced a range of inundation conditions </w:t>
      </w:r>
      <w:r w:rsidRPr="00C32B91">
        <w:t>(</w:t>
      </w:r>
      <w:r>
        <w:fldChar w:fldCharType="begin"/>
      </w:r>
      <w:r>
        <w:instrText xml:space="preserve"> REF _Ref455571875 \h </w:instrText>
      </w:r>
      <w:r>
        <w:fldChar w:fldCharType="separate"/>
      </w:r>
      <w:r w:rsidR="005D5925">
        <w:t xml:space="preserve">Table </w:t>
      </w:r>
      <w:r w:rsidR="005D5925">
        <w:rPr>
          <w:noProof/>
        </w:rPr>
        <w:t>G</w:t>
      </w:r>
      <w:r w:rsidR="005D5925">
        <w:noBreakHyphen/>
      </w:r>
      <w:r w:rsidR="005D5925">
        <w:rPr>
          <w:noProof/>
        </w:rPr>
        <w:t>1</w:t>
      </w:r>
      <w:r>
        <w:fldChar w:fldCharType="end"/>
      </w:r>
      <w:r w:rsidRPr="00C32B91">
        <w:t xml:space="preserve">). </w:t>
      </w:r>
      <w:r w:rsidR="00A97349">
        <w:t xml:space="preserve"> </w:t>
      </w:r>
      <w:r w:rsidRPr="00C32B91">
        <w:t>Vegetation surveys were completed in conjunction with OEH staff, following OEH data</w:t>
      </w:r>
      <w:r w:rsidRPr="00D87388">
        <w:t xml:space="preserve"> collection protocols (Commonwealth of Australia 2014b), which recorded vegetation diversity and structure within each 0.04 ha plot.</w:t>
      </w:r>
      <w:r w:rsidR="00A97349">
        <w:t xml:space="preserve"> </w:t>
      </w:r>
      <w:r w:rsidRPr="00D87388">
        <w:t xml:space="preserve"> A number of environmental variables including the degree of inundation and grazing impact were also noted.</w:t>
      </w:r>
    </w:p>
    <w:p w:rsidR="00E809F1" w:rsidRPr="007C039D" w:rsidRDefault="00E809F1" w:rsidP="00E809F1">
      <w:r w:rsidRPr="00D87388">
        <w:t xml:space="preserve">Species richness measures were analysed using a </w:t>
      </w:r>
      <w:r>
        <w:t xml:space="preserve">binomial model </w:t>
      </w:r>
      <w:r w:rsidR="008E064B">
        <w:t>that</w:t>
      </w:r>
      <w:r>
        <w:t xml:space="preserve"> estimates the proportion of species present out of the total number of species possible</w:t>
      </w:r>
      <w:r w:rsidR="00B264ED">
        <w:t xml:space="preserve"> (Venables and Ripley 2002)</w:t>
      </w:r>
      <w:r>
        <w:t xml:space="preserve">. 221 species were used as the total number possible, based on </w:t>
      </w:r>
      <w:r w:rsidR="008E064B">
        <w:t xml:space="preserve">the </w:t>
      </w:r>
      <w:r>
        <w:t xml:space="preserve">species recorded over the four </w:t>
      </w:r>
      <w:r w:rsidRPr="007D174F">
        <w:t>survey periods undertaken in the Gwydir LTIM project.</w:t>
      </w:r>
      <w:r w:rsidR="00A97349">
        <w:t xml:space="preserve"> </w:t>
      </w:r>
      <w:r w:rsidRPr="007D174F">
        <w:t xml:space="preserve"> </w:t>
      </w:r>
      <w:r>
        <w:t xml:space="preserve">This species list is consistent with monitoring undertaken in the Gwydir system in previous years. </w:t>
      </w:r>
      <w:r w:rsidRPr="007D174F">
        <w:t>Th</w:t>
      </w:r>
      <w:r>
        <w:t>e</w:t>
      </w:r>
      <w:r w:rsidRPr="007D174F">
        <w:t xml:space="preserve"> model estimated the influence of inundation, survey time (2015-16), </w:t>
      </w:r>
      <w:r w:rsidR="005B1997">
        <w:t>system (Gingham, lower Gwydir, Mallowa)</w:t>
      </w:r>
      <w:r w:rsidRPr="007D174F">
        <w:t xml:space="preserve"> and vegetation community</w:t>
      </w:r>
      <w:r>
        <w:t>.</w:t>
      </w:r>
      <w:r w:rsidR="00A97349">
        <w:t xml:space="preserve"> </w:t>
      </w:r>
      <w:r w:rsidRPr="007D174F">
        <w:t xml:space="preserve"> </w:t>
      </w:r>
      <w:r w:rsidR="00851767">
        <w:t xml:space="preserve">Plots were considered inundated if water was present at time of survey, or if inundation mapping suggested that they had been inundated between survey times.  </w:t>
      </w:r>
      <w:r w:rsidRPr="007D174F">
        <w:t>To further explain changes in diversity, individual species were grouped into the four following functional groups (Brock and Cassanova</w:t>
      </w:r>
      <w:r w:rsidRPr="007C039D">
        <w:t xml:space="preserve"> 1997; Hale et al. 2013):</w:t>
      </w:r>
    </w:p>
    <w:p w:rsidR="00E809F1" w:rsidRPr="0063461D" w:rsidRDefault="00E809F1" w:rsidP="005E1E2E">
      <w:pPr>
        <w:pStyle w:val="Bullets1"/>
        <w:numPr>
          <w:ilvl w:val="0"/>
          <w:numId w:val="10"/>
        </w:numPr>
        <w:ind w:left="1134" w:hanging="567"/>
      </w:pPr>
      <w:r w:rsidRPr="0063461D">
        <w:t>Amphibious responders (AmR) – plants which change their growth form in response to flooding and drying cycles (including morphologically plastic (ARp) and floating/stranded (ARf);</w:t>
      </w:r>
    </w:p>
    <w:p w:rsidR="00E809F1" w:rsidRPr="0063461D" w:rsidRDefault="00E809F1" w:rsidP="005E1E2E">
      <w:pPr>
        <w:pStyle w:val="Bullets1"/>
        <w:numPr>
          <w:ilvl w:val="0"/>
          <w:numId w:val="10"/>
        </w:numPr>
        <w:ind w:left="1134" w:hanging="567"/>
      </w:pPr>
      <w:r w:rsidRPr="0063461D">
        <w:t>Amphibious tolerators (AmT) – plants which tolerate flooding patterns without changing their growth form;</w:t>
      </w:r>
    </w:p>
    <w:p w:rsidR="00E809F1" w:rsidRPr="0063461D" w:rsidRDefault="00E809F1" w:rsidP="005E1E2E">
      <w:pPr>
        <w:pStyle w:val="Bullets1"/>
        <w:numPr>
          <w:ilvl w:val="0"/>
          <w:numId w:val="10"/>
        </w:numPr>
        <w:ind w:left="1134" w:hanging="567"/>
      </w:pPr>
      <w:r w:rsidRPr="0063461D">
        <w:t xml:space="preserve">Terrestrial damp plants (Tda) </w:t>
      </w:r>
      <w:r w:rsidRPr="0063461D">
        <w:rPr>
          <w:rFonts w:hint="eastAsia"/>
        </w:rPr>
        <w:t>–</w:t>
      </w:r>
      <w:r w:rsidRPr="0063461D">
        <w:t xml:space="preserve"> plants which are terrestrial species but tend to grow close to the water margin on damp soils; and</w:t>
      </w:r>
    </w:p>
    <w:p w:rsidR="00E809F1" w:rsidRPr="0063461D" w:rsidRDefault="00E809F1" w:rsidP="005E1E2E">
      <w:pPr>
        <w:pStyle w:val="Bullets1"/>
        <w:numPr>
          <w:ilvl w:val="0"/>
          <w:numId w:val="10"/>
        </w:numPr>
        <w:spacing w:after="240"/>
        <w:ind w:left="1134" w:hanging="567"/>
      </w:pPr>
      <w:r w:rsidRPr="0063461D">
        <w:t>Terrestrial dry plants (Tdr) - those which are terrestrial species which don</w:t>
      </w:r>
      <w:r w:rsidRPr="0063461D">
        <w:rPr>
          <w:rFonts w:hint="eastAsia"/>
        </w:rPr>
        <w:t>’</w:t>
      </w:r>
      <w:r w:rsidRPr="0063461D">
        <w:t>t normally grow in wetlands but may encroach into the area due to prolonged drying.</w:t>
      </w:r>
    </w:p>
    <w:p w:rsidR="00E809F1" w:rsidRPr="007C039D" w:rsidRDefault="00E809F1" w:rsidP="00E809F1">
      <w:pPr>
        <w:spacing w:before="120"/>
        <w:rPr>
          <w:lang w:eastAsia="en-AU"/>
        </w:rPr>
      </w:pPr>
      <w:r w:rsidRPr="007C039D">
        <w:t>Changes in these functional groups were then compared between survey times using F-tests to test for equality of variances and then t-tests for differences in means.</w:t>
      </w:r>
    </w:p>
    <w:p w:rsidR="00E809F1" w:rsidRDefault="00E809F1" w:rsidP="00E809F1">
      <w:pPr>
        <w:rPr>
          <w:lang w:eastAsia="en-AU"/>
        </w:rPr>
      </w:pPr>
      <w:r w:rsidRPr="007C039D">
        <w:rPr>
          <w:lang w:eastAsia="en-AU"/>
        </w:rPr>
        <w:t xml:space="preserve">Changes in vegetation cover were investigated using multivariate </w:t>
      </w:r>
      <w:r>
        <w:rPr>
          <w:lang w:eastAsia="en-AU"/>
        </w:rPr>
        <w:t>n</w:t>
      </w:r>
      <w:r w:rsidRPr="007C039D">
        <w:rPr>
          <w:lang w:eastAsia="en-AU"/>
        </w:rPr>
        <w:t xml:space="preserve">MDS plots with differences between the presence of environmental water, survey time and vegetation community assessed using PERMANOVA in Primer 6. </w:t>
      </w:r>
      <w:r w:rsidR="00A97349">
        <w:rPr>
          <w:lang w:eastAsia="en-AU"/>
        </w:rPr>
        <w:t xml:space="preserve"> </w:t>
      </w:r>
      <w:r w:rsidRPr="007C039D">
        <w:rPr>
          <w:lang w:eastAsia="en-AU"/>
        </w:rPr>
        <w:t xml:space="preserve">SIMPER analysis was used to identify species responsible for driving patterns in the data, and </w:t>
      </w:r>
      <w:r w:rsidR="008E064B" w:rsidRPr="007C039D">
        <w:rPr>
          <w:lang w:eastAsia="en-AU"/>
        </w:rPr>
        <w:t>follow</w:t>
      </w:r>
      <w:r w:rsidR="008E064B">
        <w:rPr>
          <w:lang w:eastAsia="en-AU"/>
        </w:rPr>
        <w:t>ed</w:t>
      </w:r>
      <w:r w:rsidRPr="007C039D">
        <w:rPr>
          <w:lang w:eastAsia="en-AU"/>
        </w:rPr>
        <w:t xml:space="preserve"> </w:t>
      </w:r>
      <w:r w:rsidR="008E064B">
        <w:rPr>
          <w:lang w:eastAsia="en-AU"/>
        </w:rPr>
        <w:t xml:space="preserve">by </w:t>
      </w:r>
      <w:r w:rsidRPr="007C039D">
        <w:rPr>
          <w:lang w:eastAsia="en-AU"/>
        </w:rPr>
        <w:t>descriptive univariate analysis of these species were then undertaken.</w:t>
      </w:r>
      <w:r w:rsidRPr="004335CD">
        <w:rPr>
          <w:lang w:eastAsia="en-AU"/>
        </w:rPr>
        <w:t xml:space="preserve"> </w:t>
      </w:r>
    </w:p>
    <w:p w:rsidR="00E809F1" w:rsidRPr="004335CD" w:rsidRDefault="00E809F1" w:rsidP="00E809F1">
      <w:pPr>
        <w:pStyle w:val="Heading3"/>
        <w:numPr>
          <w:ilvl w:val="0"/>
          <w:numId w:val="0"/>
        </w:numPr>
        <w:rPr>
          <w:lang w:eastAsia="en-AU"/>
        </w:rPr>
        <w:sectPr w:rsidR="00E809F1" w:rsidRPr="004335CD" w:rsidSect="004F411E">
          <w:headerReference w:type="default" r:id="rId112"/>
          <w:footerReference w:type="default" r:id="rId113"/>
          <w:type w:val="nextColumn"/>
          <w:pgSz w:w="11899" w:h="16838" w:code="9"/>
          <w:pgMar w:top="1508" w:right="1219" w:bottom="1457" w:left="1480" w:header="811" w:footer="306" w:gutter="0"/>
          <w:pgNumType w:start="1" w:chapStyle="6"/>
          <w:cols w:space="708"/>
        </w:sectPr>
      </w:pPr>
      <w:bookmarkStart w:id="92" w:name="_Ref418785109"/>
    </w:p>
    <w:p w:rsidR="00E809F1" w:rsidRDefault="004176FF" w:rsidP="00E809F1">
      <w:pPr>
        <w:keepNext/>
        <w:spacing w:line="240" w:lineRule="auto"/>
      </w:pPr>
      <w:r>
        <w:rPr>
          <w:noProof/>
          <w:lang w:eastAsia="en-AU"/>
        </w:rPr>
        <mc:AlternateContent>
          <mc:Choice Requires="wps">
            <w:drawing>
              <wp:anchor distT="0" distB="0" distL="114300" distR="114300" simplePos="0" relativeHeight="251670528" behindDoc="0" locked="0" layoutInCell="1" allowOverlap="1">
                <wp:simplePos x="0" y="0"/>
                <wp:positionH relativeFrom="column">
                  <wp:posOffset>6274435</wp:posOffset>
                </wp:positionH>
                <wp:positionV relativeFrom="paragraph">
                  <wp:posOffset>4610100</wp:posOffset>
                </wp:positionV>
                <wp:extent cx="1135380" cy="200025"/>
                <wp:effectExtent l="0" t="0" r="7620" b="952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5380" cy="200025"/>
                        </a:xfrm>
                        <a:prstGeom prst="rect">
                          <a:avLst/>
                        </a:prstGeom>
                        <a:solidFill>
                          <a:sysClr val="window" lastClr="FFFFFF"/>
                        </a:solidFill>
                        <a:ln w="6350">
                          <a:noFill/>
                        </a:ln>
                        <a:effectLst/>
                      </wps:spPr>
                      <wps:txbx>
                        <w:txbxContent>
                          <w:p w:rsidR="00EA54D5" w:rsidRPr="00CC18AA" w:rsidRDefault="00EA54D5" w:rsidP="005D07C7">
                            <w:pPr>
                              <w:rPr>
                                <w:b/>
                                <w:color w:val="595959"/>
                                <w:sz w:val="16"/>
                                <w:szCs w:val="16"/>
                              </w:rPr>
                            </w:pPr>
                            <w:r w:rsidRPr="00CC18AA">
                              <w:rPr>
                                <w:b/>
                                <w:color w:val="595959"/>
                                <w:sz w:val="16"/>
                                <w:szCs w:val="16"/>
                              </w:rPr>
                              <w:t>River and Creeks</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6" o:spid="_x0000_s1037" type="#_x0000_t202" style="position:absolute;left:0;text-align:left;margin-left:494.05pt;margin-top:363pt;width:89.4pt;height:1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" fillcolor="window" stroked="f" strokeweight=".5pt">
                <v:path arrowok="t"/>
                <v:textbox inset="1mm,0,1mm,0">
                  <w:txbxContent>
                    <w:p w:rsidR="00EA54D5" w:rsidRPr="00CC18AA" w:rsidRDefault="00EA54D5" w:rsidP="005D07C7">
                      <w:pPr>
                        <w:rPr>
                          <w:b/>
                          <w:color w:val="595959"/>
                          <w:sz w:val="16"/>
                          <w:szCs w:val="16"/>
                        </w:rPr>
                      </w:pPr>
                      <w:r w:rsidRPr="00CC18AA">
                        <w:rPr>
                          <w:b/>
                          <w:color w:val="595959"/>
                          <w:sz w:val="16"/>
                          <w:szCs w:val="16"/>
                        </w:rPr>
                        <w:t>River and Creeks</w:t>
                      </w:r>
                    </w:p>
                  </w:txbxContent>
                </v:textbox>
              </v:shape>
            </w:pict>
          </mc:Fallback>
        </mc:AlternateContent>
      </w:r>
      <w:r w:rsidRPr="008F5E11">
        <w:rPr>
          <w:noProof/>
          <w:lang w:eastAsia="en-AU"/>
        </w:rPr>
        <w:drawing>
          <wp:inline distT="0" distB="0" distL="0" distR="0">
            <wp:extent cx="7953375" cy="5591175"/>
            <wp:effectExtent l="19050" t="19050" r="28575" b="28575"/>
            <wp:docPr id="66" name="Picture 208" descr="Y:\14ARMNRM-0001 Stage 2 LTIM Gwydir\Maps\Final report maps 2015-2016\Fig D-1 Veg mon sites_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Y:\14ARMNRM-0001 Stage 2 LTIM Gwydir\Maps\Final report maps 2015-2016\Fig D-1 Veg mon sites_GING.jpg"/>
                    <pic:cNvPicPr>
                      <a:picLocks noChangeAspect="1" noChangeArrowheads="1"/>
                    </pic:cNvPicPr>
                  </pic:nvPicPr>
                  <pic:blipFill>
                    <a:blip r:embed="rId114">
                      <a:extLst>
                        <a:ext uri="{28A0092B-C50C-407E-A947-70E740481C1C}">
                          <a14:useLocalDpi xmlns:a14="http://schemas.microsoft.com/office/drawing/2010/main"/>
                        </a:ext>
                      </a:extLst>
                    </a:blip>
                    <a:srcRect/>
                    <a:stretch>
                      <a:fillRect/>
                    </a:stretch>
                  </pic:blipFill>
                  <pic:spPr bwMode="auto">
                    <a:xfrm>
                      <a:off x="0" y="0"/>
                      <a:ext cx="7953375" cy="5591175"/>
                    </a:xfrm>
                    <a:prstGeom prst="rect">
                      <a:avLst/>
                    </a:prstGeom>
                    <a:noFill/>
                    <a:ln w="9525" cmpd="sng" algn="ctr">
                      <a:solidFill>
                        <a:srgbClr val="000000"/>
                      </a:solidFill>
                      <a:miter lim="800000"/>
                      <a:headEnd/>
                      <a:tailEnd/>
                    </a:ln>
                    <a:effectLst/>
                  </pic:spPr>
                </pic:pic>
              </a:graphicData>
            </a:graphic>
          </wp:inline>
        </w:drawing>
      </w:r>
    </w:p>
    <w:p w:rsidR="00E809F1" w:rsidRDefault="00E809F1" w:rsidP="00E809F1">
      <w:pPr>
        <w:pStyle w:val="Caption"/>
      </w:pPr>
      <w:bookmarkStart w:id="93" w:name="_Ref455571942"/>
      <w:r>
        <w:t xml:space="preserve">Figure </w:t>
      </w:r>
      <w:fldSimple w:instr=" STYLEREF 6 \s ">
        <w:r w:rsidR="00673DAF">
          <w:rPr>
            <w:noProof/>
          </w:rPr>
          <w:t>G</w:t>
        </w:r>
      </w:fldSimple>
      <w:r w:rsidR="00673DAF">
        <w:noBreakHyphen/>
      </w:r>
      <w:fldSimple w:instr=" SEQ Figure \* ARABIC \s 6 ">
        <w:r w:rsidR="00673DAF">
          <w:rPr>
            <w:noProof/>
          </w:rPr>
          <w:t>1</w:t>
        </w:r>
      </w:fldSimple>
      <w:bookmarkEnd w:id="93"/>
      <w:r w:rsidRPr="00771902">
        <w:t xml:space="preserve"> </w:t>
      </w:r>
      <w:r w:rsidRPr="004335CD">
        <w:t>Location of vegetation monitoring sites</w:t>
      </w:r>
      <w:r>
        <w:t xml:space="preserve"> within the Gingham</w:t>
      </w:r>
      <w:r w:rsidR="00E60B3A">
        <w:t xml:space="preserve"> </w:t>
      </w:r>
      <w:r w:rsidR="007723C7">
        <w:t>watercourse</w:t>
      </w:r>
      <w:r>
        <w:t xml:space="preserve">. </w:t>
      </w:r>
    </w:p>
    <w:p w:rsidR="00E809F1" w:rsidRDefault="004176FF" w:rsidP="00E809F1">
      <w:pPr>
        <w:keepNext/>
        <w:spacing w:line="240" w:lineRule="auto"/>
      </w:pPr>
      <w:r>
        <w:rPr>
          <w:noProof/>
          <w:lang w:eastAsia="en-AU"/>
        </w:rPr>
        <mc:AlternateContent>
          <mc:Choice Requires="wps">
            <w:drawing>
              <wp:anchor distT="0" distB="0" distL="114300" distR="114300" simplePos="0" relativeHeight="251671552" behindDoc="0" locked="0" layoutInCell="1" allowOverlap="1">
                <wp:simplePos x="0" y="0"/>
                <wp:positionH relativeFrom="column">
                  <wp:posOffset>6310630</wp:posOffset>
                </wp:positionH>
                <wp:positionV relativeFrom="paragraph">
                  <wp:posOffset>4611370</wp:posOffset>
                </wp:positionV>
                <wp:extent cx="1135380" cy="200025"/>
                <wp:effectExtent l="0" t="0" r="7620" b="9525"/>
                <wp:wrapNone/>
                <wp:docPr id="2115" name="Text Box 2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5380" cy="200025"/>
                        </a:xfrm>
                        <a:prstGeom prst="rect">
                          <a:avLst/>
                        </a:prstGeom>
                        <a:solidFill>
                          <a:sysClr val="window" lastClr="FFFFFF"/>
                        </a:solidFill>
                        <a:ln w="6350">
                          <a:noFill/>
                        </a:ln>
                        <a:effectLst/>
                      </wps:spPr>
                      <wps:txbx>
                        <w:txbxContent>
                          <w:p w:rsidR="00EA54D5" w:rsidRPr="00CC18AA" w:rsidRDefault="00EA54D5" w:rsidP="005D07C7">
                            <w:pPr>
                              <w:rPr>
                                <w:b/>
                                <w:color w:val="595959"/>
                                <w:sz w:val="16"/>
                                <w:szCs w:val="16"/>
                              </w:rPr>
                            </w:pPr>
                            <w:r w:rsidRPr="00CC18AA">
                              <w:rPr>
                                <w:b/>
                                <w:color w:val="595959"/>
                                <w:sz w:val="16"/>
                                <w:szCs w:val="16"/>
                              </w:rPr>
                              <w:t>River and Creeks</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5" o:spid="_x0000_s1038" type="#_x0000_t202" style="position:absolute;left:0;text-align:left;margin-left:496.9pt;margin-top:363.1pt;width:89.4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" fillcolor="window" stroked="f" strokeweight=".5pt">
                <v:path arrowok="t"/>
                <v:textbox inset="1mm,0,1mm,0">
                  <w:txbxContent>
                    <w:p w:rsidR="00EA54D5" w:rsidRPr="00CC18AA" w:rsidRDefault="00EA54D5" w:rsidP="005D07C7">
                      <w:pPr>
                        <w:rPr>
                          <w:b/>
                          <w:color w:val="595959"/>
                          <w:sz w:val="16"/>
                          <w:szCs w:val="16"/>
                        </w:rPr>
                      </w:pPr>
                      <w:r w:rsidRPr="00CC18AA">
                        <w:rPr>
                          <w:b/>
                          <w:color w:val="595959"/>
                          <w:sz w:val="16"/>
                          <w:szCs w:val="16"/>
                        </w:rPr>
                        <w:t>River and Creeks</w:t>
                      </w:r>
                    </w:p>
                  </w:txbxContent>
                </v:textbox>
              </v:shape>
            </w:pict>
          </mc:Fallback>
        </mc:AlternateContent>
      </w:r>
      <w:r w:rsidRPr="008F5E11">
        <w:rPr>
          <w:noProof/>
          <w:lang w:eastAsia="en-AU"/>
        </w:rPr>
        <w:drawing>
          <wp:inline distT="0" distB="0" distL="0" distR="0">
            <wp:extent cx="7915275" cy="5572125"/>
            <wp:effectExtent l="19050" t="19050" r="28575" b="28575"/>
            <wp:docPr id="67" name="Picture 209" descr="Y:\14ARMNRM-0001 Stage 2 LTIM Gwydir\Maps\Final report maps 2015-2016\Fig D-1 Veg mon sites_G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Y:\14ARMNRM-0001 Stage 2 LTIM Gwydir\Maps\Final report maps 2015-2016\Fig D-1 Veg mon sites_GWY.jpg"/>
                    <pic:cNvPicPr>
                      <a:picLocks noChangeAspect="1" noChangeArrowheads="1"/>
                    </pic:cNvPicPr>
                  </pic:nvPicPr>
                  <pic:blipFill>
                    <a:blip r:embed="rId115">
                      <a:extLst>
                        <a:ext uri="{28A0092B-C50C-407E-A947-70E740481C1C}">
                          <a14:useLocalDpi xmlns:a14="http://schemas.microsoft.com/office/drawing/2010/main"/>
                        </a:ext>
                      </a:extLst>
                    </a:blip>
                    <a:srcRect/>
                    <a:stretch>
                      <a:fillRect/>
                    </a:stretch>
                  </pic:blipFill>
                  <pic:spPr bwMode="auto">
                    <a:xfrm>
                      <a:off x="0" y="0"/>
                      <a:ext cx="7915275" cy="5572125"/>
                    </a:xfrm>
                    <a:prstGeom prst="rect">
                      <a:avLst/>
                    </a:prstGeom>
                    <a:noFill/>
                    <a:ln w="9525" cmpd="sng">
                      <a:solidFill>
                        <a:srgbClr val="000000"/>
                      </a:solidFill>
                      <a:miter lim="800000"/>
                      <a:headEnd/>
                      <a:tailEnd/>
                    </a:ln>
                    <a:effectLst/>
                  </pic:spPr>
                </pic:pic>
              </a:graphicData>
            </a:graphic>
          </wp:inline>
        </w:drawing>
      </w:r>
    </w:p>
    <w:p w:rsidR="00E809F1" w:rsidRDefault="00E809F1" w:rsidP="00E809F1">
      <w:pPr>
        <w:pStyle w:val="Caption"/>
      </w:pPr>
      <w:bookmarkStart w:id="94" w:name="_Ref455752809"/>
      <w:r>
        <w:t xml:space="preserve">Figure </w:t>
      </w:r>
      <w:fldSimple w:instr=" STYLEREF 6 \s ">
        <w:r w:rsidR="00673DAF">
          <w:rPr>
            <w:noProof/>
          </w:rPr>
          <w:t>G</w:t>
        </w:r>
      </w:fldSimple>
      <w:r w:rsidR="00673DAF">
        <w:noBreakHyphen/>
      </w:r>
      <w:fldSimple w:instr=" SEQ Figure \* ARABIC \s 6 ">
        <w:r w:rsidR="00673DAF">
          <w:rPr>
            <w:noProof/>
          </w:rPr>
          <w:t>2</w:t>
        </w:r>
      </w:fldSimple>
      <w:bookmarkEnd w:id="94"/>
      <w:r>
        <w:t xml:space="preserve"> </w:t>
      </w:r>
      <w:r w:rsidRPr="008662D8">
        <w:t xml:space="preserve">Location of vegetation monitoring sites within the </w:t>
      </w:r>
      <w:r w:rsidR="001C3C04">
        <w:t>lower</w:t>
      </w:r>
      <w:r>
        <w:t xml:space="preserve"> Gwydir </w:t>
      </w:r>
      <w:r w:rsidR="007723C7">
        <w:t>wetlands</w:t>
      </w:r>
      <w:r w:rsidRPr="008662D8">
        <w:t>.</w:t>
      </w:r>
      <w:r w:rsidR="005D07C7" w:rsidRPr="005D07C7">
        <w:rPr>
          <w:noProof/>
          <w:lang w:eastAsia="en-AU"/>
        </w:rPr>
        <w:t xml:space="preserve"> </w:t>
      </w:r>
    </w:p>
    <w:p w:rsidR="00E809F1" w:rsidRDefault="004176FF" w:rsidP="00E809F1">
      <w:pPr>
        <w:keepNext/>
        <w:spacing w:line="240" w:lineRule="auto"/>
      </w:pPr>
      <w:r>
        <w:rPr>
          <w:noProof/>
          <w:lang w:eastAsia="en-AU"/>
        </w:rPr>
        <mc:AlternateContent>
          <mc:Choice Requires="wps">
            <w:drawing>
              <wp:anchor distT="0" distB="0" distL="114300" distR="114300" simplePos="0" relativeHeight="251672576" behindDoc="0" locked="0" layoutInCell="1" allowOverlap="1">
                <wp:simplePos x="0" y="0"/>
                <wp:positionH relativeFrom="column">
                  <wp:posOffset>6591935</wp:posOffset>
                </wp:positionH>
                <wp:positionV relativeFrom="paragraph">
                  <wp:posOffset>4564380</wp:posOffset>
                </wp:positionV>
                <wp:extent cx="1135380" cy="200025"/>
                <wp:effectExtent l="0" t="0" r="7620" b="9525"/>
                <wp:wrapNone/>
                <wp:docPr id="2117" name="Text Box 2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5380" cy="200025"/>
                        </a:xfrm>
                        <a:prstGeom prst="rect">
                          <a:avLst/>
                        </a:prstGeom>
                        <a:solidFill>
                          <a:sysClr val="window" lastClr="FFFFFF"/>
                        </a:solidFill>
                        <a:ln w="6350">
                          <a:noFill/>
                        </a:ln>
                        <a:effectLst/>
                      </wps:spPr>
                      <wps:txbx>
                        <w:txbxContent>
                          <w:p w:rsidR="00EA54D5" w:rsidRPr="00CC18AA" w:rsidRDefault="00EA54D5" w:rsidP="005D07C7">
                            <w:pPr>
                              <w:rPr>
                                <w:b/>
                                <w:color w:val="595959"/>
                                <w:sz w:val="16"/>
                                <w:szCs w:val="16"/>
                              </w:rPr>
                            </w:pPr>
                            <w:r w:rsidRPr="00CC18AA">
                              <w:rPr>
                                <w:b/>
                                <w:color w:val="595959"/>
                                <w:sz w:val="16"/>
                                <w:szCs w:val="16"/>
                              </w:rPr>
                              <w:t>River and Creeks</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7" o:spid="_x0000_s1039" type="#_x0000_t202" style="position:absolute;left:0;text-align:left;margin-left:519.05pt;margin-top:359.4pt;width:89.4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" fillcolor="window" stroked="f" strokeweight=".5pt">
                <v:path arrowok="t"/>
                <v:textbox inset="1mm,0,1mm,0">
                  <w:txbxContent>
                    <w:p w:rsidR="00EA54D5" w:rsidRPr="00CC18AA" w:rsidRDefault="00EA54D5" w:rsidP="005D07C7">
                      <w:pPr>
                        <w:rPr>
                          <w:b/>
                          <w:color w:val="595959"/>
                          <w:sz w:val="16"/>
                          <w:szCs w:val="16"/>
                        </w:rPr>
                      </w:pPr>
                      <w:r w:rsidRPr="00CC18AA">
                        <w:rPr>
                          <w:b/>
                          <w:color w:val="595959"/>
                          <w:sz w:val="16"/>
                          <w:szCs w:val="16"/>
                        </w:rPr>
                        <w:t>River and Creeks</w:t>
                      </w:r>
                    </w:p>
                  </w:txbxContent>
                </v:textbox>
              </v:shape>
            </w:pict>
          </mc:Fallback>
        </mc:AlternateContent>
      </w:r>
      <w:r w:rsidRPr="008F5E11">
        <w:rPr>
          <w:noProof/>
          <w:lang w:eastAsia="en-AU"/>
        </w:rPr>
        <w:drawing>
          <wp:inline distT="0" distB="0" distL="0" distR="0">
            <wp:extent cx="7972425" cy="5600700"/>
            <wp:effectExtent l="19050" t="19050" r="28575" b="19050"/>
            <wp:docPr id="68" name="Picture 210" descr="Y:\14ARMNRM-0001 Stage 2 LTIM Gwydir\Maps\Final report maps 2015-2016\Fig D-1 Veg mon sites_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Y:\14ARMNRM-0001 Stage 2 LTIM Gwydir\Maps\Final report maps 2015-2016\Fig D-1 Veg mon sites_MAL.jpg"/>
                    <pic:cNvPicPr>
                      <a:picLocks noChangeAspect="1" noChangeArrowheads="1"/>
                    </pic:cNvPicPr>
                  </pic:nvPicPr>
                  <pic:blipFill>
                    <a:blip r:embed="rId116">
                      <a:extLst>
                        <a:ext uri="{28A0092B-C50C-407E-A947-70E740481C1C}">
                          <a14:useLocalDpi xmlns:a14="http://schemas.microsoft.com/office/drawing/2010/main"/>
                        </a:ext>
                      </a:extLst>
                    </a:blip>
                    <a:srcRect/>
                    <a:stretch>
                      <a:fillRect/>
                    </a:stretch>
                  </pic:blipFill>
                  <pic:spPr bwMode="auto">
                    <a:xfrm>
                      <a:off x="0" y="0"/>
                      <a:ext cx="7972425" cy="5600700"/>
                    </a:xfrm>
                    <a:prstGeom prst="rect">
                      <a:avLst/>
                    </a:prstGeom>
                    <a:noFill/>
                    <a:ln w="9525" cmpd="sng">
                      <a:solidFill>
                        <a:srgbClr val="000000"/>
                      </a:solidFill>
                      <a:miter lim="800000"/>
                      <a:headEnd/>
                      <a:tailEnd/>
                    </a:ln>
                    <a:effectLst/>
                  </pic:spPr>
                </pic:pic>
              </a:graphicData>
            </a:graphic>
          </wp:inline>
        </w:drawing>
      </w:r>
    </w:p>
    <w:p w:rsidR="00E809F1" w:rsidRDefault="00E809F1" w:rsidP="00E809F1">
      <w:pPr>
        <w:pStyle w:val="Caption"/>
      </w:pPr>
      <w:bookmarkStart w:id="95" w:name="_Ref455752826"/>
      <w:r>
        <w:t xml:space="preserve">Figure </w:t>
      </w:r>
      <w:fldSimple w:instr=" STYLEREF 6 \s ">
        <w:r w:rsidR="00673DAF">
          <w:rPr>
            <w:noProof/>
          </w:rPr>
          <w:t>G</w:t>
        </w:r>
      </w:fldSimple>
      <w:r w:rsidR="00673DAF">
        <w:noBreakHyphen/>
      </w:r>
      <w:fldSimple w:instr=" SEQ Figure \* ARABIC \s 6 ">
        <w:r w:rsidR="00673DAF">
          <w:rPr>
            <w:noProof/>
          </w:rPr>
          <w:t>3</w:t>
        </w:r>
      </w:fldSimple>
      <w:bookmarkEnd w:id="95"/>
      <w:r w:rsidRPr="00AE3B91">
        <w:t xml:space="preserve"> </w:t>
      </w:r>
      <w:r w:rsidRPr="008662D8">
        <w:t xml:space="preserve">Location of vegetation monitoring sites within the </w:t>
      </w:r>
      <w:r>
        <w:t>Mallowa</w:t>
      </w:r>
      <w:r w:rsidRPr="008662D8">
        <w:t xml:space="preserve"> </w:t>
      </w:r>
      <w:r w:rsidR="007723C7">
        <w:t>wetlands</w:t>
      </w:r>
      <w:r w:rsidRPr="008662D8">
        <w:t>.</w:t>
      </w:r>
    </w:p>
    <w:p w:rsidR="006909A2" w:rsidRPr="006909A2" w:rsidRDefault="006909A2" w:rsidP="006909A2">
      <w:pPr>
        <w:sectPr w:rsidR="006909A2" w:rsidRPr="006909A2" w:rsidSect="00426200">
          <w:headerReference w:type="even" r:id="rId117"/>
          <w:headerReference w:type="default" r:id="rId118"/>
          <w:footerReference w:type="default" r:id="rId119"/>
          <w:headerReference w:type="first" r:id="rId120"/>
          <w:type w:val="nextColumn"/>
          <w:pgSz w:w="16838" w:h="11899" w:orient="landscape" w:code="9"/>
          <w:pgMar w:top="1276" w:right="1219" w:bottom="1276" w:left="1480" w:header="811" w:footer="306" w:gutter="0"/>
          <w:pgNumType w:chapStyle="6"/>
          <w:cols w:space="708"/>
          <w:docGrid w:linePitch="272"/>
        </w:sectPr>
      </w:pPr>
    </w:p>
    <w:p w:rsidR="00E809F1" w:rsidRPr="00771902" w:rsidRDefault="00E809F1" w:rsidP="00E809F1">
      <w:pPr>
        <w:pStyle w:val="Caption"/>
        <w:rPr>
          <w:rFonts w:ascii="Verdana" w:hAnsi="Verdana"/>
          <w:b w:val="0"/>
          <w:lang w:eastAsia="en-AU"/>
        </w:rPr>
      </w:pPr>
      <w:bookmarkStart w:id="96" w:name="_Ref455571875"/>
      <w:bookmarkEnd w:id="92"/>
      <w:r>
        <w:t xml:space="preserve">Table </w:t>
      </w:r>
      <w:fldSimple w:instr=" STYLEREF 6 \s ">
        <w:r w:rsidR="005D5925">
          <w:rPr>
            <w:noProof/>
          </w:rPr>
          <w:t>G</w:t>
        </w:r>
      </w:fldSimple>
      <w:r w:rsidR="005D4453">
        <w:noBreakHyphen/>
      </w:r>
      <w:fldSimple w:instr=" SEQ Table \* ARABIC \s 6 ">
        <w:r w:rsidR="005D5925">
          <w:rPr>
            <w:noProof/>
          </w:rPr>
          <w:t>1</w:t>
        </w:r>
      </w:fldSimple>
      <w:bookmarkEnd w:id="96"/>
      <w:r w:rsidRPr="00771902">
        <w:t xml:space="preserve"> </w:t>
      </w:r>
      <w:r w:rsidRPr="004335CD">
        <w:t xml:space="preserve">Sites surveyed in </w:t>
      </w:r>
      <w:r>
        <w:t>October 2015 and March 2016</w:t>
      </w:r>
      <w:r w:rsidRPr="004335CD">
        <w:t xml:space="preserve"> for vegetation diversity. Map projection GD</w:t>
      </w:r>
      <w:r w:rsidR="00E60B3A">
        <w:t>A</w:t>
      </w:r>
      <w:r w:rsidRPr="004335CD">
        <w:t>94 Zone 55</w:t>
      </w:r>
      <w:r>
        <w:t>. Sites that were inundated at the time of sampling are coloured blue (‘wet’) and those that were not are coloured yellow (‘dry’).</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784"/>
        <w:gridCol w:w="3063"/>
        <w:gridCol w:w="1119"/>
        <w:gridCol w:w="995"/>
        <w:gridCol w:w="884"/>
        <w:gridCol w:w="661"/>
        <w:gridCol w:w="694"/>
      </w:tblGrid>
      <w:tr w:rsidR="00E809F1" w:rsidRPr="0063461D" w:rsidTr="0063461D">
        <w:trPr>
          <w:trHeight w:val="255"/>
          <w:tblHeader/>
          <w:jc w:val="center"/>
        </w:trPr>
        <w:tc>
          <w:tcPr>
            <w:tcW w:w="1069" w:type="pct"/>
            <w:shd w:val="clear" w:color="auto" w:fill="D9D9D9"/>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Vegetation communities</w:t>
            </w:r>
          </w:p>
        </w:tc>
        <w:tc>
          <w:tcPr>
            <w:tcW w:w="1487" w:type="pct"/>
            <w:shd w:val="clear" w:color="auto" w:fill="D9D9D9"/>
            <w:noWrap/>
            <w:vAlign w:val="center"/>
            <w:hideMark/>
          </w:tcPr>
          <w:p w:rsidR="00E809F1" w:rsidRPr="0063461D" w:rsidRDefault="00E809F1" w:rsidP="0063461D">
            <w:pPr>
              <w:spacing w:before="60" w:after="60"/>
              <w:jc w:val="left"/>
              <w:rPr>
                <w:rFonts w:cs="Arial"/>
                <w:szCs w:val="20"/>
                <w:lang w:eastAsia="en-AU"/>
              </w:rPr>
            </w:pPr>
            <w:r w:rsidRPr="0063461D">
              <w:rPr>
                <w:rFonts w:cs="Arial"/>
                <w:szCs w:val="20"/>
                <w:lang w:eastAsia="en-AU"/>
              </w:rPr>
              <w:t>Sites</w:t>
            </w:r>
          </w:p>
        </w:tc>
        <w:tc>
          <w:tcPr>
            <w:tcW w:w="707" w:type="pct"/>
            <w:shd w:val="clear" w:color="auto" w:fill="D9D9D9"/>
            <w:vAlign w:val="center"/>
          </w:tcPr>
          <w:p w:rsidR="00E809F1" w:rsidRPr="0063461D" w:rsidRDefault="00605C43" w:rsidP="0063461D">
            <w:pPr>
              <w:spacing w:before="60" w:after="60"/>
              <w:jc w:val="left"/>
              <w:rPr>
                <w:rFonts w:cs="Arial"/>
                <w:szCs w:val="20"/>
                <w:lang w:eastAsia="en-AU"/>
              </w:rPr>
            </w:pPr>
            <w:r w:rsidRPr="0063461D">
              <w:rPr>
                <w:rFonts w:cs="Arial"/>
                <w:szCs w:val="20"/>
                <w:lang w:eastAsia="en-AU"/>
              </w:rPr>
              <w:t>System</w:t>
            </w:r>
          </w:p>
        </w:tc>
        <w:tc>
          <w:tcPr>
            <w:tcW w:w="532" w:type="pct"/>
            <w:shd w:val="clear" w:color="auto" w:fill="D9D9D9"/>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Northing</w:t>
            </w:r>
          </w:p>
        </w:tc>
        <w:tc>
          <w:tcPr>
            <w:tcW w:w="456" w:type="pct"/>
            <w:shd w:val="clear" w:color="auto" w:fill="D9D9D9"/>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Easting</w:t>
            </w:r>
          </w:p>
        </w:tc>
        <w:tc>
          <w:tcPr>
            <w:tcW w:w="379" w:type="pct"/>
            <w:shd w:val="clear" w:color="auto" w:fill="D9D9D9"/>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2015</w:t>
            </w:r>
            <w:r w:rsidR="00426200">
              <w:rPr>
                <w:rFonts w:cs="Arial"/>
                <w:szCs w:val="20"/>
                <w:lang w:eastAsia="en-AU"/>
              </w:rPr>
              <w:t xml:space="preserve"> </w:t>
            </w:r>
            <w:r w:rsidRPr="0063461D">
              <w:rPr>
                <w:rFonts w:cs="Arial"/>
                <w:szCs w:val="20"/>
                <w:lang w:eastAsia="en-AU"/>
              </w:rPr>
              <w:t>(Oct)</w:t>
            </w:r>
          </w:p>
        </w:tc>
        <w:tc>
          <w:tcPr>
            <w:tcW w:w="370" w:type="pct"/>
            <w:shd w:val="clear" w:color="auto" w:fill="D9D9D9"/>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2016</w:t>
            </w:r>
            <w:r w:rsidR="00426200">
              <w:rPr>
                <w:rFonts w:cs="Arial"/>
                <w:szCs w:val="20"/>
                <w:lang w:eastAsia="en-AU"/>
              </w:rPr>
              <w:t xml:space="preserve"> </w:t>
            </w:r>
            <w:r w:rsidRPr="0063461D">
              <w:rPr>
                <w:rFonts w:cs="Arial"/>
                <w:szCs w:val="20"/>
                <w:lang w:eastAsia="en-AU"/>
              </w:rPr>
              <w:t>(Mar)</w:t>
            </w:r>
          </w:p>
        </w:tc>
      </w:tr>
      <w:tr w:rsidR="00E809F1" w:rsidRPr="0063461D" w:rsidTr="0063461D">
        <w:trPr>
          <w:trHeight w:val="300"/>
          <w:jc w:val="center"/>
        </w:trPr>
        <w:tc>
          <w:tcPr>
            <w:tcW w:w="1069" w:type="pct"/>
            <w:vAlign w:val="center"/>
          </w:tcPr>
          <w:p w:rsidR="00E809F1" w:rsidRPr="0063461D" w:rsidRDefault="00E809F1" w:rsidP="0063461D">
            <w:pPr>
              <w:spacing w:before="60" w:after="60"/>
              <w:jc w:val="left"/>
              <w:rPr>
                <w:rFonts w:cs="Arial"/>
                <w:szCs w:val="20"/>
              </w:rPr>
            </w:pPr>
            <w:r w:rsidRPr="0063461D">
              <w:rPr>
                <w:rFonts w:cs="Arial"/>
                <w:szCs w:val="20"/>
              </w:rPr>
              <w:t>Coolibah - river cooba - lignum</w:t>
            </w:r>
          </w:p>
        </w:tc>
        <w:tc>
          <w:tcPr>
            <w:tcW w:w="1487" w:type="pct"/>
            <w:shd w:val="clear" w:color="auto" w:fill="auto"/>
            <w:noWrap/>
            <w:vAlign w:val="center"/>
          </w:tcPr>
          <w:p w:rsidR="00E809F1" w:rsidRPr="0063461D" w:rsidRDefault="00E809F1" w:rsidP="0063461D">
            <w:pPr>
              <w:spacing w:before="60" w:after="60"/>
              <w:jc w:val="left"/>
              <w:rPr>
                <w:rFonts w:cs="Arial"/>
                <w:szCs w:val="20"/>
              </w:rPr>
            </w:pPr>
            <w:r w:rsidRPr="0063461D">
              <w:rPr>
                <w:rFonts w:cs="Arial"/>
                <w:szCs w:val="20"/>
              </w:rPr>
              <w:t>Bungunya_1_1</w:t>
            </w:r>
          </w:p>
        </w:tc>
        <w:tc>
          <w:tcPr>
            <w:tcW w:w="707" w:type="pct"/>
            <w:vAlign w:val="center"/>
          </w:tcPr>
          <w:p w:rsidR="00E809F1" w:rsidRPr="0063461D" w:rsidRDefault="00E809F1" w:rsidP="0063461D">
            <w:pPr>
              <w:spacing w:before="60" w:after="60"/>
              <w:jc w:val="left"/>
              <w:rPr>
                <w:rFonts w:cs="Arial"/>
                <w:szCs w:val="20"/>
              </w:rPr>
            </w:pPr>
            <w:r w:rsidRPr="0063461D">
              <w:rPr>
                <w:rFonts w:cs="Arial"/>
                <w:szCs w:val="20"/>
              </w:rPr>
              <w:t xml:space="preserve">Mallowa </w:t>
            </w:r>
          </w:p>
        </w:tc>
        <w:tc>
          <w:tcPr>
            <w:tcW w:w="532" w:type="pct"/>
            <w:vAlign w:val="center"/>
          </w:tcPr>
          <w:p w:rsidR="00E809F1" w:rsidRPr="0063461D" w:rsidRDefault="00E809F1" w:rsidP="0063461D">
            <w:pPr>
              <w:spacing w:before="60" w:after="60"/>
              <w:jc w:val="left"/>
              <w:rPr>
                <w:rFonts w:cs="Arial"/>
                <w:szCs w:val="20"/>
              </w:rPr>
            </w:pPr>
            <w:r w:rsidRPr="0063461D">
              <w:rPr>
                <w:rFonts w:cs="Arial"/>
                <w:szCs w:val="20"/>
              </w:rPr>
              <w:t>6723793</w:t>
            </w:r>
          </w:p>
        </w:tc>
        <w:tc>
          <w:tcPr>
            <w:tcW w:w="456" w:type="pct"/>
            <w:vAlign w:val="center"/>
          </w:tcPr>
          <w:p w:rsidR="00E809F1" w:rsidRPr="0063461D" w:rsidRDefault="00E809F1" w:rsidP="0063461D">
            <w:pPr>
              <w:spacing w:before="60" w:after="60"/>
              <w:jc w:val="left"/>
              <w:rPr>
                <w:rFonts w:cs="Arial"/>
                <w:szCs w:val="20"/>
              </w:rPr>
            </w:pPr>
            <w:r w:rsidRPr="0063461D">
              <w:rPr>
                <w:rFonts w:cs="Arial"/>
                <w:szCs w:val="20"/>
              </w:rPr>
              <w:t>709823</w:t>
            </w:r>
          </w:p>
        </w:tc>
        <w:tc>
          <w:tcPr>
            <w:tcW w:w="379" w:type="pct"/>
            <w:shd w:val="clear" w:color="auto" w:fill="FFFF00"/>
            <w:vAlign w:val="center"/>
          </w:tcPr>
          <w:p w:rsidR="00E809F1" w:rsidRPr="0063461D" w:rsidRDefault="00E809F1" w:rsidP="0063461D">
            <w:pPr>
              <w:spacing w:before="60" w:after="60"/>
              <w:jc w:val="left"/>
              <w:rPr>
                <w:rFonts w:cs="Arial"/>
                <w:szCs w:val="20"/>
              </w:rPr>
            </w:pPr>
            <w:r w:rsidRPr="0063461D">
              <w:rPr>
                <w:rFonts w:cs="Arial"/>
                <w:szCs w:val="20"/>
              </w:rPr>
              <w:t>Dry</w:t>
            </w:r>
          </w:p>
        </w:tc>
        <w:tc>
          <w:tcPr>
            <w:tcW w:w="370" w:type="pct"/>
            <w:shd w:val="clear" w:color="auto" w:fill="FFFF00"/>
            <w:vAlign w:val="center"/>
          </w:tcPr>
          <w:p w:rsidR="00E809F1" w:rsidRPr="0063461D" w:rsidRDefault="00E809F1" w:rsidP="0063461D">
            <w:pPr>
              <w:spacing w:before="60" w:after="60"/>
              <w:jc w:val="left"/>
              <w:rPr>
                <w:rFonts w:cs="Arial"/>
                <w:szCs w:val="20"/>
              </w:rPr>
            </w:pPr>
            <w:r w:rsidRPr="0063461D">
              <w:rPr>
                <w:rFonts w:cs="Arial"/>
                <w:szCs w:val="20"/>
              </w:rPr>
              <w:t>Dry</w:t>
            </w:r>
          </w:p>
        </w:tc>
      </w:tr>
      <w:tr w:rsidR="00E809F1" w:rsidRPr="0063461D" w:rsidTr="0063461D">
        <w:trPr>
          <w:trHeight w:val="300"/>
          <w:jc w:val="center"/>
        </w:trPr>
        <w:tc>
          <w:tcPr>
            <w:tcW w:w="1069" w:type="pct"/>
            <w:vAlign w:val="center"/>
          </w:tcPr>
          <w:p w:rsidR="00E809F1" w:rsidRPr="0063461D" w:rsidRDefault="00E809F1" w:rsidP="0063461D">
            <w:pPr>
              <w:spacing w:before="60" w:after="60"/>
              <w:jc w:val="left"/>
              <w:rPr>
                <w:rFonts w:cs="Arial"/>
                <w:szCs w:val="20"/>
              </w:rPr>
            </w:pPr>
            <w:r w:rsidRPr="0063461D">
              <w:rPr>
                <w:rFonts w:cs="Arial"/>
                <w:szCs w:val="20"/>
              </w:rPr>
              <w:t>Coolibah - river cooba - lignum</w:t>
            </w:r>
          </w:p>
        </w:tc>
        <w:tc>
          <w:tcPr>
            <w:tcW w:w="1487" w:type="pct"/>
            <w:shd w:val="clear" w:color="auto" w:fill="auto"/>
            <w:noWrap/>
            <w:vAlign w:val="center"/>
          </w:tcPr>
          <w:p w:rsidR="00E809F1" w:rsidRPr="0063461D" w:rsidRDefault="00E809F1" w:rsidP="0063461D">
            <w:pPr>
              <w:spacing w:before="60" w:after="60"/>
              <w:jc w:val="left"/>
              <w:rPr>
                <w:rFonts w:cs="Arial"/>
                <w:szCs w:val="20"/>
              </w:rPr>
            </w:pPr>
            <w:r w:rsidRPr="0063461D">
              <w:rPr>
                <w:rFonts w:cs="Arial"/>
                <w:szCs w:val="20"/>
              </w:rPr>
              <w:t>Bungunya_1_2</w:t>
            </w:r>
          </w:p>
        </w:tc>
        <w:tc>
          <w:tcPr>
            <w:tcW w:w="707" w:type="pct"/>
            <w:vAlign w:val="center"/>
          </w:tcPr>
          <w:p w:rsidR="00E809F1" w:rsidRPr="0063461D" w:rsidRDefault="00E809F1" w:rsidP="0063461D">
            <w:pPr>
              <w:spacing w:before="60" w:after="60"/>
              <w:jc w:val="left"/>
              <w:rPr>
                <w:rFonts w:cs="Arial"/>
                <w:szCs w:val="20"/>
              </w:rPr>
            </w:pPr>
            <w:r w:rsidRPr="0063461D">
              <w:rPr>
                <w:rFonts w:cs="Arial"/>
                <w:szCs w:val="20"/>
              </w:rPr>
              <w:t>Mallowa</w:t>
            </w:r>
          </w:p>
        </w:tc>
        <w:tc>
          <w:tcPr>
            <w:tcW w:w="532" w:type="pct"/>
            <w:vAlign w:val="center"/>
          </w:tcPr>
          <w:p w:rsidR="00E809F1" w:rsidRPr="0063461D" w:rsidRDefault="00E809F1" w:rsidP="0063461D">
            <w:pPr>
              <w:spacing w:before="60" w:after="60"/>
              <w:jc w:val="left"/>
              <w:rPr>
                <w:rFonts w:cs="Arial"/>
                <w:szCs w:val="20"/>
              </w:rPr>
            </w:pPr>
            <w:r w:rsidRPr="0063461D">
              <w:rPr>
                <w:rFonts w:cs="Arial"/>
                <w:szCs w:val="20"/>
              </w:rPr>
              <w:t>6723336</w:t>
            </w:r>
          </w:p>
        </w:tc>
        <w:tc>
          <w:tcPr>
            <w:tcW w:w="456" w:type="pct"/>
            <w:vAlign w:val="center"/>
          </w:tcPr>
          <w:p w:rsidR="00E809F1" w:rsidRPr="0063461D" w:rsidRDefault="00E809F1" w:rsidP="0063461D">
            <w:pPr>
              <w:spacing w:before="60" w:after="60"/>
              <w:jc w:val="left"/>
              <w:rPr>
                <w:rFonts w:cs="Arial"/>
                <w:szCs w:val="20"/>
              </w:rPr>
            </w:pPr>
            <w:r w:rsidRPr="0063461D">
              <w:rPr>
                <w:rFonts w:cs="Arial"/>
                <w:szCs w:val="20"/>
              </w:rPr>
              <w:t>710098</w:t>
            </w:r>
          </w:p>
        </w:tc>
        <w:tc>
          <w:tcPr>
            <w:tcW w:w="379" w:type="pct"/>
            <w:shd w:val="clear" w:color="auto" w:fill="FFFF00"/>
            <w:vAlign w:val="center"/>
          </w:tcPr>
          <w:p w:rsidR="00E809F1" w:rsidRPr="0063461D" w:rsidRDefault="00E809F1" w:rsidP="0063461D">
            <w:pPr>
              <w:spacing w:before="60" w:after="60"/>
              <w:jc w:val="left"/>
              <w:rPr>
                <w:rFonts w:cs="Arial"/>
                <w:szCs w:val="20"/>
              </w:rPr>
            </w:pPr>
            <w:r w:rsidRPr="0063461D">
              <w:rPr>
                <w:rFonts w:cs="Arial"/>
                <w:szCs w:val="20"/>
              </w:rPr>
              <w:t>Dry</w:t>
            </w:r>
          </w:p>
        </w:tc>
        <w:tc>
          <w:tcPr>
            <w:tcW w:w="370" w:type="pct"/>
            <w:shd w:val="clear" w:color="auto" w:fill="FFFF00"/>
            <w:vAlign w:val="center"/>
          </w:tcPr>
          <w:p w:rsidR="00E809F1" w:rsidRPr="0063461D" w:rsidRDefault="00E809F1" w:rsidP="0063461D">
            <w:pPr>
              <w:spacing w:before="60" w:after="60"/>
              <w:jc w:val="left"/>
              <w:rPr>
                <w:rFonts w:cs="Arial"/>
                <w:szCs w:val="20"/>
              </w:rPr>
            </w:pPr>
            <w:r w:rsidRPr="0063461D">
              <w:rPr>
                <w:rFonts w:cs="Arial"/>
                <w:szCs w:val="20"/>
              </w:rPr>
              <w:t>Dry</w:t>
            </w:r>
          </w:p>
        </w:tc>
      </w:tr>
      <w:tr w:rsidR="00E809F1" w:rsidRPr="0063461D" w:rsidTr="00CC18AA">
        <w:trPr>
          <w:trHeight w:val="300"/>
          <w:jc w:val="center"/>
        </w:trPr>
        <w:tc>
          <w:tcPr>
            <w:tcW w:w="1069" w:type="pct"/>
            <w:vAlign w:val="center"/>
          </w:tcPr>
          <w:p w:rsidR="00E809F1" w:rsidRPr="0063461D" w:rsidRDefault="00E809F1" w:rsidP="0063461D">
            <w:pPr>
              <w:spacing w:before="60" w:after="60"/>
              <w:jc w:val="left"/>
              <w:rPr>
                <w:rFonts w:cs="Arial"/>
                <w:szCs w:val="20"/>
              </w:rPr>
            </w:pPr>
            <w:r w:rsidRPr="0063461D">
              <w:rPr>
                <w:rFonts w:cs="Arial"/>
                <w:szCs w:val="20"/>
              </w:rPr>
              <w:t>Water couch marsh grassland</w:t>
            </w:r>
          </w:p>
        </w:tc>
        <w:tc>
          <w:tcPr>
            <w:tcW w:w="1487" w:type="pct"/>
            <w:shd w:val="clear" w:color="auto" w:fill="auto"/>
            <w:noWrap/>
            <w:vAlign w:val="center"/>
            <w:hideMark/>
          </w:tcPr>
          <w:p w:rsidR="00E809F1" w:rsidRPr="0063461D" w:rsidRDefault="00E809F1" w:rsidP="0063461D">
            <w:pPr>
              <w:spacing w:before="60" w:after="60"/>
              <w:jc w:val="left"/>
              <w:rPr>
                <w:rFonts w:cs="Arial"/>
                <w:szCs w:val="20"/>
              </w:rPr>
            </w:pPr>
            <w:r w:rsidRPr="0063461D">
              <w:rPr>
                <w:rFonts w:cs="Arial"/>
                <w:szCs w:val="20"/>
              </w:rPr>
              <w:t>Bunnor_1_1</w:t>
            </w:r>
          </w:p>
        </w:tc>
        <w:tc>
          <w:tcPr>
            <w:tcW w:w="707" w:type="pct"/>
            <w:vAlign w:val="center"/>
          </w:tcPr>
          <w:p w:rsidR="00E809F1" w:rsidRPr="0063461D" w:rsidRDefault="00E809F1" w:rsidP="0063461D">
            <w:pPr>
              <w:spacing w:before="60" w:after="60"/>
              <w:jc w:val="left"/>
              <w:rPr>
                <w:rFonts w:cs="Arial"/>
                <w:color w:val="000000"/>
                <w:szCs w:val="20"/>
                <w:lang w:eastAsia="en-AU"/>
              </w:rPr>
            </w:pPr>
            <w:r w:rsidRPr="0063461D">
              <w:rPr>
                <w:rFonts w:cs="Arial"/>
                <w:color w:val="000000"/>
                <w:szCs w:val="20"/>
              </w:rPr>
              <w:t>Gingham</w:t>
            </w:r>
          </w:p>
        </w:tc>
        <w:tc>
          <w:tcPr>
            <w:tcW w:w="532" w:type="pct"/>
            <w:vAlign w:val="center"/>
          </w:tcPr>
          <w:p w:rsidR="00E809F1" w:rsidRPr="0063461D" w:rsidRDefault="00E809F1" w:rsidP="0063461D">
            <w:pPr>
              <w:spacing w:before="60" w:after="60"/>
              <w:jc w:val="left"/>
              <w:rPr>
                <w:rFonts w:cs="Arial"/>
                <w:szCs w:val="20"/>
              </w:rPr>
            </w:pPr>
            <w:r w:rsidRPr="0063461D">
              <w:rPr>
                <w:rFonts w:cs="Arial"/>
                <w:szCs w:val="20"/>
              </w:rPr>
              <w:t>6760771</w:t>
            </w:r>
          </w:p>
        </w:tc>
        <w:tc>
          <w:tcPr>
            <w:tcW w:w="456" w:type="pct"/>
            <w:vAlign w:val="center"/>
          </w:tcPr>
          <w:p w:rsidR="00E809F1" w:rsidRPr="0063461D" w:rsidRDefault="00E809F1" w:rsidP="0063461D">
            <w:pPr>
              <w:spacing w:before="60" w:after="60"/>
              <w:jc w:val="left"/>
              <w:rPr>
                <w:rFonts w:cs="Arial"/>
                <w:szCs w:val="20"/>
              </w:rPr>
            </w:pPr>
            <w:r w:rsidRPr="0063461D">
              <w:rPr>
                <w:rFonts w:cs="Arial"/>
                <w:szCs w:val="20"/>
              </w:rPr>
              <w:t>728826</w:t>
            </w:r>
          </w:p>
        </w:tc>
        <w:tc>
          <w:tcPr>
            <w:tcW w:w="379" w:type="pct"/>
            <w:shd w:val="clear" w:color="auto" w:fill="8DB3E2"/>
            <w:vAlign w:val="center"/>
          </w:tcPr>
          <w:p w:rsidR="00E809F1" w:rsidRPr="0063461D" w:rsidRDefault="00E809F1" w:rsidP="0063461D">
            <w:pPr>
              <w:spacing w:before="60" w:after="60"/>
              <w:jc w:val="left"/>
              <w:rPr>
                <w:rFonts w:cs="Arial"/>
                <w:szCs w:val="20"/>
              </w:rPr>
            </w:pPr>
            <w:r w:rsidRPr="0063461D">
              <w:rPr>
                <w:rFonts w:cs="Arial"/>
                <w:szCs w:val="20"/>
              </w:rPr>
              <w:t>Wet</w:t>
            </w:r>
          </w:p>
        </w:tc>
        <w:tc>
          <w:tcPr>
            <w:tcW w:w="370" w:type="pct"/>
            <w:shd w:val="clear" w:color="auto" w:fill="FFFF00"/>
            <w:vAlign w:val="center"/>
          </w:tcPr>
          <w:p w:rsidR="00E809F1" w:rsidRPr="0063461D" w:rsidRDefault="00E809F1" w:rsidP="0063461D">
            <w:pPr>
              <w:spacing w:before="60" w:after="60"/>
              <w:jc w:val="left"/>
              <w:rPr>
                <w:rFonts w:cs="Arial"/>
                <w:szCs w:val="20"/>
              </w:rPr>
            </w:pPr>
            <w:r w:rsidRPr="0063461D">
              <w:rPr>
                <w:rFonts w:cs="Arial"/>
                <w:szCs w:val="20"/>
              </w:rPr>
              <w:t>Dry</w:t>
            </w:r>
          </w:p>
        </w:tc>
      </w:tr>
      <w:tr w:rsidR="00E809F1" w:rsidRPr="0063461D" w:rsidTr="00CC18AA">
        <w:trPr>
          <w:trHeight w:val="300"/>
          <w:jc w:val="center"/>
        </w:trPr>
        <w:tc>
          <w:tcPr>
            <w:tcW w:w="1069" w:type="pct"/>
            <w:vAlign w:val="center"/>
          </w:tcPr>
          <w:p w:rsidR="00E809F1" w:rsidRPr="0063461D" w:rsidRDefault="00E809F1" w:rsidP="0063461D">
            <w:pPr>
              <w:spacing w:before="60" w:after="60"/>
              <w:jc w:val="left"/>
              <w:rPr>
                <w:rFonts w:cs="Arial"/>
                <w:szCs w:val="20"/>
              </w:rPr>
            </w:pPr>
            <w:r w:rsidRPr="0063461D">
              <w:rPr>
                <w:rFonts w:cs="Arial"/>
                <w:szCs w:val="20"/>
              </w:rPr>
              <w:t>Water couch marsh grassland</w:t>
            </w:r>
          </w:p>
        </w:tc>
        <w:tc>
          <w:tcPr>
            <w:tcW w:w="1487" w:type="pct"/>
            <w:shd w:val="clear" w:color="auto" w:fill="auto"/>
            <w:noWrap/>
            <w:vAlign w:val="center"/>
            <w:hideMark/>
          </w:tcPr>
          <w:p w:rsidR="00E809F1" w:rsidRPr="0063461D" w:rsidRDefault="00E809F1" w:rsidP="0063461D">
            <w:pPr>
              <w:spacing w:before="60" w:after="60"/>
              <w:jc w:val="left"/>
              <w:rPr>
                <w:rFonts w:cs="Arial"/>
                <w:szCs w:val="20"/>
              </w:rPr>
            </w:pPr>
            <w:r w:rsidRPr="0063461D">
              <w:rPr>
                <w:rFonts w:cs="Arial"/>
                <w:szCs w:val="20"/>
              </w:rPr>
              <w:t>Bunnor_1_2</w:t>
            </w:r>
          </w:p>
        </w:tc>
        <w:tc>
          <w:tcPr>
            <w:tcW w:w="707" w:type="pct"/>
            <w:vAlign w:val="center"/>
          </w:tcPr>
          <w:p w:rsidR="00E809F1" w:rsidRPr="0063461D" w:rsidRDefault="00E809F1" w:rsidP="0063461D">
            <w:pPr>
              <w:spacing w:before="60" w:after="60"/>
              <w:jc w:val="left"/>
              <w:rPr>
                <w:rFonts w:cs="Arial"/>
                <w:color w:val="000000"/>
                <w:szCs w:val="20"/>
                <w:lang w:eastAsia="en-AU"/>
              </w:rPr>
            </w:pPr>
            <w:r w:rsidRPr="0063461D">
              <w:rPr>
                <w:rFonts w:cs="Arial"/>
                <w:color w:val="000000"/>
                <w:szCs w:val="20"/>
              </w:rPr>
              <w:t>Gingham</w:t>
            </w:r>
          </w:p>
        </w:tc>
        <w:tc>
          <w:tcPr>
            <w:tcW w:w="532" w:type="pct"/>
            <w:vAlign w:val="center"/>
          </w:tcPr>
          <w:p w:rsidR="00E809F1" w:rsidRPr="0063461D" w:rsidRDefault="00E809F1" w:rsidP="0063461D">
            <w:pPr>
              <w:spacing w:before="60" w:after="60"/>
              <w:jc w:val="left"/>
              <w:rPr>
                <w:rFonts w:cs="Arial"/>
                <w:szCs w:val="20"/>
              </w:rPr>
            </w:pPr>
            <w:r w:rsidRPr="0063461D">
              <w:rPr>
                <w:rFonts w:cs="Arial"/>
                <w:szCs w:val="20"/>
              </w:rPr>
              <w:t>6760658</w:t>
            </w:r>
          </w:p>
        </w:tc>
        <w:tc>
          <w:tcPr>
            <w:tcW w:w="456" w:type="pct"/>
            <w:vAlign w:val="center"/>
          </w:tcPr>
          <w:p w:rsidR="00E809F1" w:rsidRPr="0063461D" w:rsidRDefault="00E809F1" w:rsidP="0063461D">
            <w:pPr>
              <w:spacing w:before="60" w:after="60"/>
              <w:jc w:val="left"/>
              <w:rPr>
                <w:rFonts w:cs="Arial"/>
                <w:szCs w:val="20"/>
              </w:rPr>
            </w:pPr>
            <w:r w:rsidRPr="0063461D">
              <w:rPr>
                <w:rFonts w:cs="Arial"/>
                <w:szCs w:val="20"/>
              </w:rPr>
              <w:t>728917</w:t>
            </w:r>
          </w:p>
        </w:tc>
        <w:tc>
          <w:tcPr>
            <w:tcW w:w="379" w:type="pct"/>
            <w:shd w:val="clear" w:color="auto" w:fill="8DB3E2"/>
            <w:vAlign w:val="center"/>
          </w:tcPr>
          <w:p w:rsidR="00E809F1" w:rsidRPr="0063461D" w:rsidRDefault="00E809F1" w:rsidP="0063461D">
            <w:pPr>
              <w:spacing w:before="60" w:after="60"/>
              <w:jc w:val="left"/>
              <w:rPr>
                <w:rFonts w:cs="Arial"/>
                <w:szCs w:val="20"/>
              </w:rPr>
            </w:pPr>
            <w:r w:rsidRPr="0063461D">
              <w:rPr>
                <w:rFonts w:cs="Arial"/>
                <w:szCs w:val="20"/>
              </w:rPr>
              <w:t>Wet</w:t>
            </w:r>
          </w:p>
        </w:tc>
        <w:tc>
          <w:tcPr>
            <w:tcW w:w="370" w:type="pct"/>
            <w:shd w:val="clear" w:color="auto" w:fill="FFFF00"/>
            <w:vAlign w:val="center"/>
          </w:tcPr>
          <w:p w:rsidR="00E809F1" w:rsidRPr="0063461D" w:rsidRDefault="00E809F1" w:rsidP="0063461D">
            <w:pPr>
              <w:spacing w:before="60" w:after="60"/>
              <w:jc w:val="left"/>
              <w:rPr>
                <w:rFonts w:cs="Arial"/>
                <w:szCs w:val="20"/>
              </w:rPr>
            </w:pPr>
            <w:r w:rsidRPr="0063461D">
              <w:rPr>
                <w:rFonts w:cs="Arial"/>
                <w:szCs w:val="20"/>
              </w:rPr>
              <w:t>Dry</w:t>
            </w:r>
          </w:p>
        </w:tc>
      </w:tr>
      <w:tr w:rsidR="00E809F1" w:rsidRPr="0063461D" w:rsidTr="00CC18AA">
        <w:trPr>
          <w:trHeight w:val="300"/>
          <w:jc w:val="center"/>
        </w:trPr>
        <w:tc>
          <w:tcPr>
            <w:tcW w:w="1069" w:type="pct"/>
            <w:vAlign w:val="center"/>
          </w:tcPr>
          <w:p w:rsidR="00E809F1" w:rsidRPr="0063461D" w:rsidRDefault="00E809F1" w:rsidP="0063461D">
            <w:pPr>
              <w:spacing w:before="60" w:after="60"/>
              <w:jc w:val="left"/>
              <w:rPr>
                <w:rFonts w:cs="Arial"/>
                <w:szCs w:val="20"/>
              </w:rPr>
            </w:pPr>
            <w:r w:rsidRPr="0063461D">
              <w:rPr>
                <w:rFonts w:cs="Arial"/>
                <w:szCs w:val="20"/>
              </w:rPr>
              <w:t>Water couch marsh grassland</w:t>
            </w:r>
          </w:p>
        </w:tc>
        <w:tc>
          <w:tcPr>
            <w:tcW w:w="1487" w:type="pct"/>
            <w:shd w:val="clear" w:color="auto" w:fill="auto"/>
            <w:noWrap/>
            <w:vAlign w:val="center"/>
            <w:hideMark/>
          </w:tcPr>
          <w:p w:rsidR="00E809F1" w:rsidRPr="0063461D" w:rsidRDefault="00E809F1" w:rsidP="0063461D">
            <w:pPr>
              <w:spacing w:before="60" w:after="60"/>
              <w:jc w:val="left"/>
              <w:rPr>
                <w:rFonts w:cs="Arial"/>
                <w:szCs w:val="20"/>
              </w:rPr>
            </w:pPr>
            <w:r w:rsidRPr="0063461D">
              <w:rPr>
                <w:rFonts w:cs="Arial"/>
                <w:szCs w:val="20"/>
              </w:rPr>
              <w:t>Bunnor_1_3</w:t>
            </w:r>
          </w:p>
        </w:tc>
        <w:tc>
          <w:tcPr>
            <w:tcW w:w="707" w:type="pct"/>
            <w:vAlign w:val="center"/>
          </w:tcPr>
          <w:p w:rsidR="00E809F1" w:rsidRPr="0063461D" w:rsidRDefault="00E809F1" w:rsidP="0063461D">
            <w:pPr>
              <w:spacing w:before="60" w:after="60"/>
              <w:jc w:val="left"/>
              <w:rPr>
                <w:rFonts w:cs="Arial"/>
                <w:color w:val="000000"/>
                <w:szCs w:val="20"/>
                <w:lang w:eastAsia="en-AU"/>
              </w:rPr>
            </w:pPr>
            <w:r w:rsidRPr="0063461D">
              <w:rPr>
                <w:rFonts w:cs="Arial"/>
                <w:color w:val="000000"/>
                <w:szCs w:val="20"/>
              </w:rPr>
              <w:t>Gingham</w:t>
            </w:r>
          </w:p>
        </w:tc>
        <w:tc>
          <w:tcPr>
            <w:tcW w:w="532" w:type="pct"/>
            <w:vAlign w:val="center"/>
          </w:tcPr>
          <w:p w:rsidR="00E809F1" w:rsidRPr="0063461D" w:rsidRDefault="00E809F1" w:rsidP="0063461D">
            <w:pPr>
              <w:spacing w:before="60" w:after="60"/>
              <w:jc w:val="left"/>
              <w:rPr>
                <w:rFonts w:cs="Arial"/>
                <w:szCs w:val="20"/>
              </w:rPr>
            </w:pPr>
            <w:r w:rsidRPr="0063461D">
              <w:rPr>
                <w:rFonts w:cs="Arial"/>
                <w:szCs w:val="20"/>
              </w:rPr>
              <w:t>6760630</w:t>
            </w:r>
          </w:p>
        </w:tc>
        <w:tc>
          <w:tcPr>
            <w:tcW w:w="456" w:type="pct"/>
            <w:vAlign w:val="center"/>
          </w:tcPr>
          <w:p w:rsidR="00E809F1" w:rsidRPr="0063461D" w:rsidRDefault="00E809F1" w:rsidP="0063461D">
            <w:pPr>
              <w:spacing w:before="60" w:after="60"/>
              <w:jc w:val="left"/>
              <w:rPr>
                <w:rFonts w:cs="Arial"/>
                <w:szCs w:val="20"/>
              </w:rPr>
            </w:pPr>
            <w:r w:rsidRPr="0063461D">
              <w:rPr>
                <w:rFonts w:cs="Arial"/>
                <w:szCs w:val="20"/>
              </w:rPr>
              <w:t>728812</w:t>
            </w:r>
          </w:p>
        </w:tc>
        <w:tc>
          <w:tcPr>
            <w:tcW w:w="379" w:type="pct"/>
            <w:shd w:val="clear" w:color="auto" w:fill="8DB3E2"/>
            <w:vAlign w:val="center"/>
          </w:tcPr>
          <w:p w:rsidR="00E809F1" w:rsidRPr="0063461D" w:rsidRDefault="00E809F1" w:rsidP="0063461D">
            <w:pPr>
              <w:spacing w:before="60" w:after="60"/>
              <w:jc w:val="left"/>
              <w:rPr>
                <w:rFonts w:cs="Arial"/>
                <w:szCs w:val="20"/>
              </w:rPr>
            </w:pPr>
            <w:r w:rsidRPr="0063461D">
              <w:rPr>
                <w:rFonts w:cs="Arial"/>
                <w:szCs w:val="20"/>
              </w:rPr>
              <w:t>Wet</w:t>
            </w:r>
          </w:p>
        </w:tc>
        <w:tc>
          <w:tcPr>
            <w:tcW w:w="370" w:type="pct"/>
            <w:shd w:val="clear" w:color="auto" w:fill="FFFF00"/>
            <w:vAlign w:val="center"/>
          </w:tcPr>
          <w:p w:rsidR="00E809F1" w:rsidRPr="0063461D" w:rsidRDefault="00E809F1" w:rsidP="0063461D">
            <w:pPr>
              <w:spacing w:before="60" w:after="60"/>
              <w:jc w:val="left"/>
              <w:rPr>
                <w:rFonts w:cs="Arial"/>
                <w:szCs w:val="20"/>
              </w:rPr>
            </w:pPr>
            <w:r w:rsidRPr="0063461D">
              <w:rPr>
                <w:rFonts w:cs="Arial"/>
                <w:szCs w:val="20"/>
              </w:rPr>
              <w:t>Dry</w:t>
            </w:r>
          </w:p>
        </w:tc>
      </w:tr>
      <w:tr w:rsidR="00E809F1" w:rsidRPr="0063461D" w:rsidTr="00CC18AA">
        <w:trPr>
          <w:trHeight w:val="300"/>
          <w:jc w:val="center"/>
        </w:trPr>
        <w:tc>
          <w:tcPr>
            <w:tcW w:w="1069" w:type="pct"/>
            <w:vAlign w:val="center"/>
          </w:tcPr>
          <w:p w:rsidR="00E809F1" w:rsidRPr="0063461D" w:rsidRDefault="00E809F1" w:rsidP="0063461D">
            <w:pPr>
              <w:spacing w:before="60" w:after="60"/>
              <w:jc w:val="left"/>
              <w:rPr>
                <w:rFonts w:cs="Arial"/>
                <w:szCs w:val="20"/>
              </w:rPr>
            </w:pPr>
            <w:r w:rsidRPr="0063461D">
              <w:rPr>
                <w:rFonts w:cs="Arial"/>
                <w:szCs w:val="20"/>
              </w:rPr>
              <w:t>Coolibah - river cooba - lignum</w:t>
            </w:r>
          </w:p>
        </w:tc>
        <w:tc>
          <w:tcPr>
            <w:tcW w:w="1487" w:type="pct"/>
            <w:shd w:val="clear" w:color="auto" w:fill="auto"/>
            <w:noWrap/>
            <w:vAlign w:val="center"/>
          </w:tcPr>
          <w:p w:rsidR="00E809F1" w:rsidRPr="0063461D" w:rsidRDefault="00E809F1" w:rsidP="0063461D">
            <w:pPr>
              <w:spacing w:before="60" w:after="60"/>
              <w:jc w:val="left"/>
              <w:rPr>
                <w:rFonts w:cs="Arial"/>
                <w:szCs w:val="20"/>
              </w:rPr>
            </w:pPr>
            <w:r w:rsidRPr="0063461D">
              <w:rPr>
                <w:rFonts w:cs="Arial"/>
                <w:szCs w:val="20"/>
              </w:rPr>
              <w:t>Coombah_1_1</w:t>
            </w:r>
          </w:p>
        </w:tc>
        <w:tc>
          <w:tcPr>
            <w:tcW w:w="707" w:type="pct"/>
            <w:vAlign w:val="center"/>
          </w:tcPr>
          <w:p w:rsidR="00E809F1" w:rsidRPr="0063461D" w:rsidRDefault="00E809F1" w:rsidP="0063461D">
            <w:pPr>
              <w:spacing w:before="60" w:after="60"/>
              <w:jc w:val="left"/>
              <w:rPr>
                <w:rFonts w:cs="Arial"/>
                <w:szCs w:val="20"/>
              </w:rPr>
            </w:pPr>
            <w:r w:rsidRPr="0063461D">
              <w:rPr>
                <w:rFonts w:cs="Arial"/>
                <w:szCs w:val="20"/>
              </w:rPr>
              <w:t>Mallowa</w:t>
            </w:r>
          </w:p>
        </w:tc>
        <w:tc>
          <w:tcPr>
            <w:tcW w:w="532" w:type="pct"/>
            <w:vAlign w:val="center"/>
          </w:tcPr>
          <w:p w:rsidR="00E809F1" w:rsidRPr="0063461D" w:rsidRDefault="00E809F1" w:rsidP="0063461D">
            <w:pPr>
              <w:spacing w:before="60" w:after="60"/>
              <w:jc w:val="left"/>
              <w:rPr>
                <w:rFonts w:cs="Arial"/>
                <w:szCs w:val="20"/>
              </w:rPr>
            </w:pPr>
            <w:r w:rsidRPr="0063461D">
              <w:rPr>
                <w:rFonts w:cs="Arial"/>
                <w:szCs w:val="20"/>
              </w:rPr>
              <w:t>6722614</w:t>
            </w:r>
          </w:p>
        </w:tc>
        <w:tc>
          <w:tcPr>
            <w:tcW w:w="456" w:type="pct"/>
            <w:vAlign w:val="center"/>
          </w:tcPr>
          <w:p w:rsidR="00E809F1" w:rsidRPr="0063461D" w:rsidRDefault="00E809F1" w:rsidP="0063461D">
            <w:pPr>
              <w:spacing w:before="60" w:after="60"/>
              <w:jc w:val="left"/>
              <w:rPr>
                <w:rFonts w:cs="Arial"/>
                <w:szCs w:val="20"/>
              </w:rPr>
            </w:pPr>
            <w:r w:rsidRPr="0063461D">
              <w:rPr>
                <w:rFonts w:cs="Arial"/>
                <w:szCs w:val="20"/>
              </w:rPr>
              <w:t>723649</w:t>
            </w:r>
          </w:p>
        </w:tc>
        <w:tc>
          <w:tcPr>
            <w:tcW w:w="379" w:type="pct"/>
            <w:shd w:val="clear" w:color="auto" w:fill="FFFF00"/>
            <w:vAlign w:val="center"/>
          </w:tcPr>
          <w:p w:rsidR="00E809F1" w:rsidRPr="0063461D" w:rsidRDefault="00E809F1" w:rsidP="0063461D">
            <w:pPr>
              <w:spacing w:before="60" w:after="60"/>
              <w:jc w:val="left"/>
              <w:rPr>
                <w:rFonts w:cs="Arial"/>
                <w:szCs w:val="20"/>
              </w:rPr>
            </w:pPr>
            <w:r w:rsidRPr="0063461D">
              <w:rPr>
                <w:rFonts w:cs="Arial"/>
                <w:szCs w:val="20"/>
              </w:rPr>
              <w:t>Dry</w:t>
            </w:r>
          </w:p>
        </w:tc>
        <w:tc>
          <w:tcPr>
            <w:tcW w:w="370" w:type="pct"/>
            <w:shd w:val="clear" w:color="auto" w:fill="8DB3E2"/>
            <w:vAlign w:val="center"/>
          </w:tcPr>
          <w:p w:rsidR="00E809F1" w:rsidRPr="0063461D" w:rsidRDefault="00E809F1" w:rsidP="0063461D">
            <w:pPr>
              <w:spacing w:before="60" w:after="60"/>
              <w:jc w:val="left"/>
              <w:rPr>
                <w:rFonts w:cs="Arial"/>
                <w:szCs w:val="20"/>
              </w:rPr>
            </w:pPr>
            <w:r w:rsidRPr="0063461D">
              <w:rPr>
                <w:rFonts w:cs="Arial"/>
                <w:szCs w:val="20"/>
                <w:lang w:eastAsia="en-AU"/>
              </w:rPr>
              <w:t>Wet</w:t>
            </w:r>
          </w:p>
        </w:tc>
      </w:tr>
      <w:tr w:rsidR="00E809F1" w:rsidRPr="0063461D" w:rsidTr="00CC18AA">
        <w:trPr>
          <w:trHeight w:val="300"/>
          <w:jc w:val="center"/>
        </w:trPr>
        <w:tc>
          <w:tcPr>
            <w:tcW w:w="1069" w:type="pct"/>
            <w:vAlign w:val="center"/>
          </w:tcPr>
          <w:p w:rsidR="00E809F1" w:rsidRPr="0063461D" w:rsidRDefault="00E809F1" w:rsidP="0063461D">
            <w:pPr>
              <w:spacing w:before="60" w:after="60"/>
              <w:jc w:val="left"/>
              <w:rPr>
                <w:rFonts w:cs="Arial"/>
                <w:szCs w:val="20"/>
              </w:rPr>
            </w:pPr>
            <w:r w:rsidRPr="0063461D">
              <w:rPr>
                <w:rFonts w:cs="Arial"/>
                <w:szCs w:val="20"/>
              </w:rPr>
              <w:t>Coolibah - river cooba - lignum</w:t>
            </w:r>
          </w:p>
        </w:tc>
        <w:tc>
          <w:tcPr>
            <w:tcW w:w="1487" w:type="pct"/>
            <w:shd w:val="clear" w:color="auto" w:fill="auto"/>
            <w:noWrap/>
            <w:vAlign w:val="center"/>
          </w:tcPr>
          <w:p w:rsidR="00E809F1" w:rsidRPr="0063461D" w:rsidRDefault="00E809F1" w:rsidP="0063461D">
            <w:pPr>
              <w:spacing w:before="60" w:after="60"/>
              <w:jc w:val="left"/>
              <w:rPr>
                <w:rFonts w:cs="Arial"/>
                <w:szCs w:val="20"/>
              </w:rPr>
            </w:pPr>
            <w:r w:rsidRPr="0063461D">
              <w:rPr>
                <w:rFonts w:cs="Arial"/>
                <w:szCs w:val="20"/>
              </w:rPr>
              <w:t>Coombah_1_2</w:t>
            </w:r>
          </w:p>
        </w:tc>
        <w:tc>
          <w:tcPr>
            <w:tcW w:w="707" w:type="pct"/>
            <w:vAlign w:val="center"/>
          </w:tcPr>
          <w:p w:rsidR="00E809F1" w:rsidRPr="0063461D" w:rsidRDefault="00E809F1" w:rsidP="0063461D">
            <w:pPr>
              <w:spacing w:before="60" w:after="60"/>
              <w:jc w:val="left"/>
              <w:rPr>
                <w:rFonts w:cs="Arial"/>
                <w:szCs w:val="20"/>
              </w:rPr>
            </w:pPr>
            <w:r w:rsidRPr="0063461D">
              <w:rPr>
                <w:rFonts w:cs="Arial"/>
                <w:szCs w:val="20"/>
              </w:rPr>
              <w:t>Mallowa</w:t>
            </w:r>
          </w:p>
        </w:tc>
        <w:tc>
          <w:tcPr>
            <w:tcW w:w="532" w:type="pct"/>
            <w:vAlign w:val="center"/>
          </w:tcPr>
          <w:p w:rsidR="00E809F1" w:rsidRPr="0063461D" w:rsidRDefault="00E809F1" w:rsidP="0063461D">
            <w:pPr>
              <w:spacing w:before="60" w:after="60"/>
              <w:jc w:val="left"/>
              <w:rPr>
                <w:rFonts w:cs="Arial"/>
                <w:szCs w:val="20"/>
              </w:rPr>
            </w:pPr>
            <w:r w:rsidRPr="0063461D">
              <w:rPr>
                <w:rFonts w:cs="Arial"/>
                <w:szCs w:val="20"/>
              </w:rPr>
              <w:t>6722491</w:t>
            </w:r>
          </w:p>
        </w:tc>
        <w:tc>
          <w:tcPr>
            <w:tcW w:w="456" w:type="pct"/>
            <w:vAlign w:val="center"/>
          </w:tcPr>
          <w:p w:rsidR="00E809F1" w:rsidRPr="0063461D" w:rsidRDefault="00E809F1" w:rsidP="0063461D">
            <w:pPr>
              <w:spacing w:before="60" w:after="60"/>
              <w:jc w:val="left"/>
              <w:rPr>
                <w:rFonts w:cs="Arial"/>
                <w:szCs w:val="20"/>
              </w:rPr>
            </w:pPr>
            <w:r w:rsidRPr="0063461D">
              <w:rPr>
                <w:rFonts w:cs="Arial"/>
                <w:szCs w:val="20"/>
              </w:rPr>
              <w:t>723849</w:t>
            </w:r>
          </w:p>
        </w:tc>
        <w:tc>
          <w:tcPr>
            <w:tcW w:w="379" w:type="pct"/>
            <w:shd w:val="clear" w:color="auto" w:fill="FFFF00"/>
            <w:vAlign w:val="center"/>
          </w:tcPr>
          <w:p w:rsidR="00E809F1" w:rsidRPr="0063461D" w:rsidRDefault="00E809F1" w:rsidP="0063461D">
            <w:pPr>
              <w:spacing w:before="60" w:after="60"/>
              <w:jc w:val="left"/>
              <w:rPr>
                <w:rFonts w:cs="Arial"/>
                <w:szCs w:val="20"/>
              </w:rPr>
            </w:pPr>
            <w:r w:rsidRPr="0063461D">
              <w:rPr>
                <w:rFonts w:cs="Arial"/>
                <w:szCs w:val="20"/>
              </w:rPr>
              <w:t>Dry</w:t>
            </w:r>
          </w:p>
        </w:tc>
        <w:tc>
          <w:tcPr>
            <w:tcW w:w="370" w:type="pct"/>
            <w:shd w:val="clear" w:color="auto" w:fill="8DB3E2"/>
            <w:vAlign w:val="center"/>
          </w:tcPr>
          <w:p w:rsidR="00E809F1" w:rsidRPr="0063461D" w:rsidRDefault="00E809F1" w:rsidP="0063461D">
            <w:pPr>
              <w:spacing w:before="60" w:after="60"/>
              <w:jc w:val="left"/>
              <w:rPr>
                <w:rFonts w:cs="Arial"/>
                <w:szCs w:val="20"/>
              </w:rPr>
            </w:pPr>
            <w:r w:rsidRPr="0063461D">
              <w:rPr>
                <w:rFonts w:cs="Arial"/>
                <w:szCs w:val="20"/>
                <w:lang w:eastAsia="en-AU"/>
              </w:rPr>
              <w:t>Wet</w:t>
            </w:r>
          </w:p>
        </w:tc>
      </w:tr>
      <w:tr w:rsidR="00E809F1" w:rsidRPr="0063461D" w:rsidTr="00CC18AA">
        <w:trPr>
          <w:trHeight w:val="300"/>
          <w:jc w:val="center"/>
        </w:trPr>
        <w:tc>
          <w:tcPr>
            <w:tcW w:w="1069" w:type="pct"/>
            <w:vAlign w:val="center"/>
          </w:tcPr>
          <w:p w:rsidR="00E809F1" w:rsidRPr="0063461D" w:rsidRDefault="00E809F1" w:rsidP="0063461D">
            <w:pPr>
              <w:spacing w:before="60" w:after="60"/>
              <w:jc w:val="left"/>
              <w:rPr>
                <w:rFonts w:cs="Arial"/>
                <w:szCs w:val="20"/>
              </w:rPr>
            </w:pPr>
            <w:r w:rsidRPr="0063461D">
              <w:rPr>
                <w:rFonts w:cs="Arial"/>
                <w:szCs w:val="20"/>
              </w:rPr>
              <w:t>Water couch marsh grassland</w:t>
            </w:r>
          </w:p>
        </w:tc>
        <w:tc>
          <w:tcPr>
            <w:tcW w:w="1487" w:type="pct"/>
            <w:shd w:val="clear" w:color="auto" w:fill="auto"/>
            <w:noWrap/>
            <w:vAlign w:val="center"/>
            <w:hideMark/>
          </w:tcPr>
          <w:p w:rsidR="00E809F1" w:rsidRPr="0063461D" w:rsidRDefault="00E809F1" w:rsidP="0063461D">
            <w:pPr>
              <w:spacing w:before="60" w:after="60"/>
              <w:jc w:val="left"/>
              <w:rPr>
                <w:rFonts w:cs="Arial"/>
                <w:szCs w:val="20"/>
                <w:lang w:eastAsia="en-AU"/>
              </w:rPr>
            </w:pPr>
            <w:r w:rsidRPr="0063461D">
              <w:rPr>
                <w:rFonts w:cs="Arial"/>
                <w:szCs w:val="20"/>
                <w:lang w:eastAsia="en-AU"/>
              </w:rPr>
              <w:t>Goddards _Lease_Ramsar_1_1</w:t>
            </w:r>
          </w:p>
        </w:tc>
        <w:tc>
          <w:tcPr>
            <w:tcW w:w="707" w:type="pct"/>
            <w:vAlign w:val="center"/>
          </w:tcPr>
          <w:p w:rsidR="00E809F1" w:rsidRPr="0063461D" w:rsidRDefault="00E809F1" w:rsidP="0063461D">
            <w:pPr>
              <w:spacing w:before="60" w:after="60"/>
              <w:jc w:val="left"/>
              <w:rPr>
                <w:rFonts w:cs="Arial"/>
                <w:color w:val="000000"/>
                <w:szCs w:val="20"/>
                <w:lang w:eastAsia="en-AU"/>
              </w:rPr>
            </w:pPr>
            <w:r w:rsidRPr="0063461D">
              <w:rPr>
                <w:rFonts w:cs="Arial"/>
                <w:color w:val="000000"/>
                <w:szCs w:val="20"/>
              </w:rPr>
              <w:t>Gingham</w:t>
            </w:r>
          </w:p>
        </w:tc>
        <w:tc>
          <w:tcPr>
            <w:tcW w:w="532"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6760882</w:t>
            </w:r>
          </w:p>
        </w:tc>
        <w:tc>
          <w:tcPr>
            <w:tcW w:w="456"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731652</w:t>
            </w:r>
          </w:p>
        </w:tc>
        <w:tc>
          <w:tcPr>
            <w:tcW w:w="379" w:type="pct"/>
            <w:shd w:val="clear" w:color="auto" w:fill="8DB3E2"/>
            <w:vAlign w:val="center"/>
          </w:tcPr>
          <w:p w:rsidR="00E809F1" w:rsidRPr="0063461D" w:rsidRDefault="00E809F1" w:rsidP="0063461D">
            <w:pPr>
              <w:spacing w:before="60" w:after="60"/>
              <w:jc w:val="left"/>
              <w:rPr>
                <w:rFonts w:cs="Arial"/>
                <w:szCs w:val="20"/>
              </w:rPr>
            </w:pPr>
            <w:r w:rsidRPr="0063461D">
              <w:rPr>
                <w:rFonts w:cs="Arial"/>
                <w:szCs w:val="20"/>
                <w:lang w:eastAsia="en-AU"/>
              </w:rPr>
              <w:t>Wet</w:t>
            </w:r>
          </w:p>
        </w:tc>
        <w:tc>
          <w:tcPr>
            <w:tcW w:w="370" w:type="pct"/>
            <w:shd w:val="clear" w:color="auto" w:fill="FFFF00"/>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Dry</w:t>
            </w:r>
          </w:p>
        </w:tc>
      </w:tr>
      <w:tr w:rsidR="00E809F1" w:rsidRPr="0063461D" w:rsidTr="00CC18AA">
        <w:trPr>
          <w:trHeight w:val="300"/>
          <w:jc w:val="center"/>
        </w:trPr>
        <w:tc>
          <w:tcPr>
            <w:tcW w:w="1069" w:type="pct"/>
            <w:vAlign w:val="center"/>
          </w:tcPr>
          <w:p w:rsidR="00E809F1" w:rsidRPr="0063461D" w:rsidRDefault="00E809F1" w:rsidP="0063461D">
            <w:pPr>
              <w:spacing w:before="60" w:after="60"/>
              <w:jc w:val="left"/>
              <w:rPr>
                <w:rFonts w:cs="Arial"/>
                <w:szCs w:val="20"/>
              </w:rPr>
            </w:pPr>
            <w:r w:rsidRPr="0063461D">
              <w:rPr>
                <w:rFonts w:cs="Arial"/>
                <w:szCs w:val="20"/>
              </w:rPr>
              <w:t>Water couch marsh grassland</w:t>
            </w:r>
          </w:p>
        </w:tc>
        <w:tc>
          <w:tcPr>
            <w:tcW w:w="1487" w:type="pct"/>
            <w:shd w:val="clear" w:color="auto" w:fill="auto"/>
            <w:noWrap/>
            <w:vAlign w:val="center"/>
            <w:hideMark/>
          </w:tcPr>
          <w:p w:rsidR="00E809F1" w:rsidRPr="0063461D" w:rsidRDefault="00E809F1" w:rsidP="0063461D">
            <w:pPr>
              <w:spacing w:before="60" w:after="60"/>
              <w:jc w:val="left"/>
              <w:rPr>
                <w:rFonts w:cs="Arial"/>
                <w:szCs w:val="20"/>
                <w:lang w:eastAsia="en-AU"/>
              </w:rPr>
            </w:pPr>
            <w:r w:rsidRPr="0063461D">
              <w:rPr>
                <w:rFonts w:cs="Arial"/>
                <w:szCs w:val="20"/>
                <w:lang w:eastAsia="en-AU"/>
              </w:rPr>
              <w:t>Goddards _Lease_Ramsar_1_2</w:t>
            </w:r>
          </w:p>
        </w:tc>
        <w:tc>
          <w:tcPr>
            <w:tcW w:w="707"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Gingham</w:t>
            </w:r>
          </w:p>
        </w:tc>
        <w:tc>
          <w:tcPr>
            <w:tcW w:w="532"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6760784</w:t>
            </w:r>
          </w:p>
        </w:tc>
        <w:tc>
          <w:tcPr>
            <w:tcW w:w="456"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731738</w:t>
            </w:r>
          </w:p>
        </w:tc>
        <w:tc>
          <w:tcPr>
            <w:tcW w:w="379" w:type="pct"/>
            <w:shd w:val="clear" w:color="auto" w:fill="8DB3E2"/>
            <w:vAlign w:val="center"/>
          </w:tcPr>
          <w:p w:rsidR="00E809F1" w:rsidRPr="0063461D" w:rsidRDefault="00E809F1" w:rsidP="0063461D">
            <w:pPr>
              <w:spacing w:before="60" w:after="60"/>
              <w:jc w:val="left"/>
              <w:rPr>
                <w:rFonts w:cs="Arial"/>
                <w:szCs w:val="20"/>
              </w:rPr>
            </w:pPr>
            <w:r w:rsidRPr="0063461D">
              <w:rPr>
                <w:rFonts w:cs="Arial"/>
                <w:szCs w:val="20"/>
                <w:lang w:eastAsia="en-AU"/>
              </w:rPr>
              <w:t>Wet</w:t>
            </w:r>
          </w:p>
        </w:tc>
        <w:tc>
          <w:tcPr>
            <w:tcW w:w="370" w:type="pct"/>
            <w:shd w:val="clear" w:color="auto" w:fill="FFFF00"/>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Dry</w:t>
            </w:r>
          </w:p>
        </w:tc>
      </w:tr>
      <w:tr w:rsidR="00E809F1" w:rsidRPr="0063461D" w:rsidTr="00CC18AA">
        <w:trPr>
          <w:trHeight w:val="300"/>
          <w:jc w:val="center"/>
        </w:trPr>
        <w:tc>
          <w:tcPr>
            <w:tcW w:w="1069" w:type="pct"/>
            <w:vAlign w:val="center"/>
          </w:tcPr>
          <w:p w:rsidR="00E809F1" w:rsidRPr="0063461D" w:rsidRDefault="00E809F1" w:rsidP="0063461D">
            <w:pPr>
              <w:spacing w:before="60" w:after="60"/>
              <w:jc w:val="left"/>
              <w:rPr>
                <w:rFonts w:cs="Arial"/>
                <w:szCs w:val="20"/>
              </w:rPr>
            </w:pPr>
            <w:r w:rsidRPr="0063461D">
              <w:rPr>
                <w:rFonts w:cs="Arial"/>
                <w:szCs w:val="20"/>
              </w:rPr>
              <w:t>Water couch marsh grassland</w:t>
            </w:r>
          </w:p>
        </w:tc>
        <w:tc>
          <w:tcPr>
            <w:tcW w:w="1487" w:type="pct"/>
            <w:shd w:val="clear" w:color="auto" w:fill="auto"/>
            <w:noWrap/>
            <w:vAlign w:val="center"/>
            <w:hideMark/>
          </w:tcPr>
          <w:p w:rsidR="00E809F1" w:rsidRPr="0063461D" w:rsidRDefault="00E809F1" w:rsidP="0063461D">
            <w:pPr>
              <w:spacing w:before="60" w:after="60"/>
              <w:jc w:val="left"/>
              <w:rPr>
                <w:rFonts w:cs="Arial"/>
                <w:szCs w:val="20"/>
                <w:lang w:eastAsia="en-AU"/>
              </w:rPr>
            </w:pPr>
            <w:r w:rsidRPr="0063461D">
              <w:rPr>
                <w:rFonts w:cs="Arial"/>
                <w:szCs w:val="20"/>
                <w:lang w:eastAsia="en-AU"/>
              </w:rPr>
              <w:t>Goddards _Lease_Ramsar_1_3</w:t>
            </w:r>
          </w:p>
        </w:tc>
        <w:tc>
          <w:tcPr>
            <w:tcW w:w="707"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Gingham</w:t>
            </w:r>
          </w:p>
        </w:tc>
        <w:tc>
          <w:tcPr>
            <w:tcW w:w="532"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6760678</w:t>
            </w:r>
          </w:p>
        </w:tc>
        <w:tc>
          <w:tcPr>
            <w:tcW w:w="456"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731749</w:t>
            </w:r>
          </w:p>
        </w:tc>
        <w:tc>
          <w:tcPr>
            <w:tcW w:w="379" w:type="pct"/>
            <w:shd w:val="clear" w:color="auto" w:fill="8DB3E2"/>
            <w:vAlign w:val="center"/>
          </w:tcPr>
          <w:p w:rsidR="00E809F1" w:rsidRPr="0063461D" w:rsidRDefault="00E809F1" w:rsidP="0063461D">
            <w:pPr>
              <w:spacing w:before="60" w:after="60"/>
              <w:jc w:val="left"/>
              <w:rPr>
                <w:rFonts w:cs="Arial"/>
                <w:szCs w:val="20"/>
              </w:rPr>
            </w:pPr>
            <w:r w:rsidRPr="0063461D">
              <w:rPr>
                <w:rFonts w:cs="Arial"/>
                <w:szCs w:val="20"/>
                <w:lang w:eastAsia="en-AU"/>
              </w:rPr>
              <w:t>Wet</w:t>
            </w:r>
          </w:p>
        </w:tc>
        <w:tc>
          <w:tcPr>
            <w:tcW w:w="370" w:type="pct"/>
            <w:shd w:val="clear" w:color="auto" w:fill="FFFF00"/>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Dry</w:t>
            </w:r>
          </w:p>
        </w:tc>
      </w:tr>
      <w:tr w:rsidR="00E809F1" w:rsidRPr="0063461D" w:rsidTr="00CC18AA">
        <w:trPr>
          <w:trHeight w:val="300"/>
          <w:jc w:val="center"/>
        </w:trPr>
        <w:tc>
          <w:tcPr>
            <w:tcW w:w="1069" w:type="pct"/>
            <w:vAlign w:val="center"/>
          </w:tcPr>
          <w:p w:rsidR="00E809F1" w:rsidRPr="0063461D" w:rsidRDefault="00E809F1" w:rsidP="0063461D">
            <w:pPr>
              <w:spacing w:before="60" w:after="60"/>
              <w:jc w:val="left"/>
              <w:rPr>
                <w:rFonts w:cs="Arial"/>
                <w:color w:val="000000"/>
                <w:szCs w:val="20"/>
                <w:lang w:eastAsia="en-AU"/>
              </w:rPr>
            </w:pPr>
            <w:r w:rsidRPr="0063461D">
              <w:rPr>
                <w:rFonts w:cs="Arial"/>
                <w:color w:val="000000"/>
                <w:szCs w:val="20"/>
                <w:lang w:eastAsia="en-AU"/>
              </w:rPr>
              <w:t>River Cooba - Lignum</w:t>
            </w:r>
          </w:p>
        </w:tc>
        <w:tc>
          <w:tcPr>
            <w:tcW w:w="1487" w:type="pct"/>
            <w:shd w:val="clear" w:color="auto" w:fill="auto"/>
            <w:noWrap/>
            <w:vAlign w:val="center"/>
            <w:hideMark/>
          </w:tcPr>
          <w:p w:rsidR="00E809F1" w:rsidRPr="0063461D" w:rsidRDefault="00E809F1" w:rsidP="0063461D">
            <w:pPr>
              <w:spacing w:before="60" w:after="60"/>
              <w:jc w:val="left"/>
              <w:rPr>
                <w:rFonts w:cs="Arial"/>
                <w:szCs w:val="20"/>
                <w:lang w:eastAsia="en-AU"/>
              </w:rPr>
            </w:pPr>
            <w:r w:rsidRPr="0063461D">
              <w:rPr>
                <w:rFonts w:cs="Arial"/>
                <w:szCs w:val="20"/>
                <w:lang w:eastAsia="en-AU"/>
              </w:rPr>
              <w:t>Lynworth_1_1</w:t>
            </w:r>
          </w:p>
        </w:tc>
        <w:tc>
          <w:tcPr>
            <w:tcW w:w="707"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Gingham</w:t>
            </w:r>
          </w:p>
        </w:tc>
        <w:tc>
          <w:tcPr>
            <w:tcW w:w="532"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6763482</w:t>
            </w:r>
          </w:p>
        </w:tc>
        <w:tc>
          <w:tcPr>
            <w:tcW w:w="456"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727443</w:t>
            </w:r>
          </w:p>
        </w:tc>
        <w:tc>
          <w:tcPr>
            <w:tcW w:w="379" w:type="pct"/>
            <w:shd w:val="clear" w:color="auto" w:fill="8DB3E2"/>
            <w:vAlign w:val="center"/>
          </w:tcPr>
          <w:p w:rsidR="00E809F1" w:rsidRPr="0063461D" w:rsidRDefault="00E809F1" w:rsidP="0063461D">
            <w:pPr>
              <w:spacing w:before="60" w:after="60"/>
              <w:jc w:val="left"/>
              <w:rPr>
                <w:rFonts w:cs="Arial"/>
                <w:szCs w:val="20"/>
              </w:rPr>
            </w:pPr>
            <w:r w:rsidRPr="0063461D">
              <w:rPr>
                <w:rFonts w:cs="Arial"/>
                <w:szCs w:val="20"/>
                <w:lang w:eastAsia="en-AU"/>
              </w:rPr>
              <w:t>Wet</w:t>
            </w:r>
          </w:p>
        </w:tc>
        <w:tc>
          <w:tcPr>
            <w:tcW w:w="370" w:type="pct"/>
            <w:shd w:val="clear" w:color="auto" w:fill="FFFF00"/>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Dry</w:t>
            </w:r>
          </w:p>
        </w:tc>
      </w:tr>
      <w:tr w:rsidR="00E809F1" w:rsidRPr="0063461D" w:rsidTr="00CC18AA">
        <w:trPr>
          <w:trHeight w:val="300"/>
          <w:jc w:val="center"/>
        </w:trPr>
        <w:tc>
          <w:tcPr>
            <w:tcW w:w="1069" w:type="pct"/>
            <w:vAlign w:val="center"/>
          </w:tcPr>
          <w:p w:rsidR="00E809F1" w:rsidRPr="0063461D" w:rsidRDefault="00E809F1" w:rsidP="0063461D">
            <w:pPr>
              <w:spacing w:before="60" w:after="60"/>
              <w:jc w:val="left"/>
              <w:rPr>
                <w:rFonts w:cs="Arial"/>
                <w:color w:val="000000"/>
                <w:szCs w:val="20"/>
                <w:lang w:eastAsia="en-AU"/>
              </w:rPr>
            </w:pPr>
            <w:r w:rsidRPr="0063461D">
              <w:rPr>
                <w:rFonts w:cs="Arial"/>
                <w:color w:val="000000"/>
                <w:szCs w:val="20"/>
                <w:lang w:eastAsia="en-AU"/>
              </w:rPr>
              <w:t>River Cooba - Lignum</w:t>
            </w:r>
          </w:p>
        </w:tc>
        <w:tc>
          <w:tcPr>
            <w:tcW w:w="1487" w:type="pct"/>
            <w:shd w:val="clear" w:color="auto" w:fill="auto"/>
            <w:noWrap/>
            <w:vAlign w:val="center"/>
            <w:hideMark/>
          </w:tcPr>
          <w:p w:rsidR="00E809F1" w:rsidRPr="0063461D" w:rsidRDefault="00E809F1" w:rsidP="0063461D">
            <w:pPr>
              <w:spacing w:before="60" w:after="60"/>
              <w:jc w:val="left"/>
              <w:rPr>
                <w:rFonts w:cs="Arial"/>
                <w:szCs w:val="20"/>
                <w:lang w:eastAsia="en-AU"/>
              </w:rPr>
            </w:pPr>
            <w:r w:rsidRPr="0063461D">
              <w:rPr>
                <w:rFonts w:cs="Arial"/>
                <w:szCs w:val="20"/>
                <w:lang w:eastAsia="en-AU"/>
              </w:rPr>
              <w:t>Lynworth_1_2</w:t>
            </w:r>
          </w:p>
        </w:tc>
        <w:tc>
          <w:tcPr>
            <w:tcW w:w="707"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Gingham</w:t>
            </w:r>
          </w:p>
        </w:tc>
        <w:tc>
          <w:tcPr>
            <w:tcW w:w="532"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6763219</w:t>
            </w:r>
          </w:p>
        </w:tc>
        <w:tc>
          <w:tcPr>
            <w:tcW w:w="456"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727574</w:t>
            </w:r>
          </w:p>
        </w:tc>
        <w:tc>
          <w:tcPr>
            <w:tcW w:w="379" w:type="pct"/>
            <w:shd w:val="clear" w:color="auto" w:fill="8DB3E2"/>
            <w:vAlign w:val="center"/>
          </w:tcPr>
          <w:p w:rsidR="00E809F1" w:rsidRPr="0063461D" w:rsidRDefault="00E809F1" w:rsidP="0063461D">
            <w:pPr>
              <w:spacing w:before="60" w:after="60"/>
              <w:jc w:val="left"/>
              <w:rPr>
                <w:rFonts w:cs="Arial"/>
                <w:szCs w:val="20"/>
              </w:rPr>
            </w:pPr>
            <w:r w:rsidRPr="0063461D">
              <w:rPr>
                <w:rFonts w:cs="Arial"/>
                <w:szCs w:val="20"/>
                <w:lang w:eastAsia="en-AU"/>
              </w:rPr>
              <w:t>Wet</w:t>
            </w:r>
          </w:p>
        </w:tc>
        <w:tc>
          <w:tcPr>
            <w:tcW w:w="370" w:type="pct"/>
            <w:shd w:val="clear" w:color="auto" w:fill="FFFF00"/>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Dry</w:t>
            </w:r>
          </w:p>
        </w:tc>
      </w:tr>
      <w:tr w:rsidR="00E809F1" w:rsidRPr="0063461D" w:rsidTr="00CC18AA">
        <w:trPr>
          <w:trHeight w:val="300"/>
          <w:jc w:val="center"/>
        </w:trPr>
        <w:tc>
          <w:tcPr>
            <w:tcW w:w="1069" w:type="pct"/>
            <w:vAlign w:val="center"/>
          </w:tcPr>
          <w:p w:rsidR="00E809F1" w:rsidRPr="0063461D" w:rsidRDefault="00E809F1" w:rsidP="0063461D">
            <w:pPr>
              <w:spacing w:before="60" w:after="60"/>
              <w:jc w:val="left"/>
              <w:rPr>
                <w:rFonts w:cs="Arial"/>
                <w:color w:val="000000"/>
                <w:szCs w:val="20"/>
                <w:lang w:eastAsia="en-AU"/>
              </w:rPr>
            </w:pPr>
            <w:r w:rsidRPr="0063461D">
              <w:rPr>
                <w:rFonts w:cs="Arial"/>
                <w:color w:val="000000"/>
                <w:szCs w:val="20"/>
                <w:lang w:eastAsia="en-AU"/>
              </w:rPr>
              <w:t>River Cooba - Lignum</w:t>
            </w:r>
          </w:p>
        </w:tc>
        <w:tc>
          <w:tcPr>
            <w:tcW w:w="1487" w:type="pct"/>
            <w:shd w:val="clear" w:color="auto" w:fill="auto"/>
            <w:noWrap/>
            <w:vAlign w:val="center"/>
            <w:hideMark/>
          </w:tcPr>
          <w:p w:rsidR="00E809F1" w:rsidRPr="0063461D" w:rsidRDefault="00E809F1" w:rsidP="0063461D">
            <w:pPr>
              <w:spacing w:before="60" w:after="60"/>
              <w:jc w:val="left"/>
              <w:rPr>
                <w:rFonts w:cs="Arial"/>
                <w:szCs w:val="20"/>
                <w:lang w:eastAsia="en-AU"/>
              </w:rPr>
            </w:pPr>
            <w:r w:rsidRPr="0063461D">
              <w:rPr>
                <w:rFonts w:cs="Arial"/>
                <w:szCs w:val="20"/>
                <w:lang w:eastAsia="en-AU"/>
              </w:rPr>
              <w:t>Lynworth_1_3</w:t>
            </w:r>
          </w:p>
        </w:tc>
        <w:tc>
          <w:tcPr>
            <w:tcW w:w="707"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Gingham</w:t>
            </w:r>
          </w:p>
        </w:tc>
        <w:tc>
          <w:tcPr>
            <w:tcW w:w="532"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6762965</w:t>
            </w:r>
          </w:p>
        </w:tc>
        <w:tc>
          <w:tcPr>
            <w:tcW w:w="456"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726906</w:t>
            </w:r>
          </w:p>
        </w:tc>
        <w:tc>
          <w:tcPr>
            <w:tcW w:w="379" w:type="pct"/>
            <w:shd w:val="clear" w:color="auto" w:fill="8DB3E2"/>
            <w:vAlign w:val="center"/>
          </w:tcPr>
          <w:p w:rsidR="00E809F1" w:rsidRPr="0063461D" w:rsidRDefault="00E809F1" w:rsidP="0063461D">
            <w:pPr>
              <w:spacing w:before="60" w:after="60"/>
              <w:jc w:val="left"/>
              <w:rPr>
                <w:rFonts w:cs="Arial"/>
                <w:szCs w:val="20"/>
              </w:rPr>
            </w:pPr>
            <w:r w:rsidRPr="0063461D">
              <w:rPr>
                <w:rFonts w:cs="Arial"/>
                <w:szCs w:val="20"/>
                <w:lang w:eastAsia="en-AU"/>
              </w:rPr>
              <w:t>Wet</w:t>
            </w:r>
          </w:p>
        </w:tc>
        <w:tc>
          <w:tcPr>
            <w:tcW w:w="370" w:type="pct"/>
            <w:shd w:val="clear" w:color="auto" w:fill="FFFF00"/>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Dry</w:t>
            </w:r>
          </w:p>
        </w:tc>
      </w:tr>
      <w:tr w:rsidR="00E809F1" w:rsidRPr="0063461D" w:rsidTr="00CC18AA">
        <w:trPr>
          <w:trHeight w:val="300"/>
          <w:jc w:val="center"/>
        </w:trPr>
        <w:tc>
          <w:tcPr>
            <w:tcW w:w="1069" w:type="pct"/>
            <w:vAlign w:val="center"/>
          </w:tcPr>
          <w:p w:rsidR="00E809F1" w:rsidRPr="0063461D" w:rsidRDefault="00E809F1" w:rsidP="0063461D">
            <w:pPr>
              <w:spacing w:before="60" w:after="60"/>
              <w:jc w:val="left"/>
              <w:rPr>
                <w:rFonts w:cs="Arial"/>
                <w:color w:val="000000"/>
                <w:szCs w:val="20"/>
                <w:lang w:eastAsia="en-AU"/>
              </w:rPr>
            </w:pPr>
            <w:r w:rsidRPr="0063461D">
              <w:rPr>
                <w:rFonts w:cs="Arial"/>
                <w:color w:val="000000"/>
                <w:szCs w:val="20"/>
                <w:lang w:eastAsia="en-AU"/>
              </w:rPr>
              <w:t>Coolibah Woodland</w:t>
            </w:r>
          </w:p>
        </w:tc>
        <w:tc>
          <w:tcPr>
            <w:tcW w:w="1487" w:type="pct"/>
            <w:shd w:val="clear" w:color="auto" w:fill="auto"/>
            <w:noWrap/>
            <w:vAlign w:val="center"/>
            <w:hideMark/>
          </w:tcPr>
          <w:p w:rsidR="00E809F1" w:rsidRPr="0063461D" w:rsidRDefault="00E809F1" w:rsidP="0063461D">
            <w:pPr>
              <w:spacing w:before="60" w:after="60"/>
              <w:jc w:val="left"/>
              <w:rPr>
                <w:rFonts w:cs="Arial"/>
                <w:szCs w:val="20"/>
                <w:lang w:eastAsia="en-AU"/>
              </w:rPr>
            </w:pPr>
            <w:r w:rsidRPr="0063461D">
              <w:rPr>
                <w:rFonts w:cs="Arial"/>
                <w:szCs w:val="20"/>
                <w:lang w:eastAsia="en-AU"/>
              </w:rPr>
              <w:t>Lynworth_1_4</w:t>
            </w:r>
          </w:p>
        </w:tc>
        <w:tc>
          <w:tcPr>
            <w:tcW w:w="707"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Gingham</w:t>
            </w:r>
          </w:p>
        </w:tc>
        <w:tc>
          <w:tcPr>
            <w:tcW w:w="532"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6763330</w:t>
            </w:r>
          </w:p>
        </w:tc>
        <w:tc>
          <w:tcPr>
            <w:tcW w:w="456"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728359</w:t>
            </w:r>
          </w:p>
        </w:tc>
        <w:tc>
          <w:tcPr>
            <w:tcW w:w="379" w:type="pct"/>
            <w:shd w:val="clear" w:color="auto" w:fill="8DB3E2"/>
            <w:vAlign w:val="center"/>
          </w:tcPr>
          <w:p w:rsidR="00E809F1" w:rsidRPr="0063461D" w:rsidRDefault="00E809F1" w:rsidP="0063461D">
            <w:pPr>
              <w:spacing w:before="60" w:after="60"/>
              <w:jc w:val="left"/>
              <w:rPr>
                <w:rFonts w:cs="Arial"/>
                <w:szCs w:val="20"/>
              </w:rPr>
            </w:pPr>
            <w:r w:rsidRPr="0063461D">
              <w:rPr>
                <w:rFonts w:cs="Arial"/>
                <w:szCs w:val="20"/>
                <w:lang w:eastAsia="en-AU"/>
              </w:rPr>
              <w:t>Wet</w:t>
            </w:r>
          </w:p>
        </w:tc>
        <w:tc>
          <w:tcPr>
            <w:tcW w:w="370" w:type="pct"/>
            <w:shd w:val="clear" w:color="auto" w:fill="FFFF00"/>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Dry</w:t>
            </w:r>
          </w:p>
        </w:tc>
      </w:tr>
      <w:tr w:rsidR="00E809F1" w:rsidRPr="0063461D" w:rsidTr="00CC18AA">
        <w:trPr>
          <w:trHeight w:val="300"/>
          <w:jc w:val="center"/>
        </w:trPr>
        <w:tc>
          <w:tcPr>
            <w:tcW w:w="1069" w:type="pct"/>
            <w:vAlign w:val="center"/>
          </w:tcPr>
          <w:p w:rsidR="00E809F1" w:rsidRPr="0063461D" w:rsidRDefault="00E809F1" w:rsidP="0063461D">
            <w:pPr>
              <w:spacing w:before="60" w:after="60"/>
              <w:jc w:val="left"/>
              <w:rPr>
                <w:rFonts w:cs="Arial"/>
                <w:color w:val="000000"/>
                <w:szCs w:val="20"/>
                <w:lang w:eastAsia="en-AU"/>
              </w:rPr>
            </w:pPr>
            <w:r w:rsidRPr="0063461D">
              <w:rPr>
                <w:rFonts w:cs="Arial"/>
                <w:color w:val="000000"/>
                <w:szCs w:val="20"/>
                <w:lang w:eastAsia="en-AU"/>
              </w:rPr>
              <w:t>Water couch marsh grassland</w:t>
            </w:r>
          </w:p>
        </w:tc>
        <w:tc>
          <w:tcPr>
            <w:tcW w:w="1487" w:type="pct"/>
            <w:shd w:val="clear" w:color="auto" w:fill="auto"/>
            <w:noWrap/>
            <w:vAlign w:val="center"/>
            <w:hideMark/>
          </w:tcPr>
          <w:p w:rsidR="00E809F1" w:rsidRPr="0063461D" w:rsidRDefault="00E809F1" w:rsidP="0063461D">
            <w:pPr>
              <w:spacing w:before="60" w:after="60"/>
              <w:jc w:val="left"/>
              <w:rPr>
                <w:rFonts w:cs="Arial"/>
                <w:szCs w:val="20"/>
                <w:lang w:eastAsia="en-AU"/>
              </w:rPr>
            </w:pPr>
            <w:r w:rsidRPr="0063461D">
              <w:rPr>
                <w:rFonts w:cs="Arial"/>
                <w:szCs w:val="20"/>
                <w:lang w:eastAsia="en-AU"/>
              </w:rPr>
              <w:t>Lynworth_3_1</w:t>
            </w:r>
          </w:p>
        </w:tc>
        <w:tc>
          <w:tcPr>
            <w:tcW w:w="707"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Gingham</w:t>
            </w:r>
          </w:p>
        </w:tc>
        <w:tc>
          <w:tcPr>
            <w:tcW w:w="532"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6762487</w:t>
            </w:r>
          </w:p>
        </w:tc>
        <w:tc>
          <w:tcPr>
            <w:tcW w:w="456"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728716</w:t>
            </w:r>
          </w:p>
        </w:tc>
        <w:tc>
          <w:tcPr>
            <w:tcW w:w="379" w:type="pct"/>
            <w:shd w:val="clear" w:color="auto" w:fill="8DB3E2"/>
            <w:vAlign w:val="center"/>
          </w:tcPr>
          <w:p w:rsidR="00E809F1" w:rsidRPr="0063461D" w:rsidRDefault="00E809F1" w:rsidP="0063461D">
            <w:pPr>
              <w:spacing w:before="60" w:after="60"/>
              <w:jc w:val="left"/>
              <w:rPr>
                <w:rFonts w:cs="Arial"/>
                <w:szCs w:val="20"/>
              </w:rPr>
            </w:pPr>
            <w:r w:rsidRPr="0063461D">
              <w:rPr>
                <w:rFonts w:cs="Arial"/>
                <w:szCs w:val="20"/>
                <w:lang w:eastAsia="en-AU"/>
              </w:rPr>
              <w:t>Wet</w:t>
            </w:r>
          </w:p>
        </w:tc>
        <w:tc>
          <w:tcPr>
            <w:tcW w:w="370" w:type="pct"/>
            <w:shd w:val="clear" w:color="auto" w:fill="FFFF00"/>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Dry</w:t>
            </w:r>
          </w:p>
        </w:tc>
      </w:tr>
      <w:tr w:rsidR="00E809F1" w:rsidRPr="0063461D" w:rsidTr="00CC18AA">
        <w:trPr>
          <w:trHeight w:val="300"/>
          <w:jc w:val="center"/>
        </w:trPr>
        <w:tc>
          <w:tcPr>
            <w:tcW w:w="1069" w:type="pct"/>
            <w:vAlign w:val="center"/>
          </w:tcPr>
          <w:p w:rsidR="00E809F1" w:rsidRPr="0063461D" w:rsidRDefault="00E809F1" w:rsidP="0063461D">
            <w:pPr>
              <w:spacing w:before="60" w:after="60"/>
              <w:jc w:val="left"/>
              <w:rPr>
                <w:rFonts w:cs="Arial"/>
                <w:color w:val="000000"/>
                <w:szCs w:val="20"/>
                <w:lang w:eastAsia="en-AU"/>
              </w:rPr>
            </w:pPr>
            <w:r w:rsidRPr="0063461D">
              <w:rPr>
                <w:rFonts w:cs="Arial"/>
                <w:color w:val="000000"/>
                <w:szCs w:val="20"/>
                <w:lang w:eastAsia="en-AU"/>
              </w:rPr>
              <w:t>Water couch marsh grassland</w:t>
            </w:r>
          </w:p>
        </w:tc>
        <w:tc>
          <w:tcPr>
            <w:tcW w:w="1487" w:type="pct"/>
            <w:shd w:val="clear" w:color="auto" w:fill="auto"/>
            <w:noWrap/>
            <w:vAlign w:val="center"/>
            <w:hideMark/>
          </w:tcPr>
          <w:p w:rsidR="00E809F1" w:rsidRPr="0063461D" w:rsidRDefault="00E809F1" w:rsidP="0063461D">
            <w:pPr>
              <w:spacing w:before="60" w:after="60"/>
              <w:jc w:val="left"/>
              <w:rPr>
                <w:rFonts w:cs="Arial"/>
                <w:szCs w:val="20"/>
                <w:lang w:eastAsia="en-AU"/>
              </w:rPr>
            </w:pPr>
            <w:r w:rsidRPr="0063461D">
              <w:rPr>
                <w:rFonts w:cs="Arial"/>
                <w:szCs w:val="20"/>
                <w:lang w:eastAsia="en-AU"/>
              </w:rPr>
              <w:t>Lynworth_3_2</w:t>
            </w:r>
          </w:p>
        </w:tc>
        <w:tc>
          <w:tcPr>
            <w:tcW w:w="707"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Gingham</w:t>
            </w:r>
          </w:p>
        </w:tc>
        <w:tc>
          <w:tcPr>
            <w:tcW w:w="532"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6762446</w:t>
            </w:r>
          </w:p>
        </w:tc>
        <w:tc>
          <w:tcPr>
            <w:tcW w:w="456"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728809</w:t>
            </w:r>
          </w:p>
        </w:tc>
        <w:tc>
          <w:tcPr>
            <w:tcW w:w="379" w:type="pct"/>
            <w:shd w:val="clear" w:color="auto" w:fill="8DB3E2"/>
            <w:vAlign w:val="center"/>
          </w:tcPr>
          <w:p w:rsidR="00E809F1" w:rsidRPr="0063461D" w:rsidRDefault="00E809F1" w:rsidP="0063461D">
            <w:pPr>
              <w:spacing w:before="60" w:after="60"/>
              <w:jc w:val="left"/>
              <w:rPr>
                <w:rFonts w:cs="Arial"/>
                <w:szCs w:val="20"/>
              </w:rPr>
            </w:pPr>
            <w:r w:rsidRPr="0063461D">
              <w:rPr>
                <w:rFonts w:cs="Arial"/>
                <w:szCs w:val="20"/>
                <w:lang w:eastAsia="en-AU"/>
              </w:rPr>
              <w:t>Wet</w:t>
            </w:r>
          </w:p>
        </w:tc>
        <w:tc>
          <w:tcPr>
            <w:tcW w:w="370" w:type="pct"/>
            <w:shd w:val="clear" w:color="auto" w:fill="FFFF00"/>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Dry</w:t>
            </w:r>
          </w:p>
        </w:tc>
      </w:tr>
      <w:tr w:rsidR="00E809F1" w:rsidRPr="0063461D" w:rsidTr="00CC18AA">
        <w:trPr>
          <w:trHeight w:val="300"/>
          <w:jc w:val="center"/>
        </w:trPr>
        <w:tc>
          <w:tcPr>
            <w:tcW w:w="1069" w:type="pct"/>
            <w:vAlign w:val="center"/>
          </w:tcPr>
          <w:p w:rsidR="00E809F1" w:rsidRPr="0063461D" w:rsidRDefault="00E809F1" w:rsidP="0063461D">
            <w:pPr>
              <w:spacing w:before="60" w:after="60"/>
              <w:jc w:val="left"/>
              <w:rPr>
                <w:rFonts w:cs="Arial"/>
                <w:color w:val="000000"/>
                <w:szCs w:val="20"/>
                <w:lang w:eastAsia="en-AU"/>
              </w:rPr>
            </w:pPr>
            <w:r w:rsidRPr="0063461D">
              <w:rPr>
                <w:rFonts w:cs="Arial"/>
                <w:color w:val="000000"/>
                <w:szCs w:val="20"/>
                <w:lang w:eastAsia="en-AU"/>
              </w:rPr>
              <w:t>Water couch marsh grassland</w:t>
            </w:r>
          </w:p>
        </w:tc>
        <w:tc>
          <w:tcPr>
            <w:tcW w:w="1487" w:type="pct"/>
            <w:shd w:val="clear" w:color="auto" w:fill="auto"/>
            <w:noWrap/>
            <w:vAlign w:val="center"/>
            <w:hideMark/>
          </w:tcPr>
          <w:p w:rsidR="00E809F1" w:rsidRPr="0063461D" w:rsidRDefault="00E809F1" w:rsidP="0063461D">
            <w:pPr>
              <w:spacing w:before="60" w:after="60"/>
              <w:jc w:val="left"/>
              <w:rPr>
                <w:rFonts w:cs="Arial"/>
                <w:szCs w:val="20"/>
                <w:lang w:eastAsia="en-AU"/>
              </w:rPr>
            </w:pPr>
            <w:r w:rsidRPr="0063461D">
              <w:rPr>
                <w:rFonts w:cs="Arial"/>
                <w:szCs w:val="20"/>
                <w:lang w:eastAsia="en-AU"/>
              </w:rPr>
              <w:t>Lynworth_3_3</w:t>
            </w:r>
          </w:p>
        </w:tc>
        <w:tc>
          <w:tcPr>
            <w:tcW w:w="707"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Gingham</w:t>
            </w:r>
          </w:p>
        </w:tc>
        <w:tc>
          <w:tcPr>
            <w:tcW w:w="532"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6762544</w:t>
            </w:r>
          </w:p>
        </w:tc>
        <w:tc>
          <w:tcPr>
            <w:tcW w:w="456"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728885</w:t>
            </w:r>
          </w:p>
        </w:tc>
        <w:tc>
          <w:tcPr>
            <w:tcW w:w="379" w:type="pct"/>
            <w:shd w:val="clear" w:color="auto" w:fill="8DB3E2"/>
            <w:vAlign w:val="center"/>
          </w:tcPr>
          <w:p w:rsidR="00E809F1" w:rsidRPr="0063461D" w:rsidRDefault="00E809F1" w:rsidP="0063461D">
            <w:pPr>
              <w:spacing w:before="60" w:after="60"/>
              <w:jc w:val="left"/>
              <w:rPr>
                <w:rFonts w:cs="Arial"/>
                <w:szCs w:val="20"/>
              </w:rPr>
            </w:pPr>
            <w:r w:rsidRPr="0063461D">
              <w:rPr>
                <w:rFonts w:cs="Arial"/>
                <w:szCs w:val="20"/>
                <w:lang w:eastAsia="en-AU"/>
              </w:rPr>
              <w:t>Wet</w:t>
            </w:r>
          </w:p>
        </w:tc>
        <w:tc>
          <w:tcPr>
            <w:tcW w:w="370" w:type="pct"/>
            <w:shd w:val="clear" w:color="auto" w:fill="FFFF00"/>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Dry</w:t>
            </w:r>
          </w:p>
        </w:tc>
      </w:tr>
      <w:tr w:rsidR="00E809F1" w:rsidRPr="0063461D" w:rsidTr="00CC18AA">
        <w:trPr>
          <w:trHeight w:val="300"/>
          <w:jc w:val="center"/>
        </w:trPr>
        <w:tc>
          <w:tcPr>
            <w:tcW w:w="1069" w:type="pct"/>
            <w:vAlign w:val="center"/>
          </w:tcPr>
          <w:p w:rsidR="00E809F1" w:rsidRPr="0063461D" w:rsidRDefault="00E809F1" w:rsidP="0063461D">
            <w:pPr>
              <w:spacing w:before="60" w:after="60"/>
              <w:jc w:val="left"/>
              <w:rPr>
                <w:rFonts w:cs="Arial"/>
                <w:color w:val="000000"/>
                <w:szCs w:val="20"/>
                <w:lang w:eastAsia="en-AU"/>
              </w:rPr>
            </w:pPr>
            <w:r w:rsidRPr="0063461D">
              <w:rPr>
                <w:rFonts w:cs="Arial"/>
                <w:color w:val="000000"/>
                <w:szCs w:val="20"/>
                <w:lang w:eastAsia="en-AU"/>
              </w:rPr>
              <w:t>Water couch marsh grassland</w:t>
            </w:r>
          </w:p>
        </w:tc>
        <w:tc>
          <w:tcPr>
            <w:tcW w:w="1487" w:type="pct"/>
            <w:shd w:val="clear" w:color="auto" w:fill="auto"/>
            <w:noWrap/>
            <w:vAlign w:val="center"/>
            <w:hideMark/>
          </w:tcPr>
          <w:p w:rsidR="00E809F1" w:rsidRPr="0063461D" w:rsidRDefault="00E809F1" w:rsidP="0063461D">
            <w:pPr>
              <w:spacing w:before="60" w:after="60"/>
              <w:jc w:val="left"/>
              <w:rPr>
                <w:rFonts w:cs="Arial"/>
                <w:szCs w:val="20"/>
                <w:lang w:eastAsia="en-AU"/>
              </w:rPr>
            </w:pPr>
            <w:r w:rsidRPr="0063461D">
              <w:rPr>
                <w:rFonts w:cs="Arial"/>
                <w:szCs w:val="20"/>
                <w:lang w:eastAsia="en-AU"/>
              </w:rPr>
              <w:t>Mungwonga_1_1</w:t>
            </w:r>
          </w:p>
        </w:tc>
        <w:tc>
          <w:tcPr>
            <w:tcW w:w="707"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Gingham</w:t>
            </w:r>
          </w:p>
        </w:tc>
        <w:tc>
          <w:tcPr>
            <w:tcW w:w="532"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6764005</w:t>
            </w:r>
          </w:p>
        </w:tc>
        <w:tc>
          <w:tcPr>
            <w:tcW w:w="456"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722759</w:t>
            </w:r>
          </w:p>
        </w:tc>
        <w:tc>
          <w:tcPr>
            <w:tcW w:w="379" w:type="pct"/>
            <w:shd w:val="clear" w:color="auto" w:fill="8DB3E2"/>
            <w:vAlign w:val="center"/>
          </w:tcPr>
          <w:p w:rsidR="00E809F1" w:rsidRPr="0063461D" w:rsidRDefault="00E809F1" w:rsidP="0063461D">
            <w:pPr>
              <w:spacing w:before="60" w:after="60"/>
              <w:jc w:val="left"/>
              <w:rPr>
                <w:rFonts w:cs="Arial"/>
                <w:szCs w:val="20"/>
              </w:rPr>
            </w:pPr>
            <w:r w:rsidRPr="0063461D">
              <w:rPr>
                <w:rFonts w:cs="Arial"/>
                <w:szCs w:val="20"/>
                <w:lang w:eastAsia="en-AU"/>
              </w:rPr>
              <w:t>Wet</w:t>
            </w:r>
          </w:p>
        </w:tc>
        <w:tc>
          <w:tcPr>
            <w:tcW w:w="370" w:type="pct"/>
            <w:shd w:val="clear" w:color="auto" w:fill="FFFF00"/>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Dry</w:t>
            </w:r>
          </w:p>
        </w:tc>
      </w:tr>
      <w:tr w:rsidR="00E809F1" w:rsidRPr="0063461D" w:rsidTr="00CC18AA">
        <w:trPr>
          <w:trHeight w:val="300"/>
          <w:jc w:val="center"/>
        </w:trPr>
        <w:tc>
          <w:tcPr>
            <w:tcW w:w="1069" w:type="pct"/>
            <w:vAlign w:val="center"/>
          </w:tcPr>
          <w:p w:rsidR="00E809F1" w:rsidRPr="0063461D" w:rsidRDefault="00E809F1" w:rsidP="0063461D">
            <w:pPr>
              <w:spacing w:before="60" w:after="60"/>
              <w:jc w:val="left"/>
              <w:rPr>
                <w:rFonts w:cs="Arial"/>
                <w:color w:val="000000"/>
                <w:szCs w:val="20"/>
                <w:lang w:eastAsia="en-AU"/>
              </w:rPr>
            </w:pPr>
            <w:r w:rsidRPr="0063461D">
              <w:rPr>
                <w:rFonts w:cs="Arial"/>
                <w:color w:val="000000"/>
                <w:szCs w:val="20"/>
                <w:lang w:eastAsia="en-AU"/>
              </w:rPr>
              <w:t>Water couch marsh grassland</w:t>
            </w:r>
          </w:p>
        </w:tc>
        <w:tc>
          <w:tcPr>
            <w:tcW w:w="1487" w:type="pct"/>
            <w:shd w:val="clear" w:color="auto" w:fill="auto"/>
            <w:noWrap/>
            <w:vAlign w:val="center"/>
            <w:hideMark/>
          </w:tcPr>
          <w:p w:rsidR="00E809F1" w:rsidRPr="0063461D" w:rsidRDefault="00E809F1" w:rsidP="0063461D">
            <w:pPr>
              <w:spacing w:before="60" w:after="60"/>
              <w:jc w:val="left"/>
              <w:rPr>
                <w:rFonts w:cs="Arial"/>
                <w:szCs w:val="20"/>
                <w:lang w:eastAsia="en-AU"/>
              </w:rPr>
            </w:pPr>
            <w:r w:rsidRPr="0063461D">
              <w:rPr>
                <w:rFonts w:cs="Arial"/>
                <w:szCs w:val="20"/>
                <w:lang w:eastAsia="en-AU"/>
              </w:rPr>
              <w:t>Mungwonga_1_2</w:t>
            </w:r>
          </w:p>
        </w:tc>
        <w:tc>
          <w:tcPr>
            <w:tcW w:w="707"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Gingham</w:t>
            </w:r>
          </w:p>
        </w:tc>
        <w:tc>
          <w:tcPr>
            <w:tcW w:w="532"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6763930</w:t>
            </w:r>
          </w:p>
        </w:tc>
        <w:tc>
          <w:tcPr>
            <w:tcW w:w="456"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722771</w:t>
            </w:r>
          </w:p>
        </w:tc>
        <w:tc>
          <w:tcPr>
            <w:tcW w:w="379" w:type="pct"/>
            <w:shd w:val="clear" w:color="auto" w:fill="8DB3E2"/>
            <w:vAlign w:val="center"/>
          </w:tcPr>
          <w:p w:rsidR="00E809F1" w:rsidRPr="0063461D" w:rsidRDefault="00E809F1" w:rsidP="0063461D">
            <w:pPr>
              <w:spacing w:before="60" w:after="60"/>
              <w:jc w:val="left"/>
              <w:rPr>
                <w:rFonts w:cs="Arial"/>
                <w:szCs w:val="20"/>
              </w:rPr>
            </w:pPr>
            <w:r w:rsidRPr="0063461D">
              <w:rPr>
                <w:rFonts w:cs="Arial"/>
                <w:szCs w:val="20"/>
                <w:lang w:eastAsia="en-AU"/>
              </w:rPr>
              <w:t>Wet</w:t>
            </w:r>
          </w:p>
        </w:tc>
        <w:tc>
          <w:tcPr>
            <w:tcW w:w="370" w:type="pct"/>
            <w:shd w:val="clear" w:color="auto" w:fill="FFFF00"/>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Dry</w:t>
            </w:r>
          </w:p>
        </w:tc>
      </w:tr>
      <w:tr w:rsidR="00E809F1" w:rsidRPr="0063461D" w:rsidTr="00CC18AA">
        <w:trPr>
          <w:trHeight w:val="300"/>
          <w:jc w:val="center"/>
        </w:trPr>
        <w:tc>
          <w:tcPr>
            <w:tcW w:w="1069" w:type="pct"/>
            <w:vAlign w:val="center"/>
          </w:tcPr>
          <w:p w:rsidR="00E809F1" w:rsidRPr="0063461D" w:rsidRDefault="00E809F1" w:rsidP="0063461D">
            <w:pPr>
              <w:spacing w:before="60" w:after="60"/>
              <w:jc w:val="left"/>
              <w:rPr>
                <w:rFonts w:cs="Arial"/>
                <w:color w:val="000000"/>
                <w:szCs w:val="20"/>
                <w:lang w:eastAsia="en-AU"/>
              </w:rPr>
            </w:pPr>
            <w:r w:rsidRPr="0063461D">
              <w:rPr>
                <w:rFonts w:cs="Arial"/>
                <w:color w:val="000000"/>
                <w:szCs w:val="20"/>
                <w:lang w:eastAsia="en-AU"/>
              </w:rPr>
              <w:t>Water couch marsh grassland</w:t>
            </w:r>
          </w:p>
        </w:tc>
        <w:tc>
          <w:tcPr>
            <w:tcW w:w="1487" w:type="pct"/>
            <w:shd w:val="clear" w:color="auto" w:fill="auto"/>
            <w:noWrap/>
            <w:vAlign w:val="center"/>
            <w:hideMark/>
          </w:tcPr>
          <w:p w:rsidR="00E809F1" w:rsidRPr="0063461D" w:rsidRDefault="00E809F1" w:rsidP="0063461D">
            <w:pPr>
              <w:spacing w:before="60" w:after="60"/>
              <w:jc w:val="left"/>
              <w:rPr>
                <w:rFonts w:cs="Arial"/>
                <w:color w:val="000000"/>
                <w:szCs w:val="20"/>
                <w:lang w:eastAsia="en-AU"/>
              </w:rPr>
            </w:pPr>
            <w:r w:rsidRPr="0063461D">
              <w:rPr>
                <w:rFonts w:cs="Arial"/>
                <w:color w:val="000000"/>
                <w:szCs w:val="20"/>
                <w:lang w:eastAsia="en-AU"/>
              </w:rPr>
              <w:t>Mungwonga_1_3</w:t>
            </w:r>
          </w:p>
        </w:tc>
        <w:tc>
          <w:tcPr>
            <w:tcW w:w="707" w:type="pct"/>
            <w:vAlign w:val="center"/>
          </w:tcPr>
          <w:p w:rsidR="00E809F1" w:rsidRPr="0063461D" w:rsidRDefault="00E809F1" w:rsidP="0063461D">
            <w:pPr>
              <w:spacing w:before="60" w:after="60"/>
              <w:jc w:val="left"/>
              <w:rPr>
                <w:rFonts w:cs="Arial"/>
                <w:color w:val="000000"/>
                <w:szCs w:val="20"/>
                <w:lang w:eastAsia="en-AU"/>
              </w:rPr>
            </w:pPr>
            <w:r w:rsidRPr="0063461D">
              <w:rPr>
                <w:rFonts w:cs="Arial"/>
                <w:color w:val="000000"/>
                <w:szCs w:val="20"/>
              </w:rPr>
              <w:t>Gingham</w:t>
            </w:r>
          </w:p>
        </w:tc>
        <w:tc>
          <w:tcPr>
            <w:tcW w:w="532" w:type="pct"/>
            <w:vAlign w:val="center"/>
          </w:tcPr>
          <w:p w:rsidR="00E809F1" w:rsidRPr="0063461D" w:rsidRDefault="00E809F1" w:rsidP="0063461D">
            <w:pPr>
              <w:spacing w:before="60" w:after="60"/>
              <w:jc w:val="left"/>
              <w:rPr>
                <w:rFonts w:cs="Arial"/>
                <w:color w:val="000000"/>
                <w:szCs w:val="20"/>
                <w:lang w:eastAsia="en-AU"/>
              </w:rPr>
            </w:pPr>
            <w:r w:rsidRPr="0063461D">
              <w:rPr>
                <w:rFonts w:cs="Arial"/>
                <w:color w:val="000000"/>
                <w:szCs w:val="20"/>
                <w:lang w:eastAsia="en-AU"/>
              </w:rPr>
              <w:t>6764083</w:t>
            </w:r>
          </w:p>
        </w:tc>
        <w:tc>
          <w:tcPr>
            <w:tcW w:w="456" w:type="pct"/>
            <w:vAlign w:val="center"/>
          </w:tcPr>
          <w:p w:rsidR="00E809F1" w:rsidRPr="0063461D" w:rsidRDefault="00E809F1" w:rsidP="0063461D">
            <w:pPr>
              <w:spacing w:before="60" w:after="60"/>
              <w:jc w:val="left"/>
              <w:rPr>
                <w:rFonts w:cs="Arial"/>
                <w:color w:val="000000"/>
                <w:szCs w:val="20"/>
                <w:lang w:eastAsia="en-AU"/>
              </w:rPr>
            </w:pPr>
            <w:r w:rsidRPr="0063461D">
              <w:rPr>
                <w:rFonts w:cs="Arial"/>
                <w:color w:val="000000"/>
                <w:szCs w:val="20"/>
                <w:lang w:eastAsia="en-AU"/>
              </w:rPr>
              <w:t>722726</w:t>
            </w:r>
          </w:p>
        </w:tc>
        <w:tc>
          <w:tcPr>
            <w:tcW w:w="379" w:type="pct"/>
            <w:shd w:val="clear" w:color="auto" w:fill="8DB3E2"/>
            <w:vAlign w:val="center"/>
          </w:tcPr>
          <w:p w:rsidR="00E809F1" w:rsidRPr="0063461D" w:rsidRDefault="00E809F1" w:rsidP="0063461D">
            <w:pPr>
              <w:spacing w:before="60" w:after="60"/>
              <w:jc w:val="left"/>
              <w:rPr>
                <w:rFonts w:cs="Arial"/>
                <w:color w:val="000000"/>
                <w:szCs w:val="20"/>
                <w:lang w:eastAsia="en-AU"/>
              </w:rPr>
            </w:pPr>
            <w:r w:rsidRPr="0063461D">
              <w:rPr>
                <w:rFonts w:cs="Arial"/>
                <w:color w:val="000000"/>
                <w:szCs w:val="20"/>
                <w:lang w:eastAsia="en-AU"/>
              </w:rPr>
              <w:t>Wet</w:t>
            </w:r>
          </w:p>
        </w:tc>
        <w:tc>
          <w:tcPr>
            <w:tcW w:w="370" w:type="pct"/>
            <w:shd w:val="clear" w:color="auto" w:fill="FFFF00"/>
            <w:vAlign w:val="center"/>
          </w:tcPr>
          <w:p w:rsidR="00E809F1" w:rsidRPr="0063461D" w:rsidRDefault="00E809F1" w:rsidP="0063461D">
            <w:pPr>
              <w:spacing w:before="60" w:after="60"/>
              <w:jc w:val="left"/>
              <w:rPr>
                <w:rFonts w:cs="Arial"/>
                <w:color w:val="000000"/>
                <w:szCs w:val="20"/>
                <w:lang w:eastAsia="en-AU"/>
              </w:rPr>
            </w:pPr>
            <w:r w:rsidRPr="0063461D">
              <w:rPr>
                <w:rFonts w:cs="Arial"/>
                <w:color w:val="000000"/>
                <w:szCs w:val="20"/>
                <w:lang w:eastAsia="en-AU"/>
              </w:rPr>
              <w:t>Dry</w:t>
            </w:r>
          </w:p>
        </w:tc>
      </w:tr>
      <w:tr w:rsidR="00E809F1" w:rsidRPr="0063461D" w:rsidTr="0063461D">
        <w:trPr>
          <w:trHeight w:val="300"/>
          <w:jc w:val="center"/>
        </w:trPr>
        <w:tc>
          <w:tcPr>
            <w:tcW w:w="1069" w:type="pct"/>
            <w:vAlign w:val="center"/>
          </w:tcPr>
          <w:p w:rsidR="00E809F1" w:rsidRPr="0063461D" w:rsidRDefault="00E809F1" w:rsidP="0063461D">
            <w:pPr>
              <w:spacing w:before="60" w:after="60"/>
              <w:jc w:val="left"/>
              <w:rPr>
                <w:rFonts w:cs="Arial"/>
                <w:color w:val="000000"/>
                <w:szCs w:val="20"/>
                <w:lang w:eastAsia="en-AU"/>
              </w:rPr>
            </w:pPr>
            <w:r w:rsidRPr="0063461D">
              <w:rPr>
                <w:rFonts w:cs="Arial"/>
                <w:color w:val="000000"/>
                <w:szCs w:val="20"/>
                <w:lang w:eastAsia="en-AU"/>
              </w:rPr>
              <w:t>Water couch marsh grassland</w:t>
            </w:r>
          </w:p>
        </w:tc>
        <w:tc>
          <w:tcPr>
            <w:tcW w:w="1487" w:type="pct"/>
            <w:shd w:val="clear" w:color="auto" w:fill="auto"/>
            <w:noWrap/>
            <w:vAlign w:val="center"/>
            <w:hideMark/>
          </w:tcPr>
          <w:p w:rsidR="00E809F1" w:rsidRPr="0063461D" w:rsidRDefault="00E809F1" w:rsidP="0063461D">
            <w:pPr>
              <w:spacing w:before="60" w:after="60"/>
              <w:jc w:val="left"/>
              <w:rPr>
                <w:rFonts w:cs="Arial"/>
                <w:color w:val="000000"/>
                <w:szCs w:val="20"/>
                <w:lang w:eastAsia="en-AU"/>
              </w:rPr>
            </w:pPr>
            <w:r w:rsidRPr="0063461D">
              <w:rPr>
                <w:rFonts w:cs="Arial"/>
                <w:color w:val="000000"/>
                <w:szCs w:val="20"/>
                <w:lang w:eastAsia="en-AU"/>
              </w:rPr>
              <w:t>Old_Dromana_Elders_1_1</w:t>
            </w:r>
          </w:p>
        </w:tc>
        <w:tc>
          <w:tcPr>
            <w:tcW w:w="707" w:type="pct"/>
            <w:vAlign w:val="center"/>
          </w:tcPr>
          <w:p w:rsidR="00E809F1" w:rsidRPr="0063461D" w:rsidRDefault="00E809F1" w:rsidP="0063461D">
            <w:pPr>
              <w:spacing w:before="60" w:after="60"/>
              <w:jc w:val="left"/>
              <w:rPr>
                <w:rFonts w:cs="Arial"/>
                <w:color w:val="000000"/>
                <w:szCs w:val="20"/>
                <w:lang w:eastAsia="en-AU"/>
              </w:rPr>
            </w:pPr>
            <w:r w:rsidRPr="0063461D">
              <w:rPr>
                <w:rFonts w:cs="Arial"/>
                <w:color w:val="000000"/>
                <w:szCs w:val="20"/>
              </w:rPr>
              <w:t>Lower Gwydir</w:t>
            </w:r>
          </w:p>
        </w:tc>
        <w:tc>
          <w:tcPr>
            <w:tcW w:w="532" w:type="pct"/>
            <w:vAlign w:val="center"/>
          </w:tcPr>
          <w:p w:rsidR="00E809F1" w:rsidRPr="0063461D" w:rsidRDefault="00E809F1" w:rsidP="0063461D">
            <w:pPr>
              <w:spacing w:before="60" w:after="60"/>
              <w:jc w:val="left"/>
              <w:rPr>
                <w:rFonts w:cs="Arial"/>
                <w:color w:val="000000"/>
                <w:szCs w:val="20"/>
                <w:lang w:eastAsia="en-AU"/>
              </w:rPr>
            </w:pPr>
            <w:r w:rsidRPr="0063461D">
              <w:rPr>
                <w:rFonts w:cs="Arial"/>
                <w:color w:val="000000"/>
                <w:szCs w:val="20"/>
                <w:lang w:eastAsia="en-AU"/>
              </w:rPr>
              <w:t>6752745</w:t>
            </w:r>
          </w:p>
        </w:tc>
        <w:tc>
          <w:tcPr>
            <w:tcW w:w="456" w:type="pct"/>
            <w:vAlign w:val="center"/>
          </w:tcPr>
          <w:p w:rsidR="00E809F1" w:rsidRPr="0063461D" w:rsidRDefault="00E809F1" w:rsidP="0063461D">
            <w:pPr>
              <w:spacing w:before="60" w:after="60"/>
              <w:jc w:val="left"/>
              <w:rPr>
                <w:rFonts w:cs="Arial"/>
                <w:color w:val="000000"/>
                <w:szCs w:val="20"/>
                <w:lang w:eastAsia="en-AU"/>
              </w:rPr>
            </w:pPr>
            <w:r w:rsidRPr="0063461D">
              <w:rPr>
                <w:rFonts w:cs="Arial"/>
                <w:color w:val="000000"/>
                <w:szCs w:val="20"/>
                <w:lang w:eastAsia="en-AU"/>
              </w:rPr>
              <w:t>723443</w:t>
            </w:r>
          </w:p>
        </w:tc>
        <w:tc>
          <w:tcPr>
            <w:tcW w:w="379" w:type="pct"/>
            <w:shd w:val="clear" w:color="auto" w:fill="FFFF00"/>
            <w:vAlign w:val="center"/>
          </w:tcPr>
          <w:p w:rsidR="00E809F1" w:rsidRPr="0063461D" w:rsidRDefault="00E809F1" w:rsidP="0063461D">
            <w:pPr>
              <w:spacing w:before="60" w:after="60"/>
              <w:jc w:val="left"/>
              <w:rPr>
                <w:rFonts w:cs="Arial"/>
                <w:color w:val="000000"/>
                <w:szCs w:val="20"/>
                <w:lang w:eastAsia="en-AU"/>
              </w:rPr>
            </w:pPr>
            <w:r w:rsidRPr="0063461D">
              <w:rPr>
                <w:rFonts w:cs="Arial"/>
                <w:color w:val="000000"/>
                <w:szCs w:val="20"/>
                <w:lang w:eastAsia="en-AU"/>
              </w:rPr>
              <w:t>Dry</w:t>
            </w:r>
          </w:p>
        </w:tc>
        <w:tc>
          <w:tcPr>
            <w:tcW w:w="370" w:type="pct"/>
            <w:shd w:val="clear" w:color="auto" w:fill="FFFF00"/>
            <w:vAlign w:val="center"/>
          </w:tcPr>
          <w:p w:rsidR="00E809F1" w:rsidRPr="0063461D" w:rsidRDefault="00E809F1" w:rsidP="0063461D">
            <w:pPr>
              <w:spacing w:before="60" w:after="60"/>
              <w:jc w:val="left"/>
              <w:rPr>
                <w:rFonts w:cs="Arial"/>
                <w:color w:val="000000"/>
                <w:szCs w:val="20"/>
                <w:lang w:eastAsia="en-AU"/>
              </w:rPr>
            </w:pPr>
            <w:r w:rsidRPr="0063461D">
              <w:rPr>
                <w:rFonts w:cs="Arial"/>
                <w:color w:val="000000"/>
                <w:szCs w:val="20"/>
                <w:lang w:eastAsia="en-AU"/>
              </w:rPr>
              <w:t>Dry</w:t>
            </w:r>
          </w:p>
        </w:tc>
      </w:tr>
      <w:tr w:rsidR="00E809F1" w:rsidRPr="0063461D" w:rsidTr="0063461D">
        <w:trPr>
          <w:trHeight w:val="300"/>
          <w:jc w:val="center"/>
        </w:trPr>
        <w:tc>
          <w:tcPr>
            <w:tcW w:w="1069" w:type="pct"/>
            <w:vAlign w:val="center"/>
          </w:tcPr>
          <w:p w:rsidR="00E809F1" w:rsidRPr="0063461D" w:rsidRDefault="00E809F1" w:rsidP="0063461D">
            <w:pPr>
              <w:spacing w:before="60" w:after="60"/>
              <w:jc w:val="left"/>
              <w:rPr>
                <w:rFonts w:cs="Arial"/>
                <w:color w:val="000000"/>
                <w:szCs w:val="20"/>
                <w:lang w:eastAsia="en-AU"/>
              </w:rPr>
            </w:pPr>
            <w:r w:rsidRPr="0063461D">
              <w:rPr>
                <w:rFonts w:cs="Arial"/>
                <w:color w:val="000000"/>
                <w:szCs w:val="20"/>
                <w:lang w:eastAsia="en-AU"/>
              </w:rPr>
              <w:t>Water couch marsh grassland</w:t>
            </w:r>
          </w:p>
        </w:tc>
        <w:tc>
          <w:tcPr>
            <w:tcW w:w="1487" w:type="pct"/>
            <w:shd w:val="clear" w:color="auto" w:fill="auto"/>
            <w:noWrap/>
            <w:vAlign w:val="center"/>
            <w:hideMark/>
          </w:tcPr>
          <w:p w:rsidR="00E809F1" w:rsidRPr="0063461D" w:rsidRDefault="00E809F1" w:rsidP="0063461D">
            <w:pPr>
              <w:spacing w:before="60" w:after="60"/>
              <w:jc w:val="left"/>
              <w:rPr>
                <w:rFonts w:cs="Arial"/>
                <w:szCs w:val="20"/>
                <w:lang w:eastAsia="en-AU"/>
              </w:rPr>
            </w:pPr>
            <w:r w:rsidRPr="0063461D">
              <w:rPr>
                <w:rFonts w:cs="Arial"/>
                <w:szCs w:val="20"/>
                <w:lang w:eastAsia="en-AU"/>
              </w:rPr>
              <w:t>Old_Dromana_Elders_1_2</w:t>
            </w:r>
          </w:p>
        </w:tc>
        <w:tc>
          <w:tcPr>
            <w:tcW w:w="707" w:type="pct"/>
            <w:vAlign w:val="center"/>
          </w:tcPr>
          <w:p w:rsidR="00E809F1" w:rsidRPr="0063461D" w:rsidRDefault="00E809F1" w:rsidP="0063461D">
            <w:pPr>
              <w:spacing w:before="60" w:after="60"/>
              <w:jc w:val="left"/>
              <w:rPr>
                <w:rFonts w:cs="Arial"/>
                <w:color w:val="000000"/>
                <w:szCs w:val="20"/>
                <w:lang w:eastAsia="en-AU"/>
              </w:rPr>
            </w:pPr>
            <w:r w:rsidRPr="0063461D">
              <w:rPr>
                <w:rFonts w:cs="Arial"/>
                <w:color w:val="000000"/>
                <w:szCs w:val="20"/>
              </w:rPr>
              <w:t>Lower Gwydir</w:t>
            </w:r>
          </w:p>
        </w:tc>
        <w:tc>
          <w:tcPr>
            <w:tcW w:w="532"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6752603</w:t>
            </w:r>
          </w:p>
        </w:tc>
        <w:tc>
          <w:tcPr>
            <w:tcW w:w="456"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723435</w:t>
            </w:r>
          </w:p>
        </w:tc>
        <w:tc>
          <w:tcPr>
            <w:tcW w:w="379" w:type="pct"/>
            <w:shd w:val="clear" w:color="auto" w:fill="FFFF00"/>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Dry</w:t>
            </w:r>
          </w:p>
        </w:tc>
        <w:tc>
          <w:tcPr>
            <w:tcW w:w="370" w:type="pct"/>
            <w:shd w:val="clear" w:color="auto" w:fill="FFFF00"/>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Dry</w:t>
            </w:r>
          </w:p>
        </w:tc>
      </w:tr>
      <w:tr w:rsidR="00E809F1" w:rsidRPr="0063461D" w:rsidTr="0063461D">
        <w:trPr>
          <w:trHeight w:val="300"/>
          <w:jc w:val="center"/>
        </w:trPr>
        <w:tc>
          <w:tcPr>
            <w:tcW w:w="1069" w:type="pct"/>
            <w:vAlign w:val="center"/>
          </w:tcPr>
          <w:p w:rsidR="00E809F1" w:rsidRPr="0063461D" w:rsidRDefault="00E809F1" w:rsidP="0063461D">
            <w:pPr>
              <w:spacing w:before="60" w:after="60"/>
              <w:jc w:val="left"/>
              <w:rPr>
                <w:rFonts w:cs="Arial"/>
                <w:color w:val="000000"/>
                <w:szCs w:val="20"/>
                <w:lang w:eastAsia="en-AU"/>
              </w:rPr>
            </w:pPr>
            <w:r w:rsidRPr="0063461D">
              <w:rPr>
                <w:rFonts w:cs="Arial"/>
                <w:color w:val="000000"/>
                <w:szCs w:val="20"/>
                <w:lang w:eastAsia="en-AU"/>
              </w:rPr>
              <w:t>Water couch marsh grassland</w:t>
            </w:r>
          </w:p>
        </w:tc>
        <w:tc>
          <w:tcPr>
            <w:tcW w:w="1487" w:type="pct"/>
            <w:shd w:val="clear" w:color="auto" w:fill="auto"/>
            <w:noWrap/>
            <w:vAlign w:val="center"/>
            <w:hideMark/>
          </w:tcPr>
          <w:p w:rsidR="00E809F1" w:rsidRPr="0063461D" w:rsidRDefault="00E809F1" w:rsidP="0063461D">
            <w:pPr>
              <w:spacing w:before="60" w:after="60"/>
              <w:jc w:val="left"/>
              <w:rPr>
                <w:rFonts w:cs="Arial"/>
                <w:szCs w:val="20"/>
                <w:lang w:eastAsia="en-AU"/>
              </w:rPr>
            </w:pPr>
            <w:r w:rsidRPr="0063461D">
              <w:rPr>
                <w:rFonts w:cs="Arial"/>
                <w:szCs w:val="20"/>
                <w:lang w:eastAsia="en-AU"/>
              </w:rPr>
              <w:t>Old_Dromana_Elders_1_3</w:t>
            </w:r>
          </w:p>
        </w:tc>
        <w:tc>
          <w:tcPr>
            <w:tcW w:w="707" w:type="pct"/>
            <w:vAlign w:val="center"/>
          </w:tcPr>
          <w:p w:rsidR="00E809F1" w:rsidRPr="0063461D" w:rsidRDefault="00E809F1" w:rsidP="0063461D">
            <w:pPr>
              <w:spacing w:before="60" w:after="60"/>
              <w:jc w:val="left"/>
              <w:rPr>
                <w:rFonts w:cs="Arial"/>
                <w:color w:val="000000"/>
                <w:szCs w:val="20"/>
                <w:lang w:eastAsia="en-AU"/>
              </w:rPr>
            </w:pPr>
            <w:r w:rsidRPr="0063461D">
              <w:rPr>
                <w:rFonts w:cs="Arial"/>
                <w:color w:val="000000"/>
                <w:szCs w:val="20"/>
              </w:rPr>
              <w:t>Lower Gwydir</w:t>
            </w:r>
          </w:p>
        </w:tc>
        <w:tc>
          <w:tcPr>
            <w:tcW w:w="532"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6752706</w:t>
            </w:r>
          </w:p>
        </w:tc>
        <w:tc>
          <w:tcPr>
            <w:tcW w:w="456"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723395</w:t>
            </w:r>
          </w:p>
        </w:tc>
        <w:tc>
          <w:tcPr>
            <w:tcW w:w="379" w:type="pct"/>
            <w:shd w:val="clear" w:color="auto" w:fill="FFFF00"/>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Dry</w:t>
            </w:r>
          </w:p>
        </w:tc>
        <w:tc>
          <w:tcPr>
            <w:tcW w:w="370" w:type="pct"/>
            <w:shd w:val="clear" w:color="auto" w:fill="FFFF00"/>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Dry</w:t>
            </w:r>
          </w:p>
        </w:tc>
      </w:tr>
      <w:tr w:rsidR="00E809F1" w:rsidRPr="0063461D" w:rsidTr="0063461D">
        <w:trPr>
          <w:trHeight w:val="300"/>
          <w:jc w:val="center"/>
        </w:trPr>
        <w:tc>
          <w:tcPr>
            <w:tcW w:w="1069" w:type="pct"/>
            <w:vAlign w:val="center"/>
          </w:tcPr>
          <w:p w:rsidR="00E809F1" w:rsidRPr="0063461D" w:rsidRDefault="00F32154" w:rsidP="00833B2A">
            <w:pPr>
              <w:spacing w:before="60" w:after="60"/>
              <w:jc w:val="left"/>
              <w:rPr>
                <w:rFonts w:cs="Arial"/>
                <w:color w:val="000000"/>
                <w:szCs w:val="20"/>
                <w:lang w:eastAsia="en-AU"/>
              </w:rPr>
            </w:pPr>
            <w:r w:rsidRPr="0063461D">
              <w:rPr>
                <w:rFonts w:cs="Arial"/>
                <w:color w:val="000000"/>
                <w:szCs w:val="20"/>
                <w:lang w:eastAsia="en-AU"/>
              </w:rPr>
              <w:t>Cool</w:t>
            </w:r>
            <w:r w:rsidR="00833B2A">
              <w:rPr>
                <w:rFonts w:cs="Arial"/>
                <w:color w:val="000000"/>
                <w:szCs w:val="20"/>
                <w:lang w:eastAsia="en-AU"/>
              </w:rPr>
              <w:t>i</w:t>
            </w:r>
            <w:r w:rsidRPr="0063461D">
              <w:rPr>
                <w:rFonts w:cs="Arial"/>
                <w:color w:val="000000"/>
                <w:szCs w:val="20"/>
                <w:lang w:eastAsia="en-AU"/>
              </w:rPr>
              <w:t>bah Woodland</w:t>
            </w:r>
          </w:p>
        </w:tc>
        <w:tc>
          <w:tcPr>
            <w:tcW w:w="1487" w:type="pct"/>
            <w:shd w:val="clear" w:color="auto" w:fill="auto"/>
            <w:noWrap/>
            <w:vAlign w:val="center"/>
            <w:hideMark/>
          </w:tcPr>
          <w:p w:rsidR="00E809F1" w:rsidRPr="0063461D" w:rsidRDefault="00E809F1" w:rsidP="0063461D">
            <w:pPr>
              <w:spacing w:before="60" w:after="60"/>
              <w:jc w:val="left"/>
              <w:rPr>
                <w:rFonts w:cs="Arial"/>
                <w:szCs w:val="20"/>
                <w:lang w:eastAsia="en-AU"/>
              </w:rPr>
            </w:pPr>
            <w:r w:rsidRPr="0063461D">
              <w:rPr>
                <w:rFonts w:cs="Arial"/>
                <w:szCs w:val="20"/>
                <w:lang w:eastAsia="en-AU"/>
              </w:rPr>
              <w:t>Old_Dromana_Elders_1_4</w:t>
            </w:r>
          </w:p>
        </w:tc>
        <w:tc>
          <w:tcPr>
            <w:tcW w:w="707" w:type="pct"/>
            <w:vAlign w:val="center"/>
          </w:tcPr>
          <w:p w:rsidR="00E809F1" w:rsidRPr="0063461D" w:rsidRDefault="00E809F1" w:rsidP="0063461D">
            <w:pPr>
              <w:spacing w:before="60" w:after="60"/>
              <w:jc w:val="left"/>
              <w:rPr>
                <w:rFonts w:cs="Arial"/>
                <w:color w:val="000000"/>
                <w:szCs w:val="20"/>
                <w:lang w:eastAsia="en-AU"/>
              </w:rPr>
            </w:pPr>
            <w:r w:rsidRPr="0063461D">
              <w:rPr>
                <w:rFonts w:cs="Arial"/>
                <w:color w:val="000000"/>
                <w:szCs w:val="20"/>
              </w:rPr>
              <w:t>Lower Gwydir</w:t>
            </w:r>
          </w:p>
        </w:tc>
        <w:tc>
          <w:tcPr>
            <w:tcW w:w="532"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6752918</w:t>
            </w:r>
          </w:p>
        </w:tc>
        <w:tc>
          <w:tcPr>
            <w:tcW w:w="456"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723552</w:t>
            </w:r>
          </w:p>
        </w:tc>
        <w:tc>
          <w:tcPr>
            <w:tcW w:w="379" w:type="pct"/>
            <w:shd w:val="clear" w:color="auto" w:fill="FFFF00"/>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Dry</w:t>
            </w:r>
          </w:p>
        </w:tc>
        <w:tc>
          <w:tcPr>
            <w:tcW w:w="370" w:type="pct"/>
            <w:shd w:val="clear" w:color="auto" w:fill="FFFF00"/>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Dry</w:t>
            </w:r>
          </w:p>
        </w:tc>
      </w:tr>
      <w:tr w:rsidR="00E809F1" w:rsidRPr="0063461D" w:rsidTr="0063461D">
        <w:trPr>
          <w:trHeight w:val="300"/>
          <w:jc w:val="center"/>
        </w:trPr>
        <w:tc>
          <w:tcPr>
            <w:tcW w:w="1069" w:type="pct"/>
            <w:vAlign w:val="center"/>
          </w:tcPr>
          <w:p w:rsidR="00E809F1" w:rsidRPr="0063461D" w:rsidRDefault="00E809F1" w:rsidP="00833B2A">
            <w:pPr>
              <w:spacing w:before="60" w:after="60"/>
              <w:jc w:val="left"/>
              <w:rPr>
                <w:rFonts w:cs="Arial"/>
                <w:szCs w:val="20"/>
              </w:rPr>
            </w:pPr>
            <w:r w:rsidRPr="0063461D">
              <w:rPr>
                <w:rFonts w:cs="Arial"/>
                <w:color w:val="000000"/>
                <w:szCs w:val="20"/>
                <w:lang w:eastAsia="en-AU"/>
              </w:rPr>
              <w:t>Cool</w:t>
            </w:r>
            <w:r w:rsidR="00833B2A">
              <w:rPr>
                <w:rFonts w:cs="Arial"/>
                <w:color w:val="000000"/>
                <w:szCs w:val="20"/>
                <w:lang w:eastAsia="en-AU"/>
              </w:rPr>
              <w:t>i</w:t>
            </w:r>
            <w:r w:rsidRPr="0063461D">
              <w:rPr>
                <w:rFonts w:cs="Arial"/>
                <w:color w:val="000000"/>
                <w:szCs w:val="20"/>
                <w:lang w:eastAsia="en-AU"/>
              </w:rPr>
              <w:t>bah Woodland</w:t>
            </w:r>
          </w:p>
        </w:tc>
        <w:tc>
          <w:tcPr>
            <w:tcW w:w="1487" w:type="pct"/>
            <w:shd w:val="clear" w:color="auto" w:fill="auto"/>
            <w:noWrap/>
            <w:vAlign w:val="center"/>
            <w:hideMark/>
          </w:tcPr>
          <w:p w:rsidR="00E809F1" w:rsidRPr="0063461D" w:rsidRDefault="00E809F1" w:rsidP="0063461D">
            <w:pPr>
              <w:spacing w:before="60" w:after="60"/>
              <w:jc w:val="left"/>
              <w:rPr>
                <w:rFonts w:cs="Arial"/>
                <w:szCs w:val="20"/>
                <w:lang w:eastAsia="en-AU"/>
              </w:rPr>
            </w:pPr>
            <w:r w:rsidRPr="0063461D">
              <w:rPr>
                <w:rFonts w:cs="Arial"/>
                <w:szCs w:val="20"/>
                <w:lang w:eastAsia="en-AU"/>
              </w:rPr>
              <w:t>Old_Dromana_Nursery_1</w:t>
            </w:r>
          </w:p>
        </w:tc>
        <w:tc>
          <w:tcPr>
            <w:tcW w:w="707" w:type="pct"/>
            <w:vAlign w:val="center"/>
          </w:tcPr>
          <w:p w:rsidR="00E809F1" w:rsidRPr="0063461D" w:rsidRDefault="00E809F1" w:rsidP="0063461D">
            <w:pPr>
              <w:spacing w:before="60" w:after="60"/>
              <w:jc w:val="left"/>
              <w:rPr>
                <w:rFonts w:cs="Arial"/>
                <w:color w:val="000000"/>
                <w:szCs w:val="20"/>
                <w:lang w:eastAsia="en-AU"/>
              </w:rPr>
            </w:pPr>
            <w:r w:rsidRPr="0063461D">
              <w:rPr>
                <w:rFonts w:cs="Arial"/>
                <w:color w:val="000000"/>
                <w:szCs w:val="20"/>
              </w:rPr>
              <w:t>Lower Gwydir</w:t>
            </w:r>
          </w:p>
        </w:tc>
        <w:tc>
          <w:tcPr>
            <w:tcW w:w="532"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6751431</w:t>
            </w:r>
          </w:p>
        </w:tc>
        <w:tc>
          <w:tcPr>
            <w:tcW w:w="456"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726197</w:t>
            </w:r>
          </w:p>
        </w:tc>
        <w:tc>
          <w:tcPr>
            <w:tcW w:w="379" w:type="pct"/>
            <w:shd w:val="clear" w:color="auto" w:fill="FFFF00"/>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Dry</w:t>
            </w:r>
          </w:p>
        </w:tc>
        <w:tc>
          <w:tcPr>
            <w:tcW w:w="370" w:type="pct"/>
            <w:shd w:val="clear" w:color="auto" w:fill="FFFF00"/>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Dry</w:t>
            </w:r>
          </w:p>
        </w:tc>
      </w:tr>
      <w:tr w:rsidR="00E809F1" w:rsidRPr="0063461D" w:rsidTr="0063461D">
        <w:trPr>
          <w:trHeight w:val="300"/>
          <w:jc w:val="center"/>
        </w:trPr>
        <w:tc>
          <w:tcPr>
            <w:tcW w:w="1069" w:type="pct"/>
            <w:vAlign w:val="center"/>
          </w:tcPr>
          <w:p w:rsidR="00E809F1" w:rsidRPr="0063461D" w:rsidRDefault="00E809F1" w:rsidP="00833B2A">
            <w:pPr>
              <w:spacing w:before="60" w:after="60"/>
              <w:jc w:val="left"/>
              <w:rPr>
                <w:rFonts w:cs="Arial"/>
                <w:szCs w:val="20"/>
              </w:rPr>
            </w:pPr>
            <w:r w:rsidRPr="0063461D">
              <w:rPr>
                <w:rFonts w:cs="Arial"/>
                <w:color w:val="000000"/>
                <w:szCs w:val="20"/>
                <w:lang w:eastAsia="en-AU"/>
              </w:rPr>
              <w:t>Cool</w:t>
            </w:r>
            <w:r w:rsidR="00833B2A">
              <w:rPr>
                <w:rFonts w:cs="Arial"/>
                <w:color w:val="000000"/>
                <w:szCs w:val="20"/>
                <w:lang w:eastAsia="en-AU"/>
              </w:rPr>
              <w:t>i</w:t>
            </w:r>
            <w:r w:rsidRPr="0063461D">
              <w:rPr>
                <w:rFonts w:cs="Arial"/>
                <w:color w:val="000000"/>
                <w:szCs w:val="20"/>
                <w:lang w:eastAsia="en-AU"/>
              </w:rPr>
              <w:t>bah Woodland</w:t>
            </w:r>
          </w:p>
        </w:tc>
        <w:tc>
          <w:tcPr>
            <w:tcW w:w="1487" w:type="pct"/>
            <w:shd w:val="clear" w:color="auto" w:fill="auto"/>
            <w:noWrap/>
            <w:vAlign w:val="center"/>
            <w:hideMark/>
          </w:tcPr>
          <w:p w:rsidR="00E809F1" w:rsidRPr="0063461D" w:rsidRDefault="00E809F1" w:rsidP="0063461D">
            <w:pPr>
              <w:spacing w:before="60" w:after="60"/>
              <w:jc w:val="left"/>
              <w:rPr>
                <w:rFonts w:cs="Arial"/>
                <w:szCs w:val="20"/>
                <w:lang w:eastAsia="en-AU"/>
              </w:rPr>
            </w:pPr>
            <w:r w:rsidRPr="0063461D">
              <w:rPr>
                <w:rFonts w:cs="Arial"/>
                <w:szCs w:val="20"/>
                <w:lang w:eastAsia="en-AU"/>
              </w:rPr>
              <w:t>Old_Dromana_Nursery_2</w:t>
            </w:r>
          </w:p>
        </w:tc>
        <w:tc>
          <w:tcPr>
            <w:tcW w:w="707" w:type="pct"/>
            <w:vAlign w:val="center"/>
          </w:tcPr>
          <w:p w:rsidR="00E809F1" w:rsidRPr="0063461D" w:rsidRDefault="00E809F1" w:rsidP="0063461D">
            <w:pPr>
              <w:spacing w:before="60" w:after="60"/>
              <w:jc w:val="left"/>
              <w:rPr>
                <w:rFonts w:cs="Arial"/>
                <w:color w:val="000000"/>
                <w:szCs w:val="20"/>
                <w:lang w:eastAsia="en-AU"/>
              </w:rPr>
            </w:pPr>
            <w:r w:rsidRPr="0063461D">
              <w:rPr>
                <w:rFonts w:cs="Arial"/>
                <w:color w:val="000000"/>
                <w:szCs w:val="20"/>
              </w:rPr>
              <w:t>Lower Gwydir</w:t>
            </w:r>
          </w:p>
        </w:tc>
        <w:tc>
          <w:tcPr>
            <w:tcW w:w="532"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6751888</w:t>
            </w:r>
          </w:p>
        </w:tc>
        <w:tc>
          <w:tcPr>
            <w:tcW w:w="456"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724473</w:t>
            </w:r>
          </w:p>
        </w:tc>
        <w:tc>
          <w:tcPr>
            <w:tcW w:w="379" w:type="pct"/>
            <w:shd w:val="clear" w:color="auto" w:fill="FFFF00"/>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Dry</w:t>
            </w:r>
          </w:p>
        </w:tc>
        <w:tc>
          <w:tcPr>
            <w:tcW w:w="370" w:type="pct"/>
            <w:shd w:val="clear" w:color="auto" w:fill="FFFF00"/>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Dry</w:t>
            </w:r>
          </w:p>
        </w:tc>
      </w:tr>
      <w:tr w:rsidR="00E809F1" w:rsidRPr="0063461D" w:rsidTr="0063461D">
        <w:trPr>
          <w:trHeight w:val="300"/>
          <w:jc w:val="center"/>
        </w:trPr>
        <w:tc>
          <w:tcPr>
            <w:tcW w:w="1069" w:type="pct"/>
            <w:vAlign w:val="center"/>
          </w:tcPr>
          <w:p w:rsidR="00E809F1" w:rsidRPr="0063461D" w:rsidRDefault="00E809F1" w:rsidP="0063461D">
            <w:pPr>
              <w:spacing w:before="60" w:after="60"/>
              <w:jc w:val="left"/>
              <w:rPr>
                <w:rFonts w:cs="Arial"/>
                <w:szCs w:val="20"/>
              </w:rPr>
            </w:pPr>
            <w:r w:rsidRPr="0063461D">
              <w:rPr>
                <w:rFonts w:cs="Arial"/>
                <w:szCs w:val="20"/>
              </w:rPr>
              <w:t>Eleocharis tall sedgelands</w:t>
            </w:r>
          </w:p>
        </w:tc>
        <w:tc>
          <w:tcPr>
            <w:tcW w:w="1487" w:type="pct"/>
            <w:shd w:val="clear" w:color="auto" w:fill="auto"/>
            <w:noWrap/>
            <w:vAlign w:val="center"/>
            <w:hideMark/>
          </w:tcPr>
          <w:p w:rsidR="00E809F1" w:rsidRPr="0063461D" w:rsidRDefault="00E809F1" w:rsidP="0063461D">
            <w:pPr>
              <w:spacing w:before="60" w:after="60"/>
              <w:jc w:val="left"/>
              <w:rPr>
                <w:rFonts w:cs="Arial"/>
                <w:szCs w:val="20"/>
                <w:lang w:eastAsia="en-AU"/>
              </w:rPr>
            </w:pPr>
            <w:r w:rsidRPr="0063461D">
              <w:rPr>
                <w:rFonts w:cs="Arial"/>
                <w:szCs w:val="20"/>
                <w:lang w:eastAsia="en-AU"/>
              </w:rPr>
              <w:t>Old_Dromana_Ramsar_1_1</w:t>
            </w:r>
          </w:p>
        </w:tc>
        <w:tc>
          <w:tcPr>
            <w:tcW w:w="707" w:type="pct"/>
            <w:vAlign w:val="center"/>
          </w:tcPr>
          <w:p w:rsidR="00E809F1" w:rsidRPr="0063461D" w:rsidRDefault="00E809F1" w:rsidP="0063461D">
            <w:pPr>
              <w:spacing w:before="60" w:after="60"/>
              <w:jc w:val="left"/>
              <w:rPr>
                <w:rFonts w:cs="Arial"/>
                <w:color w:val="000000"/>
                <w:szCs w:val="20"/>
                <w:lang w:eastAsia="en-AU"/>
              </w:rPr>
            </w:pPr>
            <w:r w:rsidRPr="0063461D">
              <w:rPr>
                <w:rFonts w:cs="Arial"/>
                <w:color w:val="000000"/>
                <w:szCs w:val="20"/>
              </w:rPr>
              <w:t>Lower Gwydir</w:t>
            </w:r>
          </w:p>
        </w:tc>
        <w:tc>
          <w:tcPr>
            <w:tcW w:w="532"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6750977</w:t>
            </w:r>
          </w:p>
        </w:tc>
        <w:tc>
          <w:tcPr>
            <w:tcW w:w="456"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727152</w:t>
            </w:r>
          </w:p>
        </w:tc>
        <w:tc>
          <w:tcPr>
            <w:tcW w:w="379" w:type="pct"/>
            <w:shd w:val="clear" w:color="auto" w:fill="FFFF00"/>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Dry</w:t>
            </w:r>
          </w:p>
        </w:tc>
        <w:tc>
          <w:tcPr>
            <w:tcW w:w="370" w:type="pct"/>
            <w:shd w:val="clear" w:color="auto" w:fill="FFFF00"/>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Dry</w:t>
            </w:r>
          </w:p>
        </w:tc>
      </w:tr>
      <w:tr w:rsidR="00E809F1" w:rsidRPr="0063461D" w:rsidTr="0063461D">
        <w:trPr>
          <w:trHeight w:val="300"/>
          <w:jc w:val="center"/>
        </w:trPr>
        <w:tc>
          <w:tcPr>
            <w:tcW w:w="1069" w:type="pct"/>
            <w:vAlign w:val="center"/>
          </w:tcPr>
          <w:p w:rsidR="00E809F1" w:rsidRPr="0063461D" w:rsidRDefault="00E809F1" w:rsidP="0063461D">
            <w:pPr>
              <w:spacing w:before="60" w:after="60"/>
              <w:jc w:val="left"/>
              <w:rPr>
                <w:rFonts w:cs="Arial"/>
                <w:szCs w:val="20"/>
              </w:rPr>
            </w:pPr>
            <w:r w:rsidRPr="0063461D">
              <w:rPr>
                <w:rFonts w:cs="Arial"/>
                <w:szCs w:val="20"/>
              </w:rPr>
              <w:t>Eleocharis tall sedgelands</w:t>
            </w:r>
          </w:p>
        </w:tc>
        <w:tc>
          <w:tcPr>
            <w:tcW w:w="1487" w:type="pct"/>
            <w:shd w:val="clear" w:color="auto" w:fill="auto"/>
            <w:noWrap/>
            <w:vAlign w:val="center"/>
            <w:hideMark/>
          </w:tcPr>
          <w:p w:rsidR="00E809F1" w:rsidRPr="0063461D" w:rsidRDefault="00E809F1" w:rsidP="0063461D">
            <w:pPr>
              <w:spacing w:before="60" w:after="60"/>
              <w:jc w:val="left"/>
              <w:rPr>
                <w:rFonts w:cs="Arial"/>
                <w:szCs w:val="20"/>
                <w:lang w:eastAsia="en-AU"/>
              </w:rPr>
            </w:pPr>
            <w:r w:rsidRPr="0063461D">
              <w:rPr>
                <w:rFonts w:cs="Arial"/>
                <w:szCs w:val="20"/>
                <w:lang w:eastAsia="en-AU"/>
              </w:rPr>
              <w:t>Old_Dromana_Ramsar_1_2</w:t>
            </w:r>
          </w:p>
        </w:tc>
        <w:tc>
          <w:tcPr>
            <w:tcW w:w="707" w:type="pct"/>
            <w:vAlign w:val="center"/>
          </w:tcPr>
          <w:p w:rsidR="00E809F1" w:rsidRPr="0063461D" w:rsidRDefault="00E809F1" w:rsidP="0063461D">
            <w:pPr>
              <w:spacing w:before="60" w:after="60"/>
              <w:jc w:val="left"/>
              <w:rPr>
                <w:rFonts w:cs="Arial"/>
                <w:color w:val="000000"/>
                <w:szCs w:val="20"/>
                <w:lang w:eastAsia="en-AU"/>
              </w:rPr>
            </w:pPr>
            <w:r w:rsidRPr="0063461D">
              <w:rPr>
                <w:rFonts w:cs="Arial"/>
                <w:color w:val="000000"/>
                <w:szCs w:val="20"/>
              </w:rPr>
              <w:t>Lower Gwydir</w:t>
            </w:r>
          </w:p>
        </w:tc>
        <w:tc>
          <w:tcPr>
            <w:tcW w:w="532"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6750992</w:t>
            </w:r>
          </w:p>
        </w:tc>
        <w:tc>
          <w:tcPr>
            <w:tcW w:w="456"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727184</w:t>
            </w:r>
          </w:p>
        </w:tc>
        <w:tc>
          <w:tcPr>
            <w:tcW w:w="379" w:type="pct"/>
            <w:shd w:val="clear" w:color="auto" w:fill="FFFF00"/>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Dry</w:t>
            </w:r>
          </w:p>
        </w:tc>
        <w:tc>
          <w:tcPr>
            <w:tcW w:w="370" w:type="pct"/>
            <w:shd w:val="clear" w:color="auto" w:fill="FFFF00"/>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Dry</w:t>
            </w:r>
          </w:p>
        </w:tc>
      </w:tr>
      <w:tr w:rsidR="00E809F1" w:rsidRPr="0063461D" w:rsidTr="0063461D">
        <w:trPr>
          <w:trHeight w:val="300"/>
          <w:jc w:val="center"/>
        </w:trPr>
        <w:tc>
          <w:tcPr>
            <w:tcW w:w="1069" w:type="pct"/>
            <w:vAlign w:val="center"/>
          </w:tcPr>
          <w:p w:rsidR="00E809F1" w:rsidRPr="0063461D" w:rsidRDefault="00E809F1" w:rsidP="0063461D">
            <w:pPr>
              <w:spacing w:before="60" w:after="60"/>
              <w:jc w:val="left"/>
              <w:rPr>
                <w:rFonts w:cs="Arial"/>
                <w:szCs w:val="20"/>
              </w:rPr>
            </w:pPr>
            <w:r w:rsidRPr="0063461D">
              <w:rPr>
                <w:rFonts w:cs="Arial"/>
                <w:szCs w:val="20"/>
              </w:rPr>
              <w:t>Eleocharis tall sedgelands</w:t>
            </w:r>
          </w:p>
        </w:tc>
        <w:tc>
          <w:tcPr>
            <w:tcW w:w="1487" w:type="pct"/>
            <w:shd w:val="clear" w:color="auto" w:fill="auto"/>
            <w:noWrap/>
            <w:vAlign w:val="center"/>
            <w:hideMark/>
          </w:tcPr>
          <w:p w:rsidR="00E809F1" w:rsidRPr="0063461D" w:rsidRDefault="00E809F1" w:rsidP="0063461D">
            <w:pPr>
              <w:spacing w:before="60" w:after="60"/>
              <w:jc w:val="left"/>
              <w:rPr>
                <w:rFonts w:cs="Arial"/>
                <w:szCs w:val="20"/>
                <w:lang w:eastAsia="en-AU"/>
              </w:rPr>
            </w:pPr>
            <w:r w:rsidRPr="0063461D">
              <w:rPr>
                <w:rFonts w:cs="Arial"/>
                <w:szCs w:val="20"/>
                <w:lang w:eastAsia="en-AU"/>
              </w:rPr>
              <w:t>Old_Dromana_Ramsar_1_3</w:t>
            </w:r>
          </w:p>
        </w:tc>
        <w:tc>
          <w:tcPr>
            <w:tcW w:w="707" w:type="pct"/>
            <w:vAlign w:val="center"/>
          </w:tcPr>
          <w:p w:rsidR="00E809F1" w:rsidRPr="0063461D" w:rsidRDefault="00E809F1" w:rsidP="0063461D">
            <w:pPr>
              <w:spacing w:before="60" w:after="60"/>
              <w:jc w:val="left"/>
              <w:rPr>
                <w:rFonts w:cs="Arial"/>
                <w:color w:val="000000"/>
                <w:szCs w:val="20"/>
                <w:lang w:eastAsia="en-AU"/>
              </w:rPr>
            </w:pPr>
            <w:r w:rsidRPr="0063461D">
              <w:rPr>
                <w:rFonts w:cs="Arial"/>
                <w:color w:val="000000"/>
                <w:szCs w:val="20"/>
              </w:rPr>
              <w:t>Lower Gwydir</w:t>
            </w:r>
          </w:p>
        </w:tc>
        <w:tc>
          <w:tcPr>
            <w:tcW w:w="532"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6751075</w:t>
            </w:r>
          </w:p>
        </w:tc>
        <w:tc>
          <w:tcPr>
            <w:tcW w:w="456"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727098</w:t>
            </w:r>
          </w:p>
        </w:tc>
        <w:tc>
          <w:tcPr>
            <w:tcW w:w="379" w:type="pct"/>
            <w:shd w:val="clear" w:color="auto" w:fill="FFFF00"/>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Dry</w:t>
            </w:r>
          </w:p>
        </w:tc>
        <w:tc>
          <w:tcPr>
            <w:tcW w:w="370" w:type="pct"/>
            <w:shd w:val="clear" w:color="auto" w:fill="FFFF00"/>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Dry</w:t>
            </w:r>
          </w:p>
        </w:tc>
      </w:tr>
      <w:tr w:rsidR="00E809F1" w:rsidRPr="0063461D" w:rsidTr="0063461D">
        <w:trPr>
          <w:trHeight w:val="300"/>
          <w:jc w:val="center"/>
        </w:trPr>
        <w:tc>
          <w:tcPr>
            <w:tcW w:w="1069" w:type="pct"/>
            <w:vAlign w:val="center"/>
          </w:tcPr>
          <w:p w:rsidR="00E809F1" w:rsidRPr="0063461D" w:rsidRDefault="00E809F1" w:rsidP="00833B2A">
            <w:pPr>
              <w:spacing w:before="60" w:after="60"/>
              <w:jc w:val="left"/>
              <w:rPr>
                <w:rFonts w:cs="Arial"/>
                <w:color w:val="000000"/>
                <w:szCs w:val="20"/>
                <w:lang w:eastAsia="en-AU"/>
              </w:rPr>
            </w:pPr>
            <w:r w:rsidRPr="0063461D">
              <w:rPr>
                <w:rFonts w:cs="Arial"/>
                <w:color w:val="000000"/>
                <w:szCs w:val="20"/>
                <w:lang w:eastAsia="en-AU"/>
              </w:rPr>
              <w:t>Cool</w:t>
            </w:r>
            <w:r w:rsidR="00833B2A">
              <w:rPr>
                <w:rFonts w:cs="Arial"/>
                <w:color w:val="000000"/>
                <w:szCs w:val="20"/>
                <w:lang w:eastAsia="en-AU"/>
              </w:rPr>
              <w:t>i</w:t>
            </w:r>
            <w:r w:rsidRPr="0063461D">
              <w:rPr>
                <w:rFonts w:cs="Arial"/>
                <w:color w:val="000000"/>
                <w:szCs w:val="20"/>
                <w:lang w:eastAsia="en-AU"/>
              </w:rPr>
              <w:t>bah Woodland</w:t>
            </w:r>
          </w:p>
        </w:tc>
        <w:tc>
          <w:tcPr>
            <w:tcW w:w="1487" w:type="pct"/>
            <w:shd w:val="clear" w:color="auto" w:fill="auto"/>
            <w:noWrap/>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Old_Dromana_Ramsar_2_1</w:t>
            </w:r>
          </w:p>
        </w:tc>
        <w:tc>
          <w:tcPr>
            <w:tcW w:w="707" w:type="pct"/>
            <w:vAlign w:val="center"/>
          </w:tcPr>
          <w:p w:rsidR="00E809F1" w:rsidRPr="0063461D" w:rsidRDefault="00E809F1" w:rsidP="0063461D">
            <w:pPr>
              <w:spacing w:before="60" w:after="60"/>
              <w:jc w:val="left"/>
              <w:rPr>
                <w:rFonts w:cs="Arial"/>
                <w:color w:val="000000"/>
                <w:szCs w:val="20"/>
                <w:lang w:eastAsia="en-AU"/>
              </w:rPr>
            </w:pPr>
            <w:r w:rsidRPr="0063461D">
              <w:rPr>
                <w:rFonts w:cs="Arial"/>
                <w:color w:val="000000"/>
                <w:szCs w:val="20"/>
              </w:rPr>
              <w:t>Lower Gwydir</w:t>
            </w:r>
          </w:p>
        </w:tc>
        <w:tc>
          <w:tcPr>
            <w:tcW w:w="532"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6751800</w:t>
            </w:r>
          </w:p>
        </w:tc>
        <w:tc>
          <w:tcPr>
            <w:tcW w:w="456"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726701</w:t>
            </w:r>
          </w:p>
        </w:tc>
        <w:tc>
          <w:tcPr>
            <w:tcW w:w="379" w:type="pct"/>
            <w:shd w:val="clear" w:color="auto" w:fill="FFFF00"/>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Dry</w:t>
            </w:r>
          </w:p>
        </w:tc>
        <w:tc>
          <w:tcPr>
            <w:tcW w:w="370" w:type="pct"/>
            <w:shd w:val="clear" w:color="auto" w:fill="FFFF00"/>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Dry</w:t>
            </w:r>
          </w:p>
        </w:tc>
      </w:tr>
      <w:tr w:rsidR="00E809F1" w:rsidRPr="0063461D" w:rsidTr="0063461D">
        <w:trPr>
          <w:trHeight w:val="300"/>
          <w:jc w:val="center"/>
        </w:trPr>
        <w:tc>
          <w:tcPr>
            <w:tcW w:w="1069" w:type="pct"/>
            <w:vAlign w:val="center"/>
          </w:tcPr>
          <w:p w:rsidR="00E809F1" w:rsidRPr="0063461D" w:rsidRDefault="00E809F1" w:rsidP="0063461D">
            <w:pPr>
              <w:spacing w:before="60" w:after="60"/>
              <w:jc w:val="left"/>
              <w:rPr>
                <w:rFonts w:cs="Arial"/>
                <w:color w:val="000000"/>
                <w:szCs w:val="20"/>
                <w:lang w:eastAsia="en-AU"/>
              </w:rPr>
            </w:pPr>
            <w:r w:rsidRPr="0063461D">
              <w:rPr>
                <w:rFonts w:cs="Arial"/>
                <w:color w:val="000000"/>
                <w:szCs w:val="20"/>
                <w:lang w:eastAsia="en-AU"/>
              </w:rPr>
              <w:t>Water couch marsh grassland</w:t>
            </w:r>
          </w:p>
        </w:tc>
        <w:tc>
          <w:tcPr>
            <w:tcW w:w="1487" w:type="pct"/>
            <w:shd w:val="clear" w:color="auto" w:fill="auto"/>
            <w:noWrap/>
            <w:vAlign w:val="center"/>
            <w:hideMark/>
          </w:tcPr>
          <w:p w:rsidR="00E809F1" w:rsidRPr="0063461D" w:rsidRDefault="00E809F1" w:rsidP="0063461D">
            <w:pPr>
              <w:spacing w:before="60" w:after="60"/>
              <w:jc w:val="left"/>
              <w:rPr>
                <w:rFonts w:cs="Arial"/>
                <w:szCs w:val="20"/>
                <w:lang w:eastAsia="en-AU"/>
              </w:rPr>
            </w:pPr>
            <w:r w:rsidRPr="0063461D">
              <w:rPr>
                <w:rFonts w:cs="Arial"/>
                <w:szCs w:val="20"/>
                <w:lang w:eastAsia="en-AU"/>
              </w:rPr>
              <w:t>Old_Dromana_Ramsar_3_1</w:t>
            </w:r>
          </w:p>
        </w:tc>
        <w:tc>
          <w:tcPr>
            <w:tcW w:w="707" w:type="pct"/>
            <w:vAlign w:val="center"/>
          </w:tcPr>
          <w:p w:rsidR="00E809F1" w:rsidRPr="0063461D" w:rsidRDefault="00E809F1" w:rsidP="0063461D">
            <w:pPr>
              <w:spacing w:before="60" w:after="60"/>
              <w:jc w:val="left"/>
              <w:rPr>
                <w:rFonts w:cs="Arial"/>
                <w:color w:val="000000"/>
                <w:szCs w:val="20"/>
                <w:lang w:eastAsia="en-AU"/>
              </w:rPr>
            </w:pPr>
            <w:r w:rsidRPr="0063461D">
              <w:rPr>
                <w:rFonts w:cs="Arial"/>
                <w:color w:val="000000"/>
                <w:szCs w:val="20"/>
              </w:rPr>
              <w:t>Lower Gwydir</w:t>
            </w:r>
          </w:p>
        </w:tc>
        <w:tc>
          <w:tcPr>
            <w:tcW w:w="532"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6751426</w:t>
            </w:r>
          </w:p>
        </w:tc>
        <w:tc>
          <w:tcPr>
            <w:tcW w:w="456"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726741</w:t>
            </w:r>
          </w:p>
        </w:tc>
        <w:tc>
          <w:tcPr>
            <w:tcW w:w="379" w:type="pct"/>
            <w:shd w:val="clear" w:color="auto" w:fill="FFFF00"/>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Dry</w:t>
            </w:r>
          </w:p>
        </w:tc>
        <w:tc>
          <w:tcPr>
            <w:tcW w:w="370" w:type="pct"/>
            <w:shd w:val="clear" w:color="auto" w:fill="FFFF00"/>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Dry</w:t>
            </w:r>
          </w:p>
        </w:tc>
      </w:tr>
      <w:tr w:rsidR="00E809F1" w:rsidRPr="0063461D" w:rsidTr="0063461D">
        <w:trPr>
          <w:trHeight w:val="300"/>
          <w:jc w:val="center"/>
        </w:trPr>
        <w:tc>
          <w:tcPr>
            <w:tcW w:w="1069" w:type="pct"/>
            <w:vAlign w:val="center"/>
          </w:tcPr>
          <w:p w:rsidR="00E809F1" w:rsidRPr="0063461D" w:rsidRDefault="00E809F1" w:rsidP="0063461D">
            <w:pPr>
              <w:spacing w:before="60" w:after="60"/>
              <w:jc w:val="left"/>
              <w:rPr>
                <w:rFonts w:cs="Arial"/>
                <w:color w:val="000000"/>
                <w:szCs w:val="20"/>
                <w:lang w:eastAsia="en-AU"/>
              </w:rPr>
            </w:pPr>
            <w:r w:rsidRPr="0063461D">
              <w:rPr>
                <w:rFonts w:cs="Arial"/>
                <w:color w:val="000000"/>
                <w:szCs w:val="20"/>
                <w:lang w:eastAsia="en-AU"/>
              </w:rPr>
              <w:t>Water couch marsh grassland</w:t>
            </w:r>
          </w:p>
        </w:tc>
        <w:tc>
          <w:tcPr>
            <w:tcW w:w="1487" w:type="pct"/>
            <w:shd w:val="clear" w:color="auto" w:fill="auto"/>
            <w:noWrap/>
            <w:vAlign w:val="center"/>
            <w:hideMark/>
          </w:tcPr>
          <w:p w:rsidR="00E809F1" w:rsidRPr="0063461D" w:rsidRDefault="00E809F1" w:rsidP="0063461D">
            <w:pPr>
              <w:spacing w:before="60" w:after="60"/>
              <w:jc w:val="left"/>
              <w:rPr>
                <w:rFonts w:cs="Arial"/>
                <w:szCs w:val="20"/>
                <w:lang w:eastAsia="en-AU"/>
              </w:rPr>
            </w:pPr>
            <w:r w:rsidRPr="0063461D">
              <w:rPr>
                <w:rFonts w:cs="Arial"/>
                <w:szCs w:val="20"/>
                <w:lang w:eastAsia="en-AU"/>
              </w:rPr>
              <w:t>Old_Dromana_Ramsar_3_2</w:t>
            </w:r>
          </w:p>
        </w:tc>
        <w:tc>
          <w:tcPr>
            <w:tcW w:w="707" w:type="pct"/>
            <w:vAlign w:val="center"/>
          </w:tcPr>
          <w:p w:rsidR="00E809F1" w:rsidRPr="0063461D" w:rsidRDefault="00E809F1" w:rsidP="0063461D">
            <w:pPr>
              <w:spacing w:before="60" w:after="60"/>
              <w:jc w:val="left"/>
              <w:rPr>
                <w:rFonts w:cs="Arial"/>
                <w:color w:val="000000"/>
                <w:szCs w:val="20"/>
                <w:lang w:eastAsia="en-AU"/>
              </w:rPr>
            </w:pPr>
            <w:r w:rsidRPr="0063461D">
              <w:rPr>
                <w:rFonts w:cs="Arial"/>
                <w:color w:val="000000"/>
                <w:szCs w:val="20"/>
              </w:rPr>
              <w:t>Lower Gwydir</w:t>
            </w:r>
          </w:p>
        </w:tc>
        <w:tc>
          <w:tcPr>
            <w:tcW w:w="532"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6751456</w:t>
            </w:r>
          </w:p>
        </w:tc>
        <w:tc>
          <w:tcPr>
            <w:tcW w:w="456"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726641</w:t>
            </w:r>
          </w:p>
        </w:tc>
        <w:tc>
          <w:tcPr>
            <w:tcW w:w="379" w:type="pct"/>
            <w:shd w:val="clear" w:color="auto" w:fill="FFFF00"/>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Dry</w:t>
            </w:r>
          </w:p>
        </w:tc>
        <w:tc>
          <w:tcPr>
            <w:tcW w:w="370" w:type="pct"/>
            <w:shd w:val="clear" w:color="auto" w:fill="FFFF00"/>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Dry</w:t>
            </w:r>
          </w:p>
        </w:tc>
      </w:tr>
      <w:tr w:rsidR="00E809F1" w:rsidRPr="0063461D" w:rsidTr="0063461D">
        <w:trPr>
          <w:trHeight w:val="300"/>
          <w:jc w:val="center"/>
        </w:trPr>
        <w:tc>
          <w:tcPr>
            <w:tcW w:w="1069" w:type="pct"/>
            <w:vAlign w:val="center"/>
          </w:tcPr>
          <w:p w:rsidR="00E809F1" w:rsidRPr="0063461D" w:rsidRDefault="00E809F1" w:rsidP="0063461D">
            <w:pPr>
              <w:spacing w:before="60" w:after="60"/>
              <w:jc w:val="left"/>
              <w:rPr>
                <w:rFonts w:cs="Arial"/>
                <w:color w:val="000000"/>
                <w:szCs w:val="20"/>
                <w:lang w:eastAsia="en-AU"/>
              </w:rPr>
            </w:pPr>
            <w:r w:rsidRPr="0063461D">
              <w:rPr>
                <w:rFonts w:cs="Arial"/>
                <w:color w:val="000000"/>
                <w:szCs w:val="20"/>
                <w:lang w:eastAsia="en-AU"/>
              </w:rPr>
              <w:t>Water couch marsh grassland</w:t>
            </w:r>
          </w:p>
        </w:tc>
        <w:tc>
          <w:tcPr>
            <w:tcW w:w="1487" w:type="pct"/>
            <w:shd w:val="clear" w:color="auto" w:fill="auto"/>
            <w:noWrap/>
            <w:vAlign w:val="center"/>
            <w:hideMark/>
          </w:tcPr>
          <w:p w:rsidR="00E809F1" w:rsidRPr="0063461D" w:rsidRDefault="00E809F1" w:rsidP="0063461D">
            <w:pPr>
              <w:spacing w:before="60" w:after="60"/>
              <w:jc w:val="left"/>
              <w:rPr>
                <w:rFonts w:cs="Arial"/>
                <w:szCs w:val="20"/>
                <w:lang w:eastAsia="en-AU"/>
              </w:rPr>
            </w:pPr>
            <w:r w:rsidRPr="0063461D">
              <w:rPr>
                <w:rFonts w:cs="Arial"/>
                <w:szCs w:val="20"/>
                <w:lang w:eastAsia="en-AU"/>
              </w:rPr>
              <w:t>Old_Dromana_Ramsar_3_3</w:t>
            </w:r>
          </w:p>
        </w:tc>
        <w:tc>
          <w:tcPr>
            <w:tcW w:w="707" w:type="pct"/>
            <w:vAlign w:val="center"/>
          </w:tcPr>
          <w:p w:rsidR="00E809F1" w:rsidRPr="0063461D" w:rsidRDefault="00E809F1" w:rsidP="0063461D">
            <w:pPr>
              <w:spacing w:before="60" w:after="60"/>
              <w:jc w:val="left"/>
              <w:rPr>
                <w:rFonts w:cs="Arial"/>
                <w:color w:val="000000"/>
                <w:szCs w:val="20"/>
                <w:lang w:eastAsia="en-AU"/>
              </w:rPr>
            </w:pPr>
            <w:r w:rsidRPr="0063461D">
              <w:rPr>
                <w:rFonts w:cs="Arial"/>
                <w:color w:val="000000"/>
                <w:szCs w:val="20"/>
              </w:rPr>
              <w:t>Lower Gwydir</w:t>
            </w:r>
          </w:p>
        </w:tc>
        <w:tc>
          <w:tcPr>
            <w:tcW w:w="532"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6751515</w:t>
            </w:r>
          </w:p>
        </w:tc>
        <w:tc>
          <w:tcPr>
            <w:tcW w:w="456"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726746</w:t>
            </w:r>
          </w:p>
        </w:tc>
        <w:tc>
          <w:tcPr>
            <w:tcW w:w="379" w:type="pct"/>
            <w:shd w:val="clear" w:color="auto" w:fill="FFFF00"/>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Dry</w:t>
            </w:r>
          </w:p>
        </w:tc>
        <w:tc>
          <w:tcPr>
            <w:tcW w:w="370" w:type="pct"/>
            <w:shd w:val="clear" w:color="auto" w:fill="FFFF00"/>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Dry</w:t>
            </w:r>
          </w:p>
        </w:tc>
      </w:tr>
      <w:tr w:rsidR="00E809F1" w:rsidRPr="0063461D" w:rsidTr="0063461D">
        <w:trPr>
          <w:trHeight w:val="300"/>
          <w:jc w:val="center"/>
        </w:trPr>
        <w:tc>
          <w:tcPr>
            <w:tcW w:w="1069" w:type="pct"/>
            <w:vAlign w:val="center"/>
          </w:tcPr>
          <w:p w:rsidR="00E809F1" w:rsidRPr="0063461D" w:rsidRDefault="00E809F1" w:rsidP="00833B2A">
            <w:pPr>
              <w:spacing w:before="60" w:after="60"/>
              <w:jc w:val="left"/>
              <w:rPr>
                <w:rFonts w:cs="Arial"/>
                <w:szCs w:val="20"/>
              </w:rPr>
            </w:pPr>
            <w:r w:rsidRPr="0063461D">
              <w:rPr>
                <w:rFonts w:cs="Arial"/>
                <w:color w:val="000000"/>
                <w:szCs w:val="20"/>
                <w:lang w:eastAsia="en-AU"/>
              </w:rPr>
              <w:t>Cool</w:t>
            </w:r>
            <w:r w:rsidR="00833B2A">
              <w:rPr>
                <w:rFonts w:cs="Arial"/>
                <w:color w:val="000000"/>
                <w:szCs w:val="20"/>
                <w:lang w:eastAsia="en-AU"/>
              </w:rPr>
              <w:t>i</w:t>
            </w:r>
            <w:r w:rsidRPr="0063461D">
              <w:rPr>
                <w:rFonts w:cs="Arial"/>
                <w:color w:val="000000"/>
                <w:szCs w:val="20"/>
                <w:lang w:eastAsia="en-AU"/>
              </w:rPr>
              <w:t>bah Woodland</w:t>
            </w:r>
          </w:p>
        </w:tc>
        <w:tc>
          <w:tcPr>
            <w:tcW w:w="1487" w:type="pct"/>
            <w:shd w:val="clear" w:color="auto" w:fill="auto"/>
            <w:noWrap/>
            <w:vAlign w:val="center"/>
            <w:hideMark/>
          </w:tcPr>
          <w:p w:rsidR="00E809F1" w:rsidRPr="0063461D" w:rsidRDefault="00E809F1" w:rsidP="0063461D">
            <w:pPr>
              <w:spacing w:before="60" w:after="60"/>
              <w:jc w:val="left"/>
              <w:rPr>
                <w:rFonts w:cs="Arial"/>
                <w:szCs w:val="20"/>
                <w:lang w:eastAsia="en-AU"/>
              </w:rPr>
            </w:pPr>
            <w:r w:rsidRPr="0063461D">
              <w:rPr>
                <w:rFonts w:cs="Arial"/>
                <w:szCs w:val="20"/>
                <w:lang w:eastAsia="en-AU"/>
              </w:rPr>
              <w:t>Westholme_Coolibah_1</w:t>
            </w:r>
          </w:p>
        </w:tc>
        <w:tc>
          <w:tcPr>
            <w:tcW w:w="707"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Gingham</w:t>
            </w:r>
          </w:p>
        </w:tc>
        <w:tc>
          <w:tcPr>
            <w:tcW w:w="532"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6764083</w:t>
            </w:r>
          </w:p>
        </w:tc>
        <w:tc>
          <w:tcPr>
            <w:tcW w:w="456"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722726</w:t>
            </w:r>
          </w:p>
        </w:tc>
        <w:tc>
          <w:tcPr>
            <w:tcW w:w="379" w:type="pct"/>
            <w:shd w:val="clear" w:color="auto" w:fill="FFFF00"/>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Dry</w:t>
            </w:r>
          </w:p>
        </w:tc>
        <w:tc>
          <w:tcPr>
            <w:tcW w:w="370" w:type="pct"/>
            <w:shd w:val="clear" w:color="auto" w:fill="FFFF00"/>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Dry</w:t>
            </w:r>
          </w:p>
        </w:tc>
      </w:tr>
      <w:tr w:rsidR="00E809F1" w:rsidRPr="0063461D" w:rsidTr="00CC18AA">
        <w:trPr>
          <w:trHeight w:val="300"/>
          <w:jc w:val="center"/>
        </w:trPr>
        <w:tc>
          <w:tcPr>
            <w:tcW w:w="1069" w:type="pct"/>
            <w:vAlign w:val="center"/>
          </w:tcPr>
          <w:p w:rsidR="00E809F1" w:rsidRPr="0063461D" w:rsidRDefault="00E809F1" w:rsidP="0063461D">
            <w:pPr>
              <w:spacing w:before="60" w:after="60"/>
              <w:jc w:val="left"/>
              <w:rPr>
                <w:rFonts w:cs="Arial"/>
                <w:color w:val="000000"/>
                <w:szCs w:val="20"/>
                <w:lang w:eastAsia="en-AU"/>
              </w:rPr>
            </w:pPr>
            <w:r w:rsidRPr="0063461D">
              <w:rPr>
                <w:rFonts w:cs="Arial"/>
                <w:color w:val="000000"/>
                <w:szCs w:val="20"/>
                <w:lang w:eastAsia="en-AU"/>
              </w:rPr>
              <w:t>Water couch marsh grassland</w:t>
            </w:r>
          </w:p>
        </w:tc>
        <w:tc>
          <w:tcPr>
            <w:tcW w:w="1487" w:type="pct"/>
            <w:shd w:val="clear" w:color="auto" w:fill="auto"/>
            <w:noWrap/>
            <w:vAlign w:val="center"/>
            <w:hideMark/>
          </w:tcPr>
          <w:p w:rsidR="00E809F1" w:rsidRPr="0063461D" w:rsidRDefault="00E809F1" w:rsidP="0063461D">
            <w:pPr>
              <w:spacing w:before="60" w:after="60"/>
              <w:jc w:val="left"/>
              <w:rPr>
                <w:rFonts w:cs="Arial"/>
                <w:szCs w:val="20"/>
                <w:lang w:eastAsia="en-AU"/>
              </w:rPr>
            </w:pPr>
            <w:r w:rsidRPr="0063461D">
              <w:rPr>
                <w:rFonts w:cs="Arial"/>
                <w:szCs w:val="20"/>
                <w:lang w:eastAsia="en-AU"/>
              </w:rPr>
              <w:t>Westhome_1_1</w:t>
            </w:r>
          </w:p>
        </w:tc>
        <w:tc>
          <w:tcPr>
            <w:tcW w:w="707"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Gingham</w:t>
            </w:r>
          </w:p>
        </w:tc>
        <w:tc>
          <w:tcPr>
            <w:tcW w:w="532"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6759094</w:t>
            </w:r>
          </w:p>
        </w:tc>
        <w:tc>
          <w:tcPr>
            <w:tcW w:w="456"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733487</w:t>
            </w:r>
          </w:p>
        </w:tc>
        <w:tc>
          <w:tcPr>
            <w:tcW w:w="379" w:type="pct"/>
            <w:shd w:val="clear" w:color="auto" w:fill="8DB3E2"/>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Wet</w:t>
            </w:r>
          </w:p>
        </w:tc>
        <w:tc>
          <w:tcPr>
            <w:tcW w:w="370" w:type="pct"/>
            <w:shd w:val="clear" w:color="auto" w:fill="FFFF00"/>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Dry</w:t>
            </w:r>
          </w:p>
        </w:tc>
      </w:tr>
      <w:tr w:rsidR="00E809F1" w:rsidRPr="0063461D" w:rsidTr="00CC18AA">
        <w:trPr>
          <w:trHeight w:val="300"/>
          <w:jc w:val="center"/>
        </w:trPr>
        <w:tc>
          <w:tcPr>
            <w:tcW w:w="1069" w:type="pct"/>
            <w:vAlign w:val="center"/>
          </w:tcPr>
          <w:p w:rsidR="00E809F1" w:rsidRPr="0063461D" w:rsidRDefault="00E809F1" w:rsidP="0063461D">
            <w:pPr>
              <w:spacing w:before="60" w:after="60"/>
              <w:jc w:val="left"/>
              <w:rPr>
                <w:rFonts w:cs="Arial"/>
                <w:color w:val="000000"/>
                <w:szCs w:val="20"/>
                <w:lang w:eastAsia="en-AU"/>
              </w:rPr>
            </w:pPr>
            <w:r w:rsidRPr="0063461D">
              <w:rPr>
                <w:rFonts w:cs="Arial"/>
                <w:color w:val="000000"/>
                <w:szCs w:val="20"/>
                <w:lang w:eastAsia="en-AU"/>
              </w:rPr>
              <w:t>Water couch marsh grassland</w:t>
            </w:r>
          </w:p>
        </w:tc>
        <w:tc>
          <w:tcPr>
            <w:tcW w:w="1487" w:type="pct"/>
            <w:shd w:val="clear" w:color="auto" w:fill="auto"/>
            <w:noWrap/>
            <w:vAlign w:val="center"/>
            <w:hideMark/>
          </w:tcPr>
          <w:p w:rsidR="00E809F1" w:rsidRPr="0063461D" w:rsidRDefault="00E809F1" w:rsidP="0063461D">
            <w:pPr>
              <w:spacing w:before="60" w:after="60"/>
              <w:jc w:val="left"/>
              <w:rPr>
                <w:rFonts w:cs="Arial"/>
                <w:szCs w:val="20"/>
                <w:lang w:eastAsia="en-AU"/>
              </w:rPr>
            </w:pPr>
            <w:r w:rsidRPr="0063461D">
              <w:rPr>
                <w:rFonts w:cs="Arial"/>
                <w:szCs w:val="20"/>
                <w:lang w:eastAsia="en-AU"/>
              </w:rPr>
              <w:t>Westhome_1_2</w:t>
            </w:r>
          </w:p>
        </w:tc>
        <w:tc>
          <w:tcPr>
            <w:tcW w:w="707"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Gingham</w:t>
            </w:r>
          </w:p>
        </w:tc>
        <w:tc>
          <w:tcPr>
            <w:tcW w:w="532"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6759189</w:t>
            </w:r>
          </w:p>
        </w:tc>
        <w:tc>
          <w:tcPr>
            <w:tcW w:w="456"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733523</w:t>
            </w:r>
          </w:p>
        </w:tc>
        <w:tc>
          <w:tcPr>
            <w:tcW w:w="379" w:type="pct"/>
            <w:shd w:val="clear" w:color="auto" w:fill="8DB3E2"/>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Wet</w:t>
            </w:r>
          </w:p>
        </w:tc>
        <w:tc>
          <w:tcPr>
            <w:tcW w:w="370" w:type="pct"/>
            <w:shd w:val="clear" w:color="auto" w:fill="FFFF00"/>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Dry</w:t>
            </w:r>
          </w:p>
        </w:tc>
      </w:tr>
      <w:tr w:rsidR="00E809F1" w:rsidRPr="0063461D" w:rsidTr="00CC18AA">
        <w:trPr>
          <w:trHeight w:val="300"/>
          <w:jc w:val="center"/>
        </w:trPr>
        <w:tc>
          <w:tcPr>
            <w:tcW w:w="1069" w:type="pct"/>
            <w:vAlign w:val="center"/>
          </w:tcPr>
          <w:p w:rsidR="00E809F1" w:rsidRPr="0063461D" w:rsidRDefault="00E809F1" w:rsidP="0063461D">
            <w:pPr>
              <w:spacing w:before="60" w:after="60"/>
              <w:jc w:val="left"/>
              <w:rPr>
                <w:rFonts w:cs="Arial"/>
                <w:color w:val="000000"/>
                <w:szCs w:val="20"/>
                <w:lang w:eastAsia="en-AU"/>
              </w:rPr>
            </w:pPr>
            <w:r w:rsidRPr="0063461D">
              <w:rPr>
                <w:rFonts w:cs="Arial"/>
                <w:color w:val="000000"/>
                <w:szCs w:val="20"/>
                <w:lang w:eastAsia="en-AU"/>
              </w:rPr>
              <w:t>Water couch marsh grassland</w:t>
            </w:r>
          </w:p>
        </w:tc>
        <w:tc>
          <w:tcPr>
            <w:tcW w:w="1487" w:type="pct"/>
            <w:shd w:val="clear" w:color="auto" w:fill="auto"/>
            <w:noWrap/>
            <w:vAlign w:val="center"/>
            <w:hideMark/>
          </w:tcPr>
          <w:p w:rsidR="00E809F1" w:rsidRPr="0063461D" w:rsidRDefault="00E809F1" w:rsidP="0063461D">
            <w:pPr>
              <w:spacing w:before="60" w:after="60"/>
              <w:jc w:val="left"/>
              <w:rPr>
                <w:rFonts w:cs="Arial"/>
                <w:szCs w:val="20"/>
                <w:lang w:eastAsia="en-AU"/>
              </w:rPr>
            </w:pPr>
            <w:r w:rsidRPr="0063461D">
              <w:rPr>
                <w:rFonts w:cs="Arial"/>
                <w:szCs w:val="20"/>
                <w:lang w:eastAsia="en-AU"/>
              </w:rPr>
              <w:t>Westhome_1_3</w:t>
            </w:r>
          </w:p>
        </w:tc>
        <w:tc>
          <w:tcPr>
            <w:tcW w:w="707"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Gingham</w:t>
            </w:r>
          </w:p>
        </w:tc>
        <w:tc>
          <w:tcPr>
            <w:tcW w:w="532"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6759157</w:t>
            </w:r>
          </w:p>
        </w:tc>
        <w:tc>
          <w:tcPr>
            <w:tcW w:w="456"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733591</w:t>
            </w:r>
          </w:p>
        </w:tc>
        <w:tc>
          <w:tcPr>
            <w:tcW w:w="379" w:type="pct"/>
            <w:shd w:val="clear" w:color="auto" w:fill="8DB3E2"/>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Wet</w:t>
            </w:r>
          </w:p>
        </w:tc>
        <w:tc>
          <w:tcPr>
            <w:tcW w:w="370" w:type="pct"/>
            <w:shd w:val="clear" w:color="auto" w:fill="FFFF00"/>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Dry</w:t>
            </w:r>
          </w:p>
        </w:tc>
      </w:tr>
      <w:tr w:rsidR="00E809F1" w:rsidRPr="0063461D" w:rsidTr="00CC18AA">
        <w:trPr>
          <w:trHeight w:val="300"/>
          <w:jc w:val="center"/>
        </w:trPr>
        <w:tc>
          <w:tcPr>
            <w:tcW w:w="1069" w:type="pct"/>
            <w:vAlign w:val="center"/>
          </w:tcPr>
          <w:p w:rsidR="00E809F1" w:rsidRPr="0063461D" w:rsidRDefault="00E809F1" w:rsidP="0063461D">
            <w:pPr>
              <w:spacing w:before="60" w:after="60"/>
              <w:jc w:val="left"/>
              <w:rPr>
                <w:rFonts w:cs="Arial"/>
                <w:szCs w:val="20"/>
                <w:lang w:eastAsia="en-AU"/>
              </w:rPr>
            </w:pPr>
            <w:r w:rsidRPr="0063461D">
              <w:rPr>
                <w:rFonts w:cs="Arial"/>
                <w:szCs w:val="20"/>
              </w:rPr>
              <w:t>Coolibah - river cooba - lignum</w:t>
            </w:r>
          </w:p>
        </w:tc>
        <w:tc>
          <w:tcPr>
            <w:tcW w:w="1487" w:type="pct"/>
            <w:shd w:val="clear" w:color="auto" w:fill="auto"/>
            <w:noWrap/>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Valletta_1_1_NE</w:t>
            </w:r>
          </w:p>
        </w:tc>
        <w:tc>
          <w:tcPr>
            <w:tcW w:w="707" w:type="pct"/>
            <w:vAlign w:val="center"/>
          </w:tcPr>
          <w:p w:rsidR="00E809F1" w:rsidRPr="0063461D" w:rsidRDefault="00E809F1" w:rsidP="0063461D">
            <w:pPr>
              <w:spacing w:before="60" w:after="60"/>
              <w:jc w:val="left"/>
              <w:rPr>
                <w:rFonts w:cs="Arial"/>
                <w:color w:val="000000"/>
                <w:szCs w:val="20"/>
              </w:rPr>
            </w:pPr>
            <w:r w:rsidRPr="0063461D">
              <w:rPr>
                <w:rFonts w:cs="Arial"/>
                <w:szCs w:val="20"/>
              </w:rPr>
              <w:t>Mallowa</w:t>
            </w:r>
          </w:p>
        </w:tc>
        <w:tc>
          <w:tcPr>
            <w:tcW w:w="532" w:type="pct"/>
            <w:vAlign w:val="center"/>
          </w:tcPr>
          <w:p w:rsidR="00E809F1" w:rsidRPr="0063461D" w:rsidRDefault="00E809F1" w:rsidP="0063461D">
            <w:pPr>
              <w:spacing w:before="60" w:after="60"/>
              <w:jc w:val="left"/>
              <w:rPr>
                <w:rFonts w:cs="Arial"/>
                <w:color w:val="000000"/>
                <w:szCs w:val="20"/>
                <w:lang w:eastAsia="en-AU"/>
              </w:rPr>
            </w:pPr>
            <w:r w:rsidRPr="0063461D">
              <w:rPr>
                <w:rFonts w:cs="Arial"/>
                <w:color w:val="000000"/>
                <w:szCs w:val="20"/>
              </w:rPr>
              <w:t>6723629</w:t>
            </w:r>
          </w:p>
        </w:tc>
        <w:tc>
          <w:tcPr>
            <w:tcW w:w="456" w:type="pct"/>
            <w:vAlign w:val="center"/>
          </w:tcPr>
          <w:p w:rsidR="00E809F1" w:rsidRPr="0063461D" w:rsidRDefault="00E809F1" w:rsidP="0063461D">
            <w:pPr>
              <w:spacing w:before="60" w:after="60"/>
              <w:jc w:val="left"/>
              <w:rPr>
                <w:rFonts w:cs="Arial"/>
                <w:color w:val="000000"/>
                <w:szCs w:val="20"/>
                <w:lang w:eastAsia="en-AU"/>
              </w:rPr>
            </w:pPr>
            <w:r w:rsidRPr="0063461D">
              <w:rPr>
                <w:rFonts w:cs="Arial"/>
                <w:color w:val="000000"/>
                <w:szCs w:val="20"/>
              </w:rPr>
              <w:t>716519</w:t>
            </w:r>
          </w:p>
        </w:tc>
        <w:tc>
          <w:tcPr>
            <w:tcW w:w="379" w:type="pct"/>
            <w:shd w:val="clear" w:color="auto" w:fill="FFFF00"/>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Dry</w:t>
            </w:r>
          </w:p>
        </w:tc>
        <w:tc>
          <w:tcPr>
            <w:tcW w:w="370" w:type="pct"/>
            <w:shd w:val="clear" w:color="auto" w:fill="8DB3E2"/>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Wet</w:t>
            </w:r>
          </w:p>
        </w:tc>
      </w:tr>
      <w:tr w:rsidR="00E809F1" w:rsidRPr="0063461D" w:rsidTr="00CC18AA">
        <w:trPr>
          <w:trHeight w:val="300"/>
          <w:jc w:val="center"/>
        </w:trPr>
        <w:tc>
          <w:tcPr>
            <w:tcW w:w="1069" w:type="pct"/>
            <w:vAlign w:val="center"/>
          </w:tcPr>
          <w:p w:rsidR="00E809F1" w:rsidRPr="0063461D" w:rsidRDefault="00E809F1" w:rsidP="0063461D">
            <w:pPr>
              <w:spacing w:before="60" w:after="60"/>
              <w:jc w:val="left"/>
              <w:rPr>
                <w:rFonts w:cs="Arial"/>
                <w:szCs w:val="20"/>
                <w:lang w:eastAsia="en-AU"/>
              </w:rPr>
            </w:pPr>
            <w:r w:rsidRPr="0063461D">
              <w:rPr>
                <w:rFonts w:cs="Arial"/>
                <w:szCs w:val="20"/>
              </w:rPr>
              <w:t>Coolibah - river cooba - lignum</w:t>
            </w:r>
          </w:p>
        </w:tc>
        <w:tc>
          <w:tcPr>
            <w:tcW w:w="1487" w:type="pct"/>
            <w:shd w:val="clear" w:color="auto" w:fill="auto"/>
            <w:noWrap/>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Valletta_1_2</w:t>
            </w:r>
          </w:p>
        </w:tc>
        <w:tc>
          <w:tcPr>
            <w:tcW w:w="707" w:type="pct"/>
            <w:vAlign w:val="center"/>
          </w:tcPr>
          <w:p w:rsidR="00E809F1" w:rsidRPr="0063461D" w:rsidRDefault="00E809F1" w:rsidP="0063461D">
            <w:pPr>
              <w:spacing w:before="60" w:after="60"/>
              <w:jc w:val="left"/>
              <w:rPr>
                <w:rFonts w:cs="Arial"/>
                <w:color w:val="000000"/>
                <w:szCs w:val="20"/>
              </w:rPr>
            </w:pPr>
            <w:r w:rsidRPr="0063461D">
              <w:rPr>
                <w:rFonts w:cs="Arial"/>
                <w:szCs w:val="20"/>
              </w:rPr>
              <w:t>Mallowa</w:t>
            </w:r>
          </w:p>
        </w:tc>
        <w:tc>
          <w:tcPr>
            <w:tcW w:w="532"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6723681</w:t>
            </w:r>
          </w:p>
        </w:tc>
        <w:tc>
          <w:tcPr>
            <w:tcW w:w="456"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716970</w:t>
            </w:r>
          </w:p>
        </w:tc>
        <w:tc>
          <w:tcPr>
            <w:tcW w:w="379" w:type="pct"/>
            <w:shd w:val="clear" w:color="auto" w:fill="FFFF00"/>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Dry</w:t>
            </w:r>
          </w:p>
        </w:tc>
        <w:tc>
          <w:tcPr>
            <w:tcW w:w="370" w:type="pct"/>
            <w:shd w:val="clear" w:color="auto" w:fill="8DB3E2"/>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Wet</w:t>
            </w:r>
          </w:p>
        </w:tc>
      </w:tr>
      <w:tr w:rsidR="00E809F1" w:rsidRPr="0063461D" w:rsidTr="00CC18AA">
        <w:trPr>
          <w:trHeight w:val="300"/>
          <w:jc w:val="center"/>
        </w:trPr>
        <w:tc>
          <w:tcPr>
            <w:tcW w:w="1069" w:type="pct"/>
            <w:vAlign w:val="center"/>
          </w:tcPr>
          <w:p w:rsidR="00E809F1" w:rsidRPr="0063461D" w:rsidRDefault="00E809F1" w:rsidP="0063461D">
            <w:pPr>
              <w:spacing w:before="60" w:after="60"/>
              <w:jc w:val="left"/>
              <w:rPr>
                <w:rFonts w:cs="Arial"/>
                <w:szCs w:val="20"/>
                <w:lang w:eastAsia="en-AU"/>
              </w:rPr>
            </w:pPr>
            <w:r w:rsidRPr="0063461D">
              <w:rPr>
                <w:rFonts w:cs="Arial"/>
                <w:szCs w:val="20"/>
              </w:rPr>
              <w:t>Coolibah - river cooba - lignum</w:t>
            </w:r>
          </w:p>
        </w:tc>
        <w:tc>
          <w:tcPr>
            <w:tcW w:w="1487" w:type="pct"/>
            <w:shd w:val="clear" w:color="auto" w:fill="auto"/>
            <w:noWrap/>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Valletta_2_1</w:t>
            </w:r>
          </w:p>
        </w:tc>
        <w:tc>
          <w:tcPr>
            <w:tcW w:w="707" w:type="pct"/>
            <w:vAlign w:val="center"/>
          </w:tcPr>
          <w:p w:rsidR="00E809F1" w:rsidRPr="0063461D" w:rsidRDefault="00E809F1" w:rsidP="0063461D">
            <w:pPr>
              <w:spacing w:before="60" w:after="60"/>
              <w:jc w:val="left"/>
              <w:rPr>
                <w:rFonts w:cs="Arial"/>
                <w:color w:val="000000"/>
                <w:szCs w:val="20"/>
              </w:rPr>
            </w:pPr>
            <w:r w:rsidRPr="0063461D">
              <w:rPr>
                <w:rFonts w:cs="Arial"/>
                <w:szCs w:val="20"/>
              </w:rPr>
              <w:t>Mallowa</w:t>
            </w:r>
          </w:p>
        </w:tc>
        <w:tc>
          <w:tcPr>
            <w:tcW w:w="532"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6725026</w:t>
            </w:r>
          </w:p>
        </w:tc>
        <w:tc>
          <w:tcPr>
            <w:tcW w:w="456" w:type="pct"/>
            <w:vAlign w:val="center"/>
          </w:tcPr>
          <w:p w:rsidR="00E809F1" w:rsidRPr="0063461D" w:rsidRDefault="00E809F1" w:rsidP="0063461D">
            <w:pPr>
              <w:spacing w:before="60" w:after="60"/>
              <w:jc w:val="left"/>
              <w:rPr>
                <w:rFonts w:cs="Arial"/>
                <w:color w:val="000000"/>
                <w:szCs w:val="20"/>
              </w:rPr>
            </w:pPr>
            <w:r w:rsidRPr="0063461D">
              <w:rPr>
                <w:rFonts w:cs="Arial"/>
                <w:color w:val="000000"/>
                <w:szCs w:val="20"/>
              </w:rPr>
              <w:t>716262</w:t>
            </w:r>
          </w:p>
        </w:tc>
        <w:tc>
          <w:tcPr>
            <w:tcW w:w="379" w:type="pct"/>
            <w:shd w:val="clear" w:color="auto" w:fill="FFFF00"/>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Dry</w:t>
            </w:r>
          </w:p>
        </w:tc>
        <w:tc>
          <w:tcPr>
            <w:tcW w:w="370" w:type="pct"/>
            <w:shd w:val="clear" w:color="auto" w:fill="8DB3E2"/>
            <w:vAlign w:val="center"/>
          </w:tcPr>
          <w:p w:rsidR="00E809F1" w:rsidRPr="0063461D" w:rsidRDefault="00E809F1" w:rsidP="0063461D">
            <w:pPr>
              <w:spacing w:before="60" w:after="60"/>
              <w:jc w:val="left"/>
              <w:rPr>
                <w:rFonts w:cs="Arial"/>
                <w:szCs w:val="20"/>
                <w:lang w:eastAsia="en-AU"/>
              </w:rPr>
            </w:pPr>
            <w:r w:rsidRPr="0063461D">
              <w:rPr>
                <w:rFonts w:cs="Arial"/>
                <w:szCs w:val="20"/>
                <w:lang w:eastAsia="en-AU"/>
              </w:rPr>
              <w:t>Wet</w:t>
            </w:r>
          </w:p>
        </w:tc>
      </w:tr>
    </w:tbl>
    <w:p w:rsidR="00E809F1" w:rsidRDefault="00E809F1" w:rsidP="006E559A">
      <w:pPr>
        <w:pStyle w:val="Heading8"/>
      </w:pPr>
      <w:bookmarkStart w:id="97" w:name="_Toc426839287"/>
      <w:r>
        <w:t>Multi-year comparison</w:t>
      </w:r>
    </w:p>
    <w:p w:rsidR="00533BC2" w:rsidRDefault="00E809F1" w:rsidP="00E809F1">
      <w:pPr>
        <w:rPr>
          <w:lang w:eastAsia="en-AU"/>
        </w:rPr>
      </w:pPr>
      <w:r w:rsidRPr="00A66FBA">
        <w:t xml:space="preserve">To assess longer term trends in vegetation species richness, </w:t>
      </w:r>
      <w:r>
        <w:t xml:space="preserve">a </w:t>
      </w:r>
      <w:r w:rsidRPr="00A66FBA">
        <w:t xml:space="preserve">binomial </w:t>
      </w:r>
      <w:r>
        <w:t>model</w:t>
      </w:r>
      <w:r w:rsidRPr="00A66FBA">
        <w:t xml:space="preserve"> w</w:t>
      </w:r>
      <w:r>
        <w:t>as</w:t>
      </w:r>
      <w:r w:rsidRPr="00A66FBA">
        <w:t xml:space="preserve"> used to investigate the influence of inundation, survey time (December 2014, March 2015, October 2015, </w:t>
      </w:r>
      <w:r w:rsidR="00561C43">
        <w:t xml:space="preserve">and </w:t>
      </w:r>
      <w:r w:rsidRPr="00A66FBA">
        <w:t xml:space="preserve">March 2016), </w:t>
      </w:r>
      <w:r w:rsidR="00605C43">
        <w:t>system</w:t>
      </w:r>
      <w:r w:rsidRPr="00A66FBA">
        <w:t xml:space="preserve"> and vegetation community. </w:t>
      </w:r>
      <w:r w:rsidR="00A97349">
        <w:t xml:space="preserve"> </w:t>
      </w:r>
      <w:r w:rsidRPr="00A66FBA">
        <w:t xml:space="preserve">This analysis included 32 plots from the </w:t>
      </w:r>
      <w:r w:rsidR="001C3C04">
        <w:t>lower</w:t>
      </w:r>
      <w:r w:rsidRPr="00A66FBA">
        <w:t xml:space="preserve"> Gwydir </w:t>
      </w:r>
      <w:r w:rsidR="005B1997">
        <w:t xml:space="preserve">wetland </w:t>
      </w:r>
      <w:r w:rsidRPr="00A66FBA">
        <w:t xml:space="preserve">and Gingham </w:t>
      </w:r>
      <w:r w:rsidR="005B1997">
        <w:t>watercourse</w:t>
      </w:r>
      <w:r w:rsidRPr="00A66FBA">
        <w:t xml:space="preserve"> in December 2014 and March 2015, and the sites described in</w:t>
      </w:r>
      <w:r>
        <w:t xml:space="preserve"> section 2.1 above. </w:t>
      </w:r>
      <w:r w:rsidR="00A97349">
        <w:t xml:space="preserve"> </w:t>
      </w:r>
      <w:r w:rsidRPr="007C039D">
        <w:rPr>
          <w:lang w:eastAsia="en-AU"/>
        </w:rPr>
        <w:t xml:space="preserve">Changes in vegetation cover were investigated using multivariate </w:t>
      </w:r>
      <w:r>
        <w:rPr>
          <w:lang w:eastAsia="en-AU"/>
        </w:rPr>
        <w:t>n</w:t>
      </w:r>
      <w:r w:rsidRPr="007C039D">
        <w:rPr>
          <w:lang w:eastAsia="en-AU"/>
        </w:rPr>
        <w:t xml:space="preserve">MDS plots with differences between </w:t>
      </w:r>
      <w:r>
        <w:rPr>
          <w:lang w:eastAsia="en-AU"/>
        </w:rPr>
        <w:t>inundation status</w:t>
      </w:r>
      <w:r w:rsidRPr="007C039D">
        <w:rPr>
          <w:lang w:eastAsia="en-AU"/>
        </w:rPr>
        <w:t>, survey time</w:t>
      </w:r>
      <w:r>
        <w:rPr>
          <w:lang w:eastAsia="en-AU"/>
        </w:rPr>
        <w:t xml:space="preserve">, </w:t>
      </w:r>
      <w:r w:rsidR="00605C43">
        <w:rPr>
          <w:lang w:eastAsia="en-AU"/>
        </w:rPr>
        <w:t>system</w:t>
      </w:r>
      <w:r w:rsidRPr="007C039D">
        <w:rPr>
          <w:lang w:eastAsia="en-AU"/>
        </w:rPr>
        <w:t xml:space="preserve"> and vegetation community assessed using PERMANOVA in Primer 6.</w:t>
      </w:r>
      <w:r w:rsidR="0063461D">
        <w:rPr>
          <w:lang w:eastAsia="en-AU"/>
        </w:rPr>
        <w:t xml:space="preserve"> </w:t>
      </w:r>
    </w:p>
    <w:p w:rsidR="00E809F1" w:rsidRDefault="00E809F1" w:rsidP="006E559A">
      <w:pPr>
        <w:pStyle w:val="Heading7"/>
      </w:pPr>
      <w:r w:rsidRPr="004335CD">
        <w:t>Results</w:t>
      </w:r>
      <w:bookmarkEnd w:id="97"/>
    </w:p>
    <w:p w:rsidR="00E809F1" w:rsidRPr="0012489C" w:rsidRDefault="00E809F1" w:rsidP="006E559A">
      <w:pPr>
        <w:pStyle w:val="Heading8"/>
      </w:pPr>
      <w:r>
        <w:t>2015-16 water year</w:t>
      </w:r>
    </w:p>
    <w:p w:rsidR="00E809F1" w:rsidRPr="006E559A" w:rsidRDefault="00E809F1" w:rsidP="006E559A">
      <w:pPr>
        <w:pStyle w:val="Heading9"/>
      </w:pPr>
      <w:r w:rsidRPr="006E559A">
        <w:t>Species richness</w:t>
      </w:r>
    </w:p>
    <w:p w:rsidR="00E809F1" w:rsidRDefault="00E809F1" w:rsidP="00E809F1">
      <w:pPr>
        <w:rPr>
          <w:lang w:eastAsia="en-AU"/>
        </w:rPr>
      </w:pPr>
      <w:r w:rsidRPr="008D3301">
        <w:rPr>
          <w:lang w:eastAsia="en-AU"/>
        </w:rPr>
        <w:t>A total of 1</w:t>
      </w:r>
      <w:r>
        <w:rPr>
          <w:lang w:eastAsia="en-AU"/>
        </w:rPr>
        <w:t>64</w:t>
      </w:r>
      <w:r w:rsidRPr="008D3301">
        <w:rPr>
          <w:lang w:eastAsia="en-AU"/>
        </w:rPr>
        <w:t xml:space="preserve"> flora species from </w:t>
      </w:r>
      <w:r w:rsidRPr="00A07A2B">
        <w:rPr>
          <w:lang w:eastAsia="en-AU"/>
        </w:rPr>
        <w:t>50 families were recorde</w:t>
      </w:r>
      <w:r>
        <w:rPr>
          <w:lang w:eastAsia="en-AU"/>
        </w:rPr>
        <w:t xml:space="preserve">d across all vegetation plots. </w:t>
      </w:r>
      <w:r w:rsidR="00A97349">
        <w:rPr>
          <w:lang w:eastAsia="en-AU"/>
        </w:rPr>
        <w:t xml:space="preserve"> </w:t>
      </w:r>
      <w:r w:rsidRPr="00A07A2B">
        <w:rPr>
          <w:lang w:eastAsia="en-AU"/>
        </w:rPr>
        <w:t xml:space="preserve">The </w:t>
      </w:r>
      <w:r>
        <w:rPr>
          <w:lang w:eastAsia="en-AU"/>
        </w:rPr>
        <w:t>mean</w:t>
      </w:r>
      <w:r w:rsidRPr="00A07A2B">
        <w:rPr>
          <w:lang w:eastAsia="en-AU"/>
        </w:rPr>
        <w:t xml:space="preserve"> </w:t>
      </w:r>
      <w:r>
        <w:rPr>
          <w:lang w:eastAsia="en-AU"/>
        </w:rPr>
        <w:t>species richness</w:t>
      </w:r>
      <w:r w:rsidRPr="00A07A2B">
        <w:rPr>
          <w:lang w:eastAsia="en-AU"/>
        </w:rPr>
        <w:t xml:space="preserve"> at each location during each survey period was 14.6, down from the 2014-15 </w:t>
      </w:r>
      <w:r>
        <w:rPr>
          <w:lang w:eastAsia="en-AU"/>
        </w:rPr>
        <w:t>mean</w:t>
      </w:r>
      <w:r w:rsidRPr="00A07A2B">
        <w:rPr>
          <w:lang w:eastAsia="en-AU"/>
        </w:rPr>
        <w:t xml:space="preserve"> of 21.8.  The highest </w:t>
      </w:r>
      <w:r>
        <w:rPr>
          <w:lang w:eastAsia="en-AU"/>
        </w:rPr>
        <w:t>mean</w:t>
      </w:r>
      <w:r w:rsidRPr="00A07A2B">
        <w:rPr>
          <w:lang w:eastAsia="en-AU"/>
        </w:rPr>
        <w:t xml:space="preserve"> species </w:t>
      </w:r>
      <w:r>
        <w:rPr>
          <w:lang w:eastAsia="en-AU"/>
        </w:rPr>
        <w:t>richness</w:t>
      </w:r>
      <w:r w:rsidRPr="00A07A2B">
        <w:rPr>
          <w:lang w:eastAsia="en-AU"/>
        </w:rPr>
        <w:t xml:space="preserve"> was 25, recorded at Old Dromana Ramsar 2 </w:t>
      </w:r>
      <w:r w:rsidR="005B1997">
        <w:rPr>
          <w:lang w:eastAsia="en-AU"/>
        </w:rPr>
        <w:t xml:space="preserve">in the lower Gwydir wetland </w:t>
      </w:r>
      <w:r w:rsidRPr="00A07A2B">
        <w:rPr>
          <w:lang w:eastAsia="en-AU"/>
        </w:rPr>
        <w:t xml:space="preserve">in March 2016, and Westholme Coolibah </w:t>
      </w:r>
      <w:r w:rsidR="005B1997">
        <w:rPr>
          <w:lang w:eastAsia="en-AU"/>
        </w:rPr>
        <w:t xml:space="preserve">in the Gingham watercourse </w:t>
      </w:r>
      <w:r w:rsidRPr="00A07A2B">
        <w:rPr>
          <w:lang w:eastAsia="en-AU"/>
        </w:rPr>
        <w:t xml:space="preserve">in October 2015; while the lowest was recorded at Westholme and Bunnor </w:t>
      </w:r>
      <w:r w:rsidR="005B1997">
        <w:rPr>
          <w:lang w:eastAsia="en-AU"/>
        </w:rPr>
        <w:t>in the Gingham watercourse during</w:t>
      </w:r>
      <w:r w:rsidRPr="00A07A2B">
        <w:rPr>
          <w:lang w:eastAsia="en-AU"/>
        </w:rPr>
        <w:t xml:space="preserve"> March 2016 (7.67)</w:t>
      </w:r>
      <w:r w:rsidR="00A97349">
        <w:rPr>
          <w:lang w:eastAsia="en-AU"/>
        </w:rPr>
        <w:t xml:space="preserve"> (</w:t>
      </w:r>
      <w:r w:rsidR="00A97349">
        <w:rPr>
          <w:lang w:eastAsia="en-AU"/>
        </w:rPr>
        <w:fldChar w:fldCharType="begin"/>
      </w:r>
      <w:r w:rsidR="00A97349">
        <w:rPr>
          <w:lang w:eastAsia="en-AU"/>
        </w:rPr>
        <w:instrText xml:space="preserve"> REF _Ref459889418 \h </w:instrText>
      </w:r>
      <w:r w:rsidR="00A97349">
        <w:rPr>
          <w:lang w:eastAsia="en-AU"/>
        </w:rPr>
      </w:r>
      <w:r w:rsidR="00A97349">
        <w:rPr>
          <w:lang w:eastAsia="en-AU"/>
        </w:rPr>
        <w:fldChar w:fldCharType="separate"/>
      </w:r>
      <w:r w:rsidR="005D5925">
        <w:t xml:space="preserve">Figure </w:t>
      </w:r>
      <w:r w:rsidR="005D5925">
        <w:rPr>
          <w:noProof/>
        </w:rPr>
        <w:t>G</w:t>
      </w:r>
      <w:r w:rsidR="005D5925">
        <w:noBreakHyphen/>
      </w:r>
      <w:r w:rsidR="005D5925">
        <w:rPr>
          <w:noProof/>
        </w:rPr>
        <w:t>6</w:t>
      </w:r>
      <w:r w:rsidR="00A97349">
        <w:rPr>
          <w:lang w:eastAsia="en-AU"/>
        </w:rPr>
        <w:fldChar w:fldCharType="end"/>
      </w:r>
      <w:r w:rsidR="00A97349">
        <w:rPr>
          <w:lang w:eastAsia="en-AU"/>
        </w:rPr>
        <w:t>)</w:t>
      </w:r>
      <w:r w:rsidRPr="00A07A2B">
        <w:rPr>
          <w:lang w:eastAsia="en-AU"/>
        </w:rPr>
        <w:t>.</w:t>
      </w:r>
      <w:r w:rsidRPr="00C66557">
        <w:rPr>
          <w:lang w:eastAsia="en-AU"/>
        </w:rPr>
        <w:t xml:space="preserve"> </w:t>
      </w:r>
    </w:p>
    <w:p w:rsidR="00E809F1" w:rsidRDefault="00E809F1" w:rsidP="00E809F1">
      <w:r w:rsidRPr="003A7332">
        <w:rPr>
          <w:lang w:eastAsia="en-AU"/>
        </w:rPr>
        <w:t>Binomial model results</w:t>
      </w:r>
      <w:r w:rsidRPr="003A7332">
        <w:t xml:space="preserve"> suggest that </w:t>
      </w:r>
      <w:r w:rsidR="00605C43">
        <w:t>system</w:t>
      </w:r>
      <w:r w:rsidRPr="003A7332">
        <w:t xml:space="preserve"> was the most influential factor on species richness, with a significant difference noted between Gingham</w:t>
      </w:r>
      <w:r w:rsidR="00605C43">
        <w:t xml:space="preserve"> </w:t>
      </w:r>
      <w:r w:rsidRPr="003A7332">
        <w:t xml:space="preserve">and the </w:t>
      </w:r>
      <w:r w:rsidR="00605C43">
        <w:t xml:space="preserve">lower </w:t>
      </w:r>
      <w:r w:rsidRPr="003A7332">
        <w:t xml:space="preserve">Gwydir </w:t>
      </w:r>
      <w:r w:rsidR="00605C43">
        <w:t>systems</w:t>
      </w:r>
      <w:r w:rsidRPr="003A7332">
        <w:t xml:space="preserve"> (Pr=0.05). </w:t>
      </w:r>
      <w:r w:rsidR="00A97349">
        <w:t xml:space="preserve"> </w:t>
      </w:r>
      <w:r w:rsidRPr="003A7332">
        <w:t xml:space="preserve">However, no significant difference was observed between the </w:t>
      </w:r>
      <w:r w:rsidR="00605C43">
        <w:t xml:space="preserve">lower </w:t>
      </w:r>
      <w:r w:rsidRPr="003A7332">
        <w:t xml:space="preserve">Gwydir and Mallowa </w:t>
      </w:r>
      <w:r w:rsidR="00605C43">
        <w:t>systems</w:t>
      </w:r>
      <w:r w:rsidRPr="003A7332">
        <w:t xml:space="preserve"> (Pr=0.17), or the Gingham and Mallowa </w:t>
      </w:r>
      <w:r w:rsidR="00605C43">
        <w:t>systems</w:t>
      </w:r>
      <w:r w:rsidRPr="003A7332">
        <w:t xml:space="preserve"> (Pr=0.63). </w:t>
      </w:r>
      <w:r w:rsidR="00A97349">
        <w:t xml:space="preserve"> </w:t>
      </w:r>
      <w:r w:rsidRPr="003A7332">
        <w:t xml:space="preserve">Similarly, no significant difference was noted between sampling times (Pr=0.26). </w:t>
      </w:r>
      <w:r w:rsidR="00A97349">
        <w:t xml:space="preserve"> </w:t>
      </w:r>
      <w:r w:rsidRPr="003A7332">
        <w:t xml:space="preserve">The Coolibah woodland vegetation community had a </w:t>
      </w:r>
      <w:r>
        <w:t xml:space="preserve">mean </w:t>
      </w:r>
      <w:r w:rsidRPr="003A7332">
        <w:t xml:space="preserve">species richness of 17.6, while the River Cooba Lignum community had a </w:t>
      </w:r>
      <w:r>
        <w:t xml:space="preserve">mean </w:t>
      </w:r>
      <w:r w:rsidRPr="003A7332">
        <w:t>species richness of 16.8.</w:t>
      </w:r>
      <w:r w:rsidR="00A97349">
        <w:t xml:space="preserve"> </w:t>
      </w:r>
      <w:r w:rsidRPr="003A7332">
        <w:t xml:space="preserve"> These two communities had significantly higher species richness than both </w:t>
      </w:r>
      <w:r w:rsidRPr="003A7332">
        <w:rPr>
          <w:i/>
        </w:rPr>
        <w:t xml:space="preserve">Eleocharis </w:t>
      </w:r>
      <w:r w:rsidRPr="003A7332">
        <w:t xml:space="preserve">tall sedgelands (13.7 species) and water couch marsh grassland (13 species). </w:t>
      </w:r>
      <w:r w:rsidR="00A97349">
        <w:t xml:space="preserve"> </w:t>
      </w:r>
      <w:r w:rsidRPr="003A7332">
        <w:t>Sites that were wet during sampling tended to have lower mean species richness (13.8) than those that were dry (15), though these differences were not significant (Pr=0.63).</w:t>
      </w:r>
    </w:p>
    <w:p w:rsidR="00E809F1" w:rsidRPr="002B0EA3" w:rsidRDefault="00E809F1" w:rsidP="00E809F1">
      <w:pPr>
        <w:rPr>
          <w:highlight w:val="yellow"/>
        </w:rPr>
      </w:pPr>
      <w:r w:rsidRPr="006A0E53">
        <w:t xml:space="preserve">Sites that were wet during 2015 and then dry in 2016 tended to </w:t>
      </w:r>
      <w:r>
        <w:t>increase in mean species richness (</w:t>
      </w:r>
      <w:r>
        <w:fldChar w:fldCharType="begin"/>
      </w:r>
      <w:r>
        <w:instrText xml:space="preserve"> REF _Ref454523226 \h </w:instrText>
      </w:r>
      <w:r>
        <w:fldChar w:fldCharType="separate"/>
      </w:r>
      <w:r w:rsidR="005D5925">
        <w:t xml:space="preserve">Figure </w:t>
      </w:r>
      <w:r w:rsidR="005D5925">
        <w:rPr>
          <w:noProof/>
        </w:rPr>
        <w:t>G</w:t>
      </w:r>
      <w:r w:rsidR="005D5925">
        <w:noBreakHyphen/>
      </w:r>
      <w:r w:rsidR="005D5925">
        <w:rPr>
          <w:noProof/>
        </w:rPr>
        <w:t>4</w:t>
      </w:r>
      <w:r>
        <w:fldChar w:fldCharType="end"/>
      </w:r>
      <w:r>
        <w:t xml:space="preserve">) within the </w:t>
      </w:r>
      <w:r w:rsidRPr="00996F8F">
        <w:t xml:space="preserve">terrestrial </w:t>
      </w:r>
      <w:r>
        <w:t>functional group, including Tdr and Tda species, however this increase was not significant, Tdr (T=0.38, Pr=0.704), Tda (T=1.43, Pr=0.162).</w:t>
      </w:r>
      <w:r w:rsidRPr="0047075B">
        <w:t xml:space="preserve"> </w:t>
      </w:r>
      <w:r w:rsidR="00A97349">
        <w:t xml:space="preserve"> </w:t>
      </w:r>
      <w:r w:rsidRPr="00600188">
        <w:t xml:space="preserve">Species in the </w:t>
      </w:r>
      <w:r w:rsidRPr="00996F8F">
        <w:t>Amphibious</w:t>
      </w:r>
      <w:r w:rsidRPr="00600188">
        <w:rPr>
          <w:i/>
        </w:rPr>
        <w:t xml:space="preserve"> </w:t>
      </w:r>
      <w:r w:rsidRPr="00600188">
        <w:t>functional group including AmR and AmT</w:t>
      </w:r>
      <w:r>
        <w:t xml:space="preserve"> species</w:t>
      </w:r>
      <w:r w:rsidRPr="00600188">
        <w:t xml:space="preserve"> decreased with drying, with AmR mean species richness </w:t>
      </w:r>
      <w:r>
        <w:t xml:space="preserve">showing a significant </w:t>
      </w:r>
      <w:r w:rsidRPr="00600188">
        <w:t>decreas</w:t>
      </w:r>
      <w:r>
        <w:t>e (T = -4.21, Pr&lt;0.001)</w:t>
      </w:r>
      <w:r w:rsidRPr="00600188">
        <w:t xml:space="preserve"> from 4.47 in 2015 to 2.42 in 2016</w:t>
      </w:r>
      <w:r>
        <w:t xml:space="preserve"> (</w:t>
      </w:r>
      <w:r>
        <w:fldChar w:fldCharType="begin"/>
      </w:r>
      <w:r>
        <w:instrText xml:space="preserve"> REF _Ref454538484 \h </w:instrText>
      </w:r>
      <w:r>
        <w:fldChar w:fldCharType="separate"/>
      </w:r>
      <w:r w:rsidR="005D5925">
        <w:t xml:space="preserve">Figure </w:t>
      </w:r>
      <w:r w:rsidR="005D5925">
        <w:rPr>
          <w:noProof/>
        </w:rPr>
        <w:t>G</w:t>
      </w:r>
      <w:r w:rsidR="005D5925">
        <w:noBreakHyphen/>
      </w:r>
      <w:r w:rsidR="005D5925">
        <w:rPr>
          <w:noProof/>
        </w:rPr>
        <w:t>5</w:t>
      </w:r>
      <w:r>
        <w:fldChar w:fldCharType="end"/>
      </w:r>
      <w:r>
        <w:t xml:space="preserve">). </w:t>
      </w:r>
      <w:r w:rsidR="00A97349">
        <w:t xml:space="preserve"> </w:t>
      </w:r>
      <w:r w:rsidRPr="00600188">
        <w:t>AmT mean species richness</w:t>
      </w:r>
      <w:r>
        <w:t xml:space="preserve"> showed a decrease from </w:t>
      </w:r>
      <w:r w:rsidRPr="00600188">
        <w:t>3.79 in 2015 to 3.32 in 2016</w:t>
      </w:r>
      <w:r>
        <w:t xml:space="preserve"> (</w:t>
      </w:r>
      <w:r>
        <w:fldChar w:fldCharType="begin"/>
      </w:r>
      <w:r>
        <w:instrText xml:space="preserve"> REF _Ref454538484 \h </w:instrText>
      </w:r>
      <w:r>
        <w:fldChar w:fldCharType="separate"/>
      </w:r>
      <w:r w:rsidR="005D5925">
        <w:t xml:space="preserve">Figure </w:t>
      </w:r>
      <w:r w:rsidR="005D5925">
        <w:rPr>
          <w:noProof/>
        </w:rPr>
        <w:t>G</w:t>
      </w:r>
      <w:r w:rsidR="005D5925">
        <w:noBreakHyphen/>
      </w:r>
      <w:r w:rsidR="005D5925">
        <w:rPr>
          <w:noProof/>
        </w:rPr>
        <w:t>5</w:t>
      </w:r>
      <w:r>
        <w:fldChar w:fldCharType="end"/>
      </w:r>
      <w:r>
        <w:t>), however this decrease was not significant (T=-1.10, Pr=0.278)</w:t>
      </w:r>
      <w:r w:rsidRPr="00006891">
        <w:t>.</w:t>
      </w:r>
    </w:p>
    <w:p w:rsidR="00E809F1" w:rsidRPr="002B0EA3" w:rsidRDefault="00E809F1" w:rsidP="00E809F1">
      <w:pPr>
        <w:rPr>
          <w:highlight w:val="yellow"/>
        </w:rPr>
      </w:pPr>
      <w:r>
        <w:t>The composition of growth forms changed between sampling periods, with f</w:t>
      </w:r>
      <w:r w:rsidRPr="0093215D">
        <w:t xml:space="preserve">orb species </w:t>
      </w:r>
      <w:r>
        <w:t>richness displaying a</w:t>
      </w:r>
      <w:r w:rsidRPr="0093215D">
        <w:t xml:space="preserve"> significant reduction in total species from 68 in October 2015 to 58 in March 2016 </w:t>
      </w:r>
      <w:r w:rsidRPr="00056B40">
        <w:t>(T=-2.36, Pr&lt;0.05) (</w:t>
      </w:r>
      <w:r>
        <w:rPr>
          <w:highlight w:val="yellow"/>
        </w:rPr>
        <w:fldChar w:fldCharType="begin"/>
      </w:r>
      <w:r>
        <w:rPr>
          <w:highlight w:val="yellow"/>
        </w:rPr>
        <w:instrText xml:space="preserve"> REF _Ref454542057 \h </w:instrText>
      </w:r>
      <w:r>
        <w:rPr>
          <w:highlight w:val="yellow"/>
        </w:rPr>
      </w:r>
      <w:r>
        <w:rPr>
          <w:highlight w:val="yellow"/>
        </w:rPr>
        <w:fldChar w:fldCharType="separate"/>
      </w:r>
      <w:r w:rsidR="005D5925">
        <w:t xml:space="preserve">Figure </w:t>
      </w:r>
      <w:r w:rsidR="005D5925">
        <w:rPr>
          <w:noProof/>
        </w:rPr>
        <w:t>G</w:t>
      </w:r>
      <w:r w:rsidR="005D5925">
        <w:noBreakHyphen/>
      </w:r>
      <w:r w:rsidR="005D5925">
        <w:rPr>
          <w:noProof/>
        </w:rPr>
        <w:t>7</w:t>
      </w:r>
      <w:r>
        <w:rPr>
          <w:highlight w:val="yellow"/>
        </w:rPr>
        <w:fldChar w:fldCharType="end"/>
      </w:r>
      <w:r w:rsidRPr="00E82CB8">
        <w:t xml:space="preserve">).  </w:t>
      </w:r>
      <w:r w:rsidRPr="00E11B9B">
        <w:t xml:space="preserve">This reduction in species </w:t>
      </w:r>
      <w:r w:rsidR="00605C43">
        <w:t>richness</w:t>
      </w:r>
      <w:r w:rsidRPr="00E11B9B">
        <w:t xml:space="preserve"> was driven by reductions in </w:t>
      </w:r>
      <w:r w:rsidR="00561C43" w:rsidRPr="00996F8F">
        <w:t>amphibious</w:t>
      </w:r>
      <w:r w:rsidRPr="00E11B9B">
        <w:rPr>
          <w:i/>
        </w:rPr>
        <w:t xml:space="preserve"> </w:t>
      </w:r>
      <w:r>
        <w:t>functional group species</w:t>
      </w:r>
      <w:r w:rsidRPr="00E11B9B">
        <w:t xml:space="preserve"> (</w:t>
      </w:r>
      <w:r>
        <w:rPr>
          <w:highlight w:val="yellow"/>
        </w:rPr>
        <w:fldChar w:fldCharType="begin"/>
      </w:r>
      <w:r>
        <w:rPr>
          <w:highlight w:val="yellow"/>
        </w:rPr>
        <w:instrText xml:space="preserve"> REF _Ref455489834 \h </w:instrText>
      </w:r>
      <w:r>
        <w:rPr>
          <w:highlight w:val="yellow"/>
        </w:rPr>
      </w:r>
      <w:r>
        <w:rPr>
          <w:highlight w:val="yellow"/>
        </w:rPr>
        <w:fldChar w:fldCharType="separate"/>
      </w:r>
      <w:r w:rsidR="005D5925">
        <w:t xml:space="preserve">Figure </w:t>
      </w:r>
      <w:r w:rsidR="005D5925">
        <w:rPr>
          <w:noProof/>
        </w:rPr>
        <w:t>G</w:t>
      </w:r>
      <w:r w:rsidR="005D5925">
        <w:noBreakHyphen/>
      </w:r>
      <w:r w:rsidR="005D5925">
        <w:rPr>
          <w:noProof/>
        </w:rPr>
        <w:t>8</w:t>
      </w:r>
      <w:r>
        <w:rPr>
          <w:highlight w:val="yellow"/>
        </w:rPr>
        <w:fldChar w:fldCharType="end"/>
      </w:r>
      <w:r w:rsidRPr="00E11B9B">
        <w:t>).</w:t>
      </w:r>
    </w:p>
    <w:p w:rsidR="00E809F1" w:rsidRDefault="004176FF" w:rsidP="00E809F1">
      <w:pPr>
        <w:keepNext/>
        <w:spacing w:line="276" w:lineRule="auto"/>
        <w:jc w:val="center"/>
      </w:pPr>
      <w:r w:rsidRPr="008F5E11">
        <w:rPr>
          <w:noProof/>
          <w:lang w:eastAsia="en-AU"/>
        </w:rPr>
        <w:drawing>
          <wp:inline distT="0" distB="0" distL="0" distR="0">
            <wp:extent cx="4686300" cy="2895600"/>
            <wp:effectExtent l="0" t="0" r="0" b="0"/>
            <wp:docPr id="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4686300" cy="2895600"/>
                    </a:xfrm>
                    <a:prstGeom prst="rect">
                      <a:avLst/>
                    </a:prstGeom>
                    <a:noFill/>
                    <a:ln>
                      <a:noFill/>
                    </a:ln>
                  </pic:spPr>
                </pic:pic>
              </a:graphicData>
            </a:graphic>
          </wp:inline>
        </w:drawing>
      </w:r>
    </w:p>
    <w:p w:rsidR="00E809F1" w:rsidRDefault="00E809F1" w:rsidP="00E809F1">
      <w:pPr>
        <w:pStyle w:val="Caption"/>
      </w:pPr>
      <w:bookmarkStart w:id="98" w:name="_Ref454523226"/>
      <w:r>
        <w:t xml:space="preserve">Figure </w:t>
      </w:r>
      <w:fldSimple w:instr=" STYLEREF 6 \s ">
        <w:r w:rsidR="00673DAF">
          <w:rPr>
            <w:noProof/>
          </w:rPr>
          <w:t>G</w:t>
        </w:r>
      </w:fldSimple>
      <w:r w:rsidR="00673DAF">
        <w:noBreakHyphen/>
      </w:r>
      <w:fldSimple w:instr=" SEQ Figure \* ARABIC \s 6 ">
        <w:r w:rsidR="00673DAF">
          <w:rPr>
            <w:noProof/>
          </w:rPr>
          <w:t>4</w:t>
        </w:r>
      </w:fldSimple>
      <w:bookmarkEnd w:id="98"/>
      <w:r>
        <w:t xml:space="preserve"> </w:t>
      </w:r>
      <w:r w:rsidRPr="00CF0C7B">
        <w:t xml:space="preserve">Mean number of species in Tda and Tdr functional groups at sites that were wet in </w:t>
      </w:r>
      <w:r>
        <w:t xml:space="preserve">October </w:t>
      </w:r>
      <w:r w:rsidRPr="00CF0C7B">
        <w:t xml:space="preserve">2015 and dry in March 2016. </w:t>
      </w:r>
    </w:p>
    <w:p w:rsidR="00E809F1" w:rsidRDefault="004176FF" w:rsidP="00E809F1">
      <w:pPr>
        <w:rPr>
          <w:highlight w:val="yellow"/>
        </w:rPr>
      </w:pPr>
      <w:r>
        <w:rPr>
          <w:noProof/>
          <w:lang w:eastAsia="en-AU"/>
        </w:rPr>
        <mc:AlternateContent>
          <mc:Choice Requires="wps">
            <w:drawing>
              <wp:anchor distT="0" distB="0" distL="114300" distR="114300" simplePos="0" relativeHeight="251679744" behindDoc="0" locked="0" layoutInCell="1" allowOverlap="1">
                <wp:simplePos x="0" y="0"/>
                <wp:positionH relativeFrom="column">
                  <wp:posOffset>5241925</wp:posOffset>
                </wp:positionH>
                <wp:positionV relativeFrom="paragraph">
                  <wp:posOffset>291465</wp:posOffset>
                </wp:positionV>
                <wp:extent cx="171450" cy="2886075"/>
                <wp:effectExtent l="0" t="0" r="19050" b="28575"/>
                <wp:wrapNone/>
                <wp:docPr id="253"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88607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EDF5CA" id="Rectangle 237" o:spid="_x0000_s1026" style="position:absolute;margin-left:412.75pt;margin-top:22.95pt;width:13.5pt;height:22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" fillcolor="window" strokecolor="window" strokeweight="2pt">
                <v:path arrowok="t"/>
              </v:rect>
            </w:pict>
          </mc:Fallback>
        </mc:AlternateContent>
      </w:r>
    </w:p>
    <w:p w:rsidR="005D5925" w:rsidRDefault="004176FF" w:rsidP="005D5925">
      <w:pPr>
        <w:spacing w:line="240" w:lineRule="auto"/>
        <w:jc w:val="center"/>
        <w:rPr>
          <w:highlight w:val="yellow"/>
        </w:rPr>
      </w:pPr>
      <w:r w:rsidRPr="008F5E11">
        <w:rPr>
          <w:noProof/>
          <w:lang w:eastAsia="en-AU"/>
        </w:rPr>
        <w:drawing>
          <wp:inline distT="0" distB="0" distL="0" distR="0">
            <wp:extent cx="4657725" cy="2876550"/>
            <wp:effectExtent l="0" t="0" r="9525" b="0"/>
            <wp:docPr id="70"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2">
                      <a:extLst>
                        <a:ext uri="{28A0092B-C50C-407E-A947-70E740481C1C}">
                          <a14:useLocalDpi xmlns:a14="http://schemas.microsoft.com/office/drawing/2010/main"/>
                        </a:ext>
                      </a:extLst>
                    </a:blip>
                    <a:srcRect/>
                    <a:stretch>
                      <a:fillRect/>
                    </a:stretch>
                  </pic:blipFill>
                  <pic:spPr bwMode="auto">
                    <a:xfrm>
                      <a:off x="0" y="0"/>
                      <a:ext cx="4657725" cy="2876550"/>
                    </a:xfrm>
                    <a:prstGeom prst="rect">
                      <a:avLst/>
                    </a:prstGeom>
                    <a:noFill/>
                    <a:ln>
                      <a:noFill/>
                    </a:ln>
                  </pic:spPr>
                </pic:pic>
              </a:graphicData>
            </a:graphic>
          </wp:inline>
        </w:drawing>
      </w:r>
    </w:p>
    <w:p w:rsidR="00E809F1" w:rsidRDefault="00E809F1" w:rsidP="00E809F1">
      <w:pPr>
        <w:pStyle w:val="Caption"/>
      </w:pPr>
      <w:bookmarkStart w:id="99" w:name="_Ref454538484"/>
      <w:r>
        <w:t xml:space="preserve">Figure </w:t>
      </w:r>
      <w:fldSimple w:instr=" STYLEREF 6 \s ">
        <w:r w:rsidR="00673DAF">
          <w:rPr>
            <w:noProof/>
          </w:rPr>
          <w:t>G</w:t>
        </w:r>
      </w:fldSimple>
      <w:r w:rsidR="00673DAF">
        <w:noBreakHyphen/>
      </w:r>
      <w:fldSimple w:instr=" SEQ Figure \* ARABIC \s 6 ">
        <w:r w:rsidR="00673DAF">
          <w:rPr>
            <w:noProof/>
          </w:rPr>
          <w:t>5</w:t>
        </w:r>
      </w:fldSimple>
      <w:bookmarkEnd w:id="99"/>
      <w:r w:rsidRPr="00073404">
        <w:t xml:space="preserve"> </w:t>
      </w:r>
      <w:r w:rsidRPr="00CF0C7B">
        <w:t xml:space="preserve">Mean number of species in </w:t>
      </w:r>
      <w:r>
        <w:t>AmR</w:t>
      </w:r>
      <w:r w:rsidRPr="00CF0C7B">
        <w:t xml:space="preserve"> and </w:t>
      </w:r>
      <w:r>
        <w:t>AmT</w:t>
      </w:r>
      <w:r w:rsidRPr="00CF0C7B">
        <w:t xml:space="preserve"> functional groups at sites that were wet in </w:t>
      </w:r>
      <w:r>
        <w:t>October</w:t>
      </w:r>
      <w:r w:rsidRPr="00CF0C7B">
        <w:t xml:space="preserve"> 2015 and dry in March 201</w:t>
      </w:r>
      <w:r>
        <w:t>6.</w:t>
      </w:r>
    </w:p>
    <w:p w:rsidR="00E809F1" w:rsidRDefault="00E809F1" w:rsidP="00E809F1"/>
    <w:p w:rsidR="00E809F1" w:rsidRPr="0093215D" w:rsidRDefault="00E809F1" w:rsidP="00E809F1">
      <w:pPr>
        <w:sectPr w:rsidR="00E809F1" w:rsidRPr="0093215D" w:rsidSect="0063461D">
          <w:headerReference w:type="even" r:id="rId123"/>
          <w:headerReference w:type="default" r:id="rId124"/>
          <w:footerReference w:type="default" r:id="rId125"/>
          <w:headerReference w:type="first" r:id="rId126"/>
          <w:type w:val="nextColumn"/>
          <w:pgSz w:w="11899" w:h="16838" w:code="9"/>
          <w:pgMar w:top="1418" w:right="1219" w:bottom="1457" w:left="1480" w:header="811" w:footer="306" w:gutter="0"/>
          <w:pgNumType w:chapStyle="6"/>
          <w:cols w:space="708"/>
        </w:sectPr>
      </w:pPr>
    </w:p>
    <w:p w:rsidR="00E809F1" w:rsidRDefault="004176FF" w:rsidP="00E809F1">
      <w:pPr>
        <w:keepNext/>
        <w:spacing w:line="240" w:lineRule="auto"/>
      </w:pPr>
      <w:r>
        <w:rPr>
          <w:noProof/>
          <w:lang w:eastAsia="en-AU"/>
        </w:rPr>
        <mc:AlternateContent>
          <mc:Choice Requires="wps">
            <w:drawing>
              <wp:anchor distT="0" distB="0" distL="114300" distR="114300" simplePos="0" relativeHeight="251650048" behindDoc="0" locked="0" layoutInCell="1" allowOverlap="1">
                <wp:simplePos x="0" y="0"/>
                <wp:positionH relativeFrom="column">
                  <wp:posOffset>4794885</wp:posOffset>
                </wp:positionH>
                <wp:positionV relativeFrom="paragraph">
                  <wp:posOffset>4421505</wp:posOffset>
                </wp:positionV>
                <wp:extent cx="441325" cy="829945"/>
                <wp:effectExtent l="0" t="0" r="0" b="8255"/>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325" cy="829945"/>
                        </a:xfrm>
                        <a:prstGeom prst="rect">
                          <a:avLst/>
                        </a:prstGeom>
                        <a:solidFill>
                          <a:sysClr val="window" lastClr="FFFFFF"/>
                        </a:solidFill>
                        <a:ln w="6350">
                          <a:noFill/>
                        </a:ln>
                      </wps:spPr>
                      <wps:txbx>
                        <w:txbxContent>
                          <w:p w:rsidR="00EA54D5" w:rsidRPr="00887AE0" w:rsidRDefault="00EA54D5" w:rsidP="00E809F1">
                            <w:pPr>
                              <w:jc w:val="right"/>
                            </w:pPr>
                            <w:r>
                              <w:t>Old Dromana Nursery 1</w:t>
                            </w:r>
                          </w:p>
                        </w:txbxContent>
                      </wps:txbx>
                      <wps:bodyPr rot="0" spcFirstLastPara="0" vertOverflow="overflow" horzOverflow="overflow" vert="vert270"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4" o:spid="_x0000_s1040" type="#_x0000_t202" style="position:absolute;left:0;text-align:left;margin-left:377.55pt;margin-top:348.15pt;width:34.75pt;height:65.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" fillcolor="window" stroked="f" strokeweight=".5pt">
                <v:path arrowok="t"/>
                <v:textbox style="layout-flow:vertical;mso-layout-flow-alt:bottom-to-top" inset="0,1mm,0,0">
                  <w:txbxContent>
                    <w:p w:rsidR="00EA54D5" w:rsidRPr="00887AE0" w:rsidRDefault="00EA54D5" w:rsidP="00E809F1">
                      <w:pPr>
                        <w:jc w:val="right"/>
                      </w:pPr>
                      <w:r>
                        <w:t>Old Dromana Nursery 1</w:t>
                      </w:r>
                    </w:p>
                  </w:txbxContent>
                </v:textbox>
              </v:shape>
            </w:pict>
          </mc:Fallback>
        </mc:AlternateContent>
      </w:r>
      <w:r>
        <w:rPr>
          <w:noProof/>
          <w:lang w:eastAsia="en-AU"/>
        </w:rPr>
        <mc:AlternateContent>
          <mc:Choice Requires="wps">
            <w:drawing>
              <wp:anchor distT="0" distB="0" distL="114300" distR="114300" simplePos="0" relativeHeight="251639808" behindDoc="0" locked="0" layoutInCell="1" allowOverlap="1">
                <wp:simplePos x="0" y="0"/>
                <wp:positionH relativeFrom="column">
                  <wp:posOffset>532130</wp:posOffset>
                </wp:positionH>
                <wp:positionV relativeFrom="paragraph">
                  <wp:posOffset>4422775</wp:posOffset>
                </wp:positionV>
                <wp:extent cx="401955" cy="766445"/>
                <wp:effectExtent l="0" t="0" r="0" b="0"/>
                <wp:wrapNone/>
                <wp:docPr id="25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955" cy="766445"/>
                        </a:xfrm>
                        <a:prstGeom prst="rect">
                          <a:avLst/>
                        </a:prstGeom>
                        <a:solidFill>
                          <a:sysClr val="window" lastClr="FFFFFF"/>
                        </a:solidFill>
                        <a:ln w="6350">
                          <a:noFill/>
                        </a:ln>
                      </wps:spPr>
                      <wps:txbx>
                        <w:txbxContent>
                          <w:p w:rsidR="00EA54D5" w:rsidRDefault="00EA54D5" w:rsidP="00E809F1">
                            <w:pPr>
                              <w:jc w:val="right"/>
                            </w:pPr>
                            <w:r>
                              <w:t>Bungunya</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41" type="#_x0000_t202" style="position:absolute;left:0;text-align:left;margin-left:41.9pt;margin-top:348.25pt;width:31.65pt;height:60.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" fillcolor="window" stroked="f" strokeweight=".5pt">
                <v:path arrowok="t"/>
                <v:textbox style="layout-flow:vertical;mso-layout-flow-alt:bottom-to-top">
                  <w:txbxContent>
                    <w:p w:rsidR="00EA54D5" w:rsidRDefault="00EA54D5" w:rsidP="00E809F1">
                      <w:pPr>
                        <w:jc w:val="right"/>
                      </w:pPr>
                      <w:r>
                        <w:t>Bungunya</w:t>
                      </w:r>
                    </w:p>
                  </w:txbxContent>
                </v:textbox>
              </v:shape>
            </w:pict>
          </mc:Fallback>
        </mc:AlternateContent>
      </w:r>
      <w:r>
        <w:rPr>
          <w:noProof/>
          <w:lang w:eastAsia="en-AU"/>
        </w:rPr>
        <mc:AlternateContent>
          <mc:Choice Requires="wps">
            <w:drawing>
              <wp:anchor distT="0" distB="0" distL="114299" distR="114299" simplePos="0" relativeHeight="251659264" behindDoc="0" locked="0" layoutInCell="1" allowOverlap="1">
                <wp:simplePos x="0" y="0"/>
                <wp:positionH relativeFrom="column">
                  <wp:posOffset>522604</wp:posOffset>
                </wp:positionH>
                <wp:positionV relativeFrom="paragraph">
                  <wp:posOffset>3736975</wp:posOffset>
                </wp:positionV>
                <wp:extent cx="0" cy="1247775"/>
                <wp:effectExtent l="0" t="0" r="19050" b="28575"/>
                <wp:wrapNone/>
                <wp:docPr id="251"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47775"/>
                        </a:xfrm>
                        <a:prstGeom prst="line">
                          <a:avLst/>
                        </a:prstGeom>
                        <a:noFill/>
                        <a:ln w="9525"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924391" id="Straight Connector 57"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1.15pt,294.25pt" to="41.15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" strokecolor="#7f7f7f">
                <o:lock v:ext="edit" shapetype="f"/>
              </v:line>
            </w:pict>
          </mc:Fallback>
        </mc:AlternateContent>
      </w:r>
      <w:r w:rsidRPr="008F5E11">
        <w:rPr>
          <w:noProof/>
          <w:lang w:eastAsia="en-AU"/>
        </w:rPr>
        <w:drawing>
          <wp:inline distT="0" distB="0" distL="0" distR="0">
            <wp:extent cx="8820150" cy="5162550"/>
            <wp:effectExtent l="0" t="0" r="0" b="0"/>
            <wp:docPr id="71"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8820150" cy="5162550"/>
                    </a:xfrm>
                    <a:prstGeom prst="rect">
                      <a:avLst/>
                    </a:prstGeom>
                    <a:noFill/>
                    <a:ln>
                      <a:noFill/>
                    </a:ln>
                  </pic:spPr>
                </pic:pic>
              </a:graphicData>
            </a:graphic>
          </wp:inline>
        </w:drawing>
      </w:r>
      <w:r>
        <w:rPr>
          <w:noProof/>
          <w:lang w:eastAsia="en-AU"/>
        </w:rPr>
        <mc:AlternateContent>
          <mc:Choice Requires="wps">
            <w:drawing>
              <wp:anchor distT="0" distB="0" distL="114300" distR="114300" simplePos="0" relativeHeight="251654144" behindDoc="0" locked="0" layoutInCell="1" allowOverlap="1">
                <wp:simplePos x="0" y="0"/>
                <wp:positionH relativeFrom="column">
                  <wp:posOffset>7917815</wp:posOffset>
                </wp:positionH>
                <wp:positionV relativeFrom="paragraph">
                  <wp:posOffset>4419600</wp:posOffset>
                </wp:positionV>
                <wp:extent cx="420370" cy="902970"/>
                <wp:effectExtent l="0" t="0" r="0" b="0"/>
                <wp:wrapNone/>
                <wp:docPr id="25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370" cy="902970"/>
                        </a:xfrm>
                        <a:prstGeom prst="rect">
                          <a:avLst/>
                        </a:prstGeom>
                        <a:solidFill>
                          <a:sysClr val="window" lastClr="FFFFFF"/>
                        </a:solidFill>
                        <a:ln w="6350">
                          <a:noFill/>
                        </a:ln>
                      </wps:spPr>
                      <wps:txbx>
                        <w:txbxContent>
                          <w:p w:rsidR="00EA54D5" w:rsidRPr="00887AE0" w:rsidRDefault="00EA54D5" w:rsidP="00E809F1">
                            <w:pPr>
                              <w:jc w:val="right"/>
                            </w:pPr>
                            <w:r>
                              <w:t>Westholme</w:t>
                            </w:r>
                          </w:p>
                        </w:txbxContent>
                      </wps:txbx>
                      <wps:bodyPr rot="0" spcFirstLastPara="0" vertOverflow="overflow" horzOverflow="overflow" vert="vert270"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42" type="#_x0000_t202" style="position:absolute;left:0;text-align:left;margin-left:623.45pt;margin-top:348pt;width:33.1pt;height:71.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" fillcolor="window" stroked="f" strokeweight=".5pt">
                <v:path arrowok="t"/>
                <v:textbox style="layout-flow:vertical;mso-layout-flow-alt:bottom-to-top" inset="0,1mm,0,0">
                  <w:txbxContent>
                    <w:p w:rsidR="00EA54D5" w:rsidRPr="00887AE0" w:rsidRDefault="00EA54D5" w:rsidP="00E809F1">
                      <w:pPr>
                        <w:jc w:val="right"/>
                      </w:pPr>
                      <w:r>
                        <w:t>Westholme</w:t>
                      </w:r>
                    </w:p>
                  </w:txbxContent>
                </v:textbox>
              </v:shape>
            </w:pict>
          </mc:Fallback>
        </mc:AlternateContent>
      </w:r>
      <w:r>
        <w:rPr>
          <w:noProof/>
          <w:lang w:eastAsia="en-AU"/>
        </w:rPr>
        <mc:AlternateContent>
          <mc:Choice Requires="wps">
            <w:drawing>
              <wp:anchor distT="0" distB="0" distL="114300" distR="114300" simplePos="0" relativeHeight="251642880" behindDoc="0" locked="0" layoutInCell="1" allowOverlap="1">
                <wp:simplePos x="0" y="0"/>
                <wp:positionH relativeFrom="column">
                  <wp:posOffset>3514725</wp:posOffset>
                </wp:positionH>
                <wp:positionV relativeFrom="paragraph">
                  <wp:posOffset>4419600</wp:posOffset>
                </wp:positionV>
                <wp:extent cx="430530" cy="767080"/>
                <wp:effectExtent l="0" t="0" r="7620" b="0"/>
                <wp:wrapNone/>
                <wp:docPr id="24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30" cy="767080"/>
                        </a:xfrm>
                        <a:prstGeom prst="rect">
                          <a:avLst/>
                        </a:prstGeom>
                        <a:solidFill>
                          <a:sysClr val="window" lastClr="FFFFFF"/>
                        </a:solidFill>
                        <a:ln w="6350">
                          <a:noFill/>
                        </a:ln>
                      </wps:spPr>
                      <wps:txbx>
                        <w:txbxContent>
                          <w:p w:rsidR="00EA54D5" w:rsidRPr="00887AE0" w:rsidRDefault="00EA54D5" w:rsidP="00E809F1">
                            <w:pPr>
                              <w:jc w:val="right"/>
                            </w:pPr>
                            <w:r>
                              <w:t>Munwonga</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43" type="#_x0000_t202" style="position:absolute;left:0;text-align:left;margin-left:276.75pt;margin-top:348pt;width:33.9pt;height:60.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" fillcolor="window" stroked="f" strokeweight=".5pt">
                <v:path arrowok="t"/>
                <v:textbox style="layout-flow:vertical;mso-layout-flow-alt:bottom-to-top">
                  <w:txbxContent>
                    <w:p w:rsidR="00EA54D5" w:rsidRPr="00887AE0" w:rsidRDefault="00EA54D5" w:rsidP="00E809F1">
                      <w:pPr>
                        <w:jc w:val="right"/>
                      </w:pPr>
                      <w:r>
                        <w:t>Munwonga</w:t>
                      </w:r>
                    </w:p>
                  </w:txbxContent>
                </v:textbox>
              </v:shape>
            </w:pict>
          </mc:Fallback>
        </mc:AlternateContent>
      </w:r>
      <w:r>
        <w:rPr>
          <w:noProof/>
          <w:lang w:eastAsia="en-AU"/>
        </w:rPr>
        <mc:AlternateContent>
          <mc:Choice Requires="wps">
            <w:drawing>
              <wp:anchor distT="0" distB="0" distL="114300" distR="114300" simplePos="0" relativeHeight="251641856" behindDoc="0" locked="0" layoutInCell="1" allowOverlap="1">
                <wp:simplePos x="0" y="0"/>
                <wp:positionH relativeFrom="column">
                  <wp:posOffset>3073400</wp:posOffset>
                </wp:positionH>
                <wp:positionV relativeFrom="paragraph">
                  <wp:posOffset>4419600</wp:posOffset>
                </wp:positionV>
                <wp:extent cx="430530" cy="767080"/>
                <wp:effectExtent l="0" t="0" r="7620" b="0"/>
                <wp:wrapNone/>
                <wp:docPr id="24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30" cy="767080"/>
                        </a:xfrm>
                        <a:prstGeom prst="rect">
                          <a:avLst/>
                        </a:prstGeom>
                        <a:solidFill>
                          <a:sysClr val="window" lastClr="FFFFFF"/>
                        </a:solidFill>
                        <a:ln w="6350">
                          <a:noFill/>
                        </a:ln>
                      </wps:spPr>
                      <wps:txbx>
                        <w:txbxContent>
                          <w:p w:rsidR="00EA54D5" w:rsidRPr="00887AE0" w:rsidRDefault="00EA54D5" w:rsidP="00E809F1">
                            <w:pPr>
                              <w:jc w:val="right"/>
                            </w:pPr>
                            <w:r>
                              <w:t>Lynworth 3</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44" type="#_x0000_t202" style="position:absolute;left:0;text-align:left;margin-left:242pt;margin-top:348pt;width:33.9pt;height:60.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" fillcolor="window" stroked="f" strokeweight=".5pt">
                <v:path arrowok="t"/>
                <v:textbox style="layout-flow:vertical;mso-layout-flow-alt:bottom-to-top">
                  <w:txbxContent>
                    <w:p w:rsidR="00EA54D5" w:rsidRPr="00887AE0" w:rsidRDefault="00EA54D5" w:rsidP="00E809F1">
                      <w:pPr>
                        <w:jc w:val="right"/>
                      </w:pPr>
                      <w:r>
                        <w:t>Lynworth 3</w:t>
                      </w:r>
                    </w:p>
                  </w:txbxContent>
                </v:textbox>
              </v:shape>
            </w:pict>
          </mc:Fallback>
        </mc:AlternateContent>
      </w:r>
      <w:r>
        <w:rPr>
          <w:noProof/>
          <w:lang w:eastAsia="en-AU"/>
        </w:rPr>
        <mc:AlternateContent>
          <mc:Choice Requires="wps">
            <w:drawing>
              <wp:anchor distT="0" distB="0" distL="114300" distR="114300" simplePos="0" relativeHeight="251652096" behindDoc="0" locked="0" layoutInCell="1" allowOverlap="1">
                <wp:simplePos x="0" y="0"/>
                <wp:positionH relativeFrom="column">
                  <wp:posOffset>7062470</wp:posOffset>
                </wp:positionH>
                <wp:positionV relativeFrom="paragraph">
                  <wp:posOffset>4419600</wp:posOffset>
                </wp:positionV>
                <wp:extent cx="241935" cy="902970"/>
                <wp:effectExtent l="0" t="0" r="5715" b="0"/>
                <wp:wrapNone/>
                <wp:docPr id="24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902970"/>
                        </a:xfrm>
                        <a:prstGeom prst="rect">
                          <a:avLst/>
                        </a:prstGeom>
                        <a:solidFill>
                          <a:sysClr val="window" lastClr="FFFFFF"/>
                        </a:solidFill>
                        <a:ln w="6350">
                          <a:noFill/>
                        </a:ln>
                      </wps:spPr>
                      <wps:txbx>
                        <w:txbxContent>
                          <w:p w:rsidR="00EA54D5" w:rsidRPr="00887AE0" w:rsidRDefault="00EA54D5" w:rsidP="00E809F1">
                            <w:pPr>
                              <w:jc w:val="right"/>
                            </w:pPr>
                            <w:r>
                              <w:t>Valetta 1</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45" type="#_x0000_t202" style="position:absolute;left:0;text-align:left;margin-left:556.1pt;margin-top:348pt;width:19.05pt;height:71.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" fillcolor="window" stroked="f" strokeweight=".5pt">
                <v:path arrowok="t"/>
                <v:textbox style="layout-flow:vertical;mso-layout-flow-alt:bottom-to-top" inset="0,0,0,0">
                  <w:txbxContent>
                    <w:p w:rsidR="00EA54D5" w:rsidRPr="00887AE0" w:rsidRDefault="00EA54D5" w:rsidP="00E809F1">
                      <w:pPr>
                        <w:jc w:val="right"/>
                      </w:pPr>
                      <w:r>
                        <w:t>Valetta 1</w:t>
                      </w:r>
                    </w:p>
                  </w:txbxContent>
                </v:textbox>
              </v:shape>
            </w:pict>
          </mc:Fallback>
        </mc:AlternateContent>
      </w:r>
      <w:r>
        <w:rPr>
          <w:noProof/>
          <w:lang w:eastAsia="en-AU"/>
        </w:rPr>
        <mc:AlternateContent>
          <mc:Choice Requires="wps">
            <w:drawing>
              <wp:anchor distT="0" distB="0" distL="114300" distR="114300" simplePos="0" relativeHeight="251658240" behindDoc="0" locked="0" layoutInCell="1" allowOverlap="1">
                <wp:simplePos x="0" y="0"/>
                <wp:positionH relativeFrom="column">
                  <wp:posOffset>6089650</wp:posOffset>
                </wp:positionH>
                <wp:positionV relativeFrom="paragraph">
                  <wp:posOffset>4419600</wp:posOffset>
                </wp:positionV>
                <wp:extent cx="420370" cy="902970"/>
                <wp:effectExtent l="0" t="0" r="0" b="0"/>
                <wp:wrapNone/>
                <wp:docPr id="24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370" cy="902970"/>
                        </a:xfrm>
                        <a:prstGeom prst="rect">
                          <a:avLst/>
                        </a:prstGeom>
                        <a:solidFill>
                          <a:sysClr val="window" lastClr="FFFFFF"/>
                        </a:solidFill>
                        <a:ln w="6350">
                          <a:noFill/>
                        </a:ln>
                      </wps:spPr>
                      <wps:txbx>
                        <w:txbxContent>
                          <w:p w:rsidR="00EA54D5" w:rsidRPr="00887AE0" w:rsidRDefault="00EA54D5" w:rsidP="00E809F1">
                            <w:pPr>
                              <w:jc w:val="right"/>
                            </w:pPr>
                            <w:r>
                              <w:t>Old Dromana Ramsar 2</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46" type="#_x0000_t202" style="position:absolute;left:0;text-align:left;margin-left:479.5pt;margin-top:348pt;width:33.1pt;height:7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" fillcolor="window" stroked="f" strokeweight=".5pt">
                <v:path arrowok="t"/>
                <v:textbox style="layout-flow:vertical;mso-layout-flow-alt:bottom-to-top" inset="0,0,0,0">
                  <w:txbxContent>
                    <w:p w:rsidR="00EA54D5" w:rsidRPr="00887AE0" w:rsidRDefault="00EA54D5" w:rsidP="00E809F1">
                      <w:pPr>
                        <w:jc w:val="right"/>
                      </w:pPr>
                      <w:r>
                        <w:t>Old Dromana Ramsar 2</w:t>
                      </w:r>
                    </w:p>
                  </w:txbxContent>
                </v:textbox>
              </v:shape>
            </w:pict>
          </mc:Fallback>
        </mc:AlternateContent>
      </w:r>
      <w:r>
        <w:rPr>
          <w:noProof/>
          <w:lang w:eastAsia="en-AU"/>
        </w:rPr>
        <mc:AlternateContent>
          <mc:Choice Requires="wps">
            <w:drawing>
              <wp:anchor distT="0" distB="0" distL="114300" distR="114300" simplePos="0" relativeHeight="251644928" behindDoc="0" locked="0" layoutInCell="1" allowOverlap="1">
                <wp:simplePos x="0" y="0"/>
                <wp:positionH relativeFrom="column">
                  <wp:posOffset>4371975</wp:posOffset>
                </wp:positionH>
                <wp:positionV relativeFrom="paragraph">
                  <wp:posOffset>4419600</wp:posOffset>
                </wp:positionV>
                <wp:extent cx="420370" cy="829310"/>
                <wp:effectExtent l="0" t="0" r="0" b="889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370" cy="829310"/>
                        </a:xfrm>
                        <a:prstGeom prst="rect">
                          <a:avLst/>
                        </a:prstGeom>
                        <a:solidFill>
                          <a:sysClr val="window" lastClr="FFFFFF"/>
                        </a:solidFill>
                        <a:ln w="6350">
                          <a:noFill/>
                        </a:ln>
                      </wps:spPr>
                      <wps:txbx>
                        <w:txbxContent>
                          <w:p w:rsidR="00EA54D5" w:rsidRPr="00887AE0" w:rsidRDefault="00EA54D5" w:rsidP="00E809F1">
                            <w:pPr>
                              <w:jc w:val="right"/>
                            </w:pPr>
                            <w:r>
                              <w:t>Old Dromana Elders 1</w:t>
                            </w:r>
                          </w:p>
                        </w:txbxContent>
                      </wps:txbx>
                      <wps:bodyPr rot="0" spcFirstLastPara="0" vertOverflow="overflow" horzOverflow="overflow" vert="vert270"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2" o:spid="_x0000_s1047" type="#_x0000_t202" style="position:absolute;left:0;text-align:left;margin-left:344.25pt;margin-top:348pt;width:33.1pt;height:65.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" fillcolor="window" stroked="f" strokeweight=".5pt">
                <v:path arrowok="t"/>
                <v:textbox style="layout-flow:vertical;mso-layout-flow-alt:bottom-to-top" inset="0,1mm,0,0">
                  <w:txbxContent>
                    <w:p w:rsidR="00EA54D5" w:rsidRPr="00887AE0" w:rsidRDefault="00EA54D5" w:rsidP="00E809F1">
                      <w:pPr>
                        <w:jc w:val="right"/>
                      </w:pPr>
                      <w:r>
                        <w:t>Old Dromana Elders 1</w:t>
                      </w:r>
                    </w:p>
                  </w:txbxContent>
                </v:textbox>
              </v:shape>
            </w:pict>
          </mc:Fallback>
        </mc:AlternateContent>
      </w:r>
      <w:r>
        <w:rPr>
          <w:noProof/>
          <w:lang w:eastAsia="en-AU"/>
        </w:rPr>
        <mc:AlternateContent>
          <mc:Choice Requires="wps">
            <w:drawing>
              <wp:anchor distT="0" distB="0" distL="114300" distR="114300" simplePos="0" relativeHeight="251656192" behindDoc="0" locked="0" layoutInCell="1" allowOverlap="1">
                <wp:simplePos x="0" y="0"/>
                <wp:positionH relativeFrom="column">
                  <wp:posOffset>5191760</wp:posOffset>
                </wp:positionH>
                <wp:positionV relativeFrom="paragraph">
                  <wp:posOffset>4419600</wp:posOffset>
                </wp:positionV>
                <wp:extent cx="420370" cy="819150"/>
                <wp:effectExtent l="0" t="0" r="0" b="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370" cy="819150"/>
                        </a:xfrm>
                        <a:prstGeom prst="rect">
                          <a:avLst/>
                        </a:prstGeom>
                        <a:solidFill>
                          <a:sysClr val="window" lastClr="FFFFFF"/>
                        </a:solidFill>
                        <a:ln w="6350">
                          <a:noFill/>
                        </a:ln>
                      </wps:spPr>
                      <wps:txbx>
                        <w:txbxContent>
                          <w:p w:rsidR="00EA54D5" w:rsidRPr="00887AE0" w:rsidRDefault="00EA54D5" w:rsidP="00E809F1">
                            <w:pPr>
                              <w:jc w:val="right"/>
                            </w:pPr>
                            <w:r>
                              <w:t>Old Dromana Nursery 2</w:t>
                            </w:r>
                          </w:p>
                        </w:txbxContent>
                      </wps:txbx>
                      <wps:bodyPr rot="0" spcFirstLastPara="0" vertOverflow="overflow" horzOverflow="overflow" vert="vert270"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3" o:spid="_x0000_s1048" type="#_x0000_t202" style="position:absolute;left:0;text-align:left;margin-left:408.8pt;margin-top:348pt;width:33.1pt;height:6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" fillcolor="window" stroked="f" strokeweight=".5pt">
                <v:path arrowok="t"/>
                <v:textbox style="layout-flow:vertical;mso-layout-flow-alt:bottom-to-top" inset="0,1mm,0,0">
                  <w:txbxContent>
                    <w:p w:rsidR="00EA54D5" w:rsidRPr="00887AE0" w:rsidRDefault="00EA54D5" w:rsidP="00E809F1">
                      <w:pPr>
                        <w:jc w:val="right"/>
                      </w:pPr>
                      <w:r>
                        <w:t>Old Dromana Nursery 2</w:t>
                      </w:r>
                    </w:p>
                  </w:txbxContent>
                </v:textbox>
              </v:shape>
            </w:pict>
          </mc:Fallback>
        </mc:AlternateContent>
      </w:r>
      <w:r>
        <w:rPr>
          <w:noProof/>
          <w:lang w:eastAsia="en-AU"/>
        </w:rPr>
        <mc:AlternateContent>
          <mc:Choice Requires="wps">
            <w:drawing>
              <wp:anchor distT="0" distB="0" distL="114300" distR="114300" simplePos="0" relativeHeight="251657216" behindDoc="0" locked="0" layoutInCell="1" allowOverlap="1">
                <wp:simplePos x="0" y="0"/>
                <wp:positionH relativeFrom="column">
                  <wp:posOffset>5659120</wp:posOffset>
                </wp:positionH>
                <wp:positionV relativeFrom="paragraph">
                  <wp:posOffset>4419600</wp:posOffset>
                </wp:positionV>
                <wp:extent cx="420370" cy="902970"/>
                <wp:effectExtent l="0" t="0" r="0" b="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370" cy="902970"/>
                        </a:xfrm>
                        <a:prstGeom prst="rect">
                          <a:avLst/>
                        </a:prstGeom>
                        <a:solidFill>
                          <a:sysClr val="window" lastClr="FFFFFF"/>
                        </a:solidFill>
                        <a:ln w="6350">
                          <a:noFill/>
                        </a:ln>
                      </wps:spPr>
                      <wps:txbx>
                        <w:txbxContent>
                          <w:p w:rsidR="00EA54D5" w:rsidRPr="00887AE0" w:rsidRDefault="00EA54D5" w:rsidP="00E809F1">
                            <w:pPr>
                              <w:jc w:val="right"/>
                            </w:pPr>
                            <w:r>
                              <w:t>Old Dromana Ramsar 1</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5" o:spid="_x0000_s1049" type="#_x0000_t202" style="position:absolute;left:0;text-align:left;margin-left:445.6pt;margin-top:348pt;width:33.1pt;height:7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" fillcolor="window" stroked="f" strokeweight=".5pt">
                <v:path arrowok="t"/>
                <v:textbox style="layout-flow:vertical;mso-layout-flow-alt:bottom-to-top" inset="0,0,0,0">
                  <w:txbxContent>
                    <w:p w:rsidR="00EA54D5" w:rsidRPr="00887AE0" w:rsidRDefault="00EA54D5" w:rsidP="00E809F1">
                      <w:pPr>
                        <w:jc w:val="right"/>
                      </w:pPr>
                      <w:r>
                        <w:t>Old Dromana Ramsar 1</w:t>
                      </w:r>
                    </w:p>
                  </w:txbxContent>
                </v:textbox>
              </v:shape>
            </w:pict>
          </mc:Fallback>
        </mc:AlternateContent>
      </w:r>
      <w:r>
        <w:rPr>
          <w:noProof/>
          <w:lang w:eastAsia="en-AU"/>
        </w:rPr>
        <mc:AlternateContent>
          <mc:Choice Requires="wps">
            <w:drawing>
              <wp:anchor distT="0" distB="0" distL="114300" distR="114300" simplePos="0" relativeHeight="251651072" behindDoc="0" locked="0" layoutInCell="1" allowOverlap="1">
                <wp:simplePos x="0" y="0"/>
                <wp:positionH relativeFrom="column">
                  <wp:posOffset>6541135</wp:posOffset>
                </wp:positionH>
                <wp:positionV relativeFrom="paragraph">
                  <wp:posOffset>4419600</wp:posOffset>
                </wp:positionV>
                <wp:extent cx="420370" cy="902970"/>
                <wp:effectExtent l="0" t="0" r="0" b="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370" cy="902970"/>
                        </a:xfrm>
                        <a:prstGeom prst="rect">
                          <a:avLst/>
                        </a:prstGeom>
                        <a:solidFill>
                          <a:sysClr val="window" lastClr="FFFFFF"/>
                        </a:solidFill>
                        <a:ln w="6350">
                          <a:noFill/>
                        </a:ln>
                      </wps:spPr>
                      <wps:txbx>
                        <w:txbxContent>
                          <w:p w:rsidR="00EA54D5" w:rsidRPr="00887AE0" w:rsidRDefault="00EA54D5" w:rsidP="00E809F1">
                            <w:pPr>
                              <w:jc w:val="right"/>
                            </w:pPr>
                            <w:r>
                              <w:t>Old Dromana Ramsar 3</w:t>
                            </w:r>
                          </w:p>
                        </w:txbxContent>
                      </wps:txbx>
                      <wps:bodyPr rot="0" spcFirstLastPara="0" vertOverflow="overflow" horzOverflow="overflow" vert="vert270"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6" o:spid="_x0000_s1050" type="#_x0000_t202" style="position:absolute;left:0;text-align:left;margin-left:515.05pt;margin-top:348pt;width:33.1pt;height:71.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" fillcolor="window" stroked="f" strokeweight=".5pt">
                <v:path arrowok="t"/>
                <v:textbox style="layout-flow:vertical;mso-layout-flow-alt:bottom-to-top" inset="0,1mm,0,0">
                  <w:txbxContent>
                    <w:p w:rsidR="00EA54D5" w:rsidRPr="00887AE0" w:rsidRDefault="00EA54D5" w:rsidP="00E809F1">
                      <w:pPr>
                        <w:jc w:val="right"/>
                      </w:pPr>
                      <w:r>
                        <w:t>Old Dromana Ramsar 3</w:t>
                      </w:r>
                    </w:p>
                  </w:txbxContent>
                </v:textbox>
              </v:shape>
            </w:pict>
          </mc:Fallback>
        </mc:AlternateContent>
      </w:r>
      <w:r>
        <w:rPr>
          <w:noProof/>
          <w:lang w:eastAsia="en-AU"/>
        </w:rPr>
        <mc:AlternateContent>
          <mc:Choice Requires="wps">
            <w:drawing>
              <wp:anchor distT="0" distB="0" distL="114300" distR="114300" simplePos="0" relativeHeight="251653120" behindDoc="0" locked="0" layoutInCell="1" allowOverlap="1">
                <wp:simplePos x="0" y="0"/>
                <wp:positionH relativeFrom="column">
                  <wp:posOffset>7498080</wp:posOffset>
                </wp:positionH>
                <wp:positionV relativeFrom="paragraph">
                  <wp:posOffset>4419600</wp:posOffset>
                </wp:positionV>
                <wp:extent cx="420370" cy="902970"/>
                <wp:effectExtent l="0" t="0" r="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370" cy="902970"/>
                        </a:xfrm>
                        <a:prstGeom prst="rect">
                          <a:avLst/>
                        </a:prstGeom>
                        <a:solidFill>
                          <a:sysClr val="window" lastClr="FFFFFF"/>
                        </a:solidFill>
                        <a:ln w="6350">
                          <a:noFill/>
                        </a:ln>
                      </wps:spPr>
                      <wps:txbx>
                        <w:txbxContent>
                          <w:p w:rsidR="00EA54D5" w:rsidRPr="00887AE0" w:rsidRDefault="00EA54D5" w:rsidP="00E809F1">
                            <w:pPr>
                              <w:jc w:val="right"/>
                            </w:pPr>
                            <w:r>
                              <w:t>Valetta 2</w:t>
                            </w:r>
                          </w:p>
                        </w:txbxContent>
                      </wps:txbx>
                      <wps:bodyPr rot="0" spcFirstLastPara="0" vertOverflow="overflow" horzOverflow="overflow" vert="vert270"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7" o:spid="_x0000_s1051" type="#_x0000_t202" style="position:absolute;left:0;text-align:left;margin-left:590.4pt;margin-top:348pt;width:33.1pt;height:71.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" fillcolor="window" stroked="f" strokeweight=".5pt">
                <v:path arrowok="t"/>
                <v:textbox style="layout-flow:vertical;mso-layout-flow-alt:bottom-to-top" inset="0,1mm,0,0">
                  <w:txbxContent>
                    <w:p w:rsidR="00EA54D5" w:rsidRPr="00887AE0" w:rsidRDefault="00EA54D5" w:rsidP="00E809F1">
                      <w:pPr>
                        <w:jc w:val="right"/>
                      </w:pPr>
                      <w:r>
                        <w:t>Valetta 2</w:t>
                      </w:r>
                    </w:p>
                  </w:txbxContent>
                </v:textbox>
              </v:shape>
            </w:pict>
          </mc:Fallback>
        </mc:AlternateContent>
      </w:r>
      <w:r>
        <w:rPr>
          <w:noProof/>
          <w:lang w:eastAsia="en-AU"/>
        </w:rPr>
        <mc:AlternateContent>
          <mc:Choice Requires="wps">
            <w:drawing>
              <wp:anchor distT="0" distB="0" distL="114300" distR="114300" simplePos="0" relativeHeight="251655168" behindDoc="0" locked="0" layoutInCell="1" allowOverlap="1">
                <wp:simplePos x="0" y="0"/>
                <wp:positionH relativeFrom="column">
                  <wp:posOffset>8255000</wp:posOffset>
                </wp:positionH>
                <wp:positionV relativeFrom="paragraph">
                  <wp:posOffset>4419600</wp:posOffset>
                </wp:positionV>
                <wp:extent cx="420370" cy="902970"/>
                <wp:effectExtent l="0" t="0" r="0" b="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370" cy="902970"/>
                        </a:xfrm>
                        <a:prstGeom prst="rect">
                          <a:avLst/>
                        </a:prstGeom>
                        <a:solidFill>
                          <a:sysClr val="window" lastClr="FFFFFF"/>
                        </a:solidFill>
                        <a:ln w="6350">
                          <a:noFill/>
                        </a:ln>
                      </wps:spPr>
                      <wps:txbx>
                        <w:txbxContent>
                          <w:p w:rsidR="00EA54D5" w:rsidRPr="00887AE0" w:rsidRDefault="00EA54D5" w:rsidP="00E809F1">
                            <w:pPr>
                              <w:jc w:val="right"/>
                            </w:pPr>
                            <w:r>
                              <w:t>Westholme Coolibah</w:t>
                            </w:r>
                          </w:p>
                        </w:txbxContent>
                      </wps:txbx>
                      <wps:bodyPr rot="0" spcFirstLastPara="0" vertOverflow="overflow" horzOverflow="overflow" vert="vert270"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8" o:spid="_x0000_s1052" type="#_x0000_t202" style="position:absolute;left:0;text-align:left;margin-left:650pt;margin-top:348pt;width:33.1pt;height:71.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" fillcolor="window" stroked="f" strokeweight=".5pt">
                <v:path arrowok="t"/>
                <v:textbox style="layout-flow:vertical;mso-layout-flow-alt:bottom-to-top" inset="0,1mm,0,0">
                  <w:txbxContent>
                    <w:p w:rsidR="00EA54D5" w:rsidRPr="00887AE0" w:rsidRDefault="00EA54D5" w:rsidP="00E809F1">
                      <w:pPr>
                        <w:jc w:val="right"/>
                      </w:pPr>
                      <w:r>
                        <w:t>Westholme Coolibah</w:t>
                      </w:r>
                    </w:p>
                  </w:txbxContent>
                </v:textbox>
              </v:shape>
            </w:pict>
          </mc:Fallback>
        </mc:AlternateContent>
      </w:r>
      <w:r>
        <w:rPr>
          <w:noProof/>
          <w:lang w:eastAsia="en-AU"/>
        </w:rPr>
        <mc:AlternateContent>
          <mc:Choice Requires="wps">
            <w:drawing>
              <wp:anchor distT="0" distB="0" distL="114300" distR="114300" simplePos="0" relativeHeight="251643904" behindDoc="0" locked="0" layoutInCell="1" allowOverlap="1">
                <wp:simplePos x="0" y="0"/>
                <wp:positionH relativeFrom="column">
                  <wp:posOffset>3887470</wp:posOffset>
                </wp:positionH>
                <wp:positionV relativeFrom="paragraph">
                  <wp:posOffset>4419600</wp:posOffset>
                </wp:positionV>
                <wp:extent cx="525780" cy="766445"/>
                <wp:effectExtent l="0" t="0" r="7620"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 cy="766445"/>
                        </a:xfrm>
                        <a:prstGeom prst="rect">
                          <a:avLst/>
                        </a:prstGeom>
                        <a:solidFill>
                          <a:sysClr val="window" lastClr="FFFFFF"/>
                        </a:solidFill>
                        <a:ln w="6350">
                          <a:noFill/>
                        </a:ln>
                      </wps:spPr>
                      <wps:txbx>
                        <w:txbxContent>
                          <w:p w:rsidR="00EA54D5" w:rsidRPr="00887AE0" w:rsidRDefault="00EA54D5" w:rsidP="00E809F1">
                            <w:pPr>
                              <w:jc w:val="right"/>
                            </w:pPr>
                            <w:r>
                              <w:t>Old Dromana</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9" o:spid="_x0000_s1053" type="#_x0000_t202" style="position:absolute;left:0;text-align:left;margin-left:306.1pt;margin-top:348pt;width:41.4pt;height:60.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" fillcolor="window" stroked="f" strokeweight=".5pt">
                <v:path arrowok="t"/>
                <v:textbox style="layout-flow:vertical;mso-layout-flow-alt:bottom-to-top">
                  <w:txbxContent>
                    <w:p w:rsidR="00EA54D5" w:rsidRPr="00887AE0" w:rsidRDefault="00EA54D5" w:rsidP="00E809F1">
                      <w:pPr>
                        <w:jc w:val="right"/>
                      </w:pPr>
                      <w:r>
                        <w:t>Old Dromana</w:t>
                      </w:r>
                    </w:p>
                  </w:txbxContent>
                </v:textbox>
              </v:shape>
            </w:pict>
          </mc:Fallback>
        </mc:AlternateContent>
      </w:r>
      <w:r>
        <w:rPr>
          <w:noProof/>
          <w:lang w:eastAsia="en-AU"/>
        </w:rPr>
        <mc:AlternateContent>
          <mc:Choice Requires="wps">
            <w:drawing>
              <wp:anchor distT="0" distB="0" distL="114300" distR="114300" simplePos="0" relativeHeight="251649024" behindDoc="0" locked="0" layoutInCell="1" allowOverlap="1">
                <wp:simplePos x="0" y="0"/>
                <wp:positionH relativeFrom="column">
                  <wp:posOffset>2584450</wp:posOffset>
                </wp:positionH>
                <wp:positionV relativeFrom="paragraph">
                  <wp:posOffset>4419600</wp:posOffset>
                </wp:positionV>
                <wp:extent cx="546735" cy="766445"/>
                <wp:effectExtent l="0" t="0" r="5715"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735" cy="766445"/>
                        </a:xfrm>
                        <a:prstGeom prst="rect">
                          <a:avLst/>
                        </a:prstGeom>
                        <a:solidFill>
                          <a:sysClr val="window" lastClr="FFFFFF"/>
                        </a:solidFill>
                        <a:ln w="6350">
                          <a:noFill/>
                        </a:ln>
                      </wps:spPr>
                      <wps:txbx>
                        <w:txbxContent>
                          <w:p w:rsidR="00EA54D5" w:rsidRPr="00887AE0" w:rsidRDefault="00EA54D5" w:rsidP="00E809F1">
                            <w:pPr>
                              <w:jc w:val="right"/>
                            </w:pPr>
                            <w:r>
                              <w:t>Lynworth 1_4</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0" o:spid="_x0000_s1054" type="#_x0000_t202" style="position:absolute;left:0;text-align:left;margin-left:203.5pt;margin-top:348pt;width:43.05pt;height:60.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" fillcolor="window" stroked="f" strokeweight=".5pt">
                <v:path arrowok="t"/>
                <v:textbox style="layout-flow:vertical;mso-layout-flow-alt:bottom-to-top">
                  <w:txbxContent>
                    <w:p w:rsidR="00EA54D5" w:rsidRPr="00887AE0" w:rsidRDefault="00EA54D5" w:rsidP="00E809F1">
                      <w:pPr>
                        <w:jc w:val="right"/>
                      </w:pPr>
                      <w:r>
                        <w:t>Lynworth 1_4</w:t>
                      </w:r>
                    </w:p>
                  </w:txbxContent>
                </v:textbox>
              </v:shape>
            </w:pict>
          </mc:Fallback>
        </mc:AlternateContent>
      </w:r>
      <w:r>
        <w:rPr>
          <w:noProof/>
          <w:lang w:eastAsia="en-AU"/>
        </w:rPr>
        <mc:AlternateContent>
          <mc:Choice Requires="wps">
            <w:drawing>
              <wp:anchor distT="0" distB="0" distL="114300" distR="114300" simplePos="0" relativeHeight="251645952" behindDoc="0" locked="0" layoutInCell="1" allowOverlap="1">
                <wp:simplePos x="0" y="0"/>
                <wp:positionH relativeFrom="column">
                  <wp:posOffset>1350010</wp:posOffset>
                </wp:positionH>
                <wp:positionV relativeFrom="paragraph">
                  <wp:posOffset>4419600</wp:posOffset>
                </wp:positionV>
                <wp:extent cx="430530" cy="767080"/>
                <wp:effectExtent l="0" t="0" r="7620" b="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30" cy="767080"/>
                        </a:xfrm>
                        <a:prstGeom prst="rect">
                          <a:avLst/>
                        </a:prstGeom>
                        <a:solidFill>
                          <a:sysClr val="window" lastClr="FFFFFF"/>
                        </a:solidFill>
                        <a:ln w="6350">
                          <a:noFill/>
                        </a:ln>
                      </wps:spPr>
                      <wps:txbx>
                        <w:txbxContent>
                          <w:p w:rsidR="00EA54D5" w:rsidRPr="00887AE0" w:rsidRDefault="00EA54D5" w:rsidP="00E809F1">
                            <w:pPr>
                              <w:jc w:val="right"/>
                            </w:pPr>
                            <w:r>
                              <w:t>Coombah</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1" o:spid="_x0000_s1055" type="#_x0000_t202" style="position:absolute;left:0;text-align:left;margin-left:106.3pt;margin-top:348pt;width:33.9pt;height:60.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" fillcolor="window" stroked="f" strokeweight=".5pt">
                <v:path arrowok="t"/>
                <v:textbox style="layout-flow:vertical;mso-layout-flow-alt:bottom-to-top">
                  <w:txbxContent>
                    <w:p w:rsidR="00EA54D5" w:rsidRPr="00887AE0" w:rsidRDefault="00EA54D5" w:rsidP="00E809F1">
                      <w:pPr>
                        <w:jc w:val="right"/>
                      </w:pPr>
                      <w:r>
                        <w:t>Coombah</w:t>
                      </w:r>
                    </w:p>
                  </w:txbxContent>
                </v:textbox>
              </v:shape>
            </w:pict>
          </mc:Fallback>
        </mc:AlternateContent>
      </w:r>
      <w:r>
        <w:rPr>
          <w:noProof/>
          <w:lang w:eastAsia="en-AU"/>
        </w:rPr>
        <mc:AlternateContent>
          <mc:Choice Requires="wps">
            <w:drawing>
              <wp:anchor distT="0" distB="0" distL="114300" distR="114300" simplePos="0" relativeHeight="251646976" behindDoc="0" locked="0" layoutInCell="1" allowOverlap="1">
                <wp:simplePos x="0" y="0"/>
                <wp:positionH relativeFrom="column">
                  <wp:posOffset>1781175</wp:posOffset>
                </wp:positionH>
                <wp:positionV relativeFrom="paragraph">
                  <wp:posOffset>4419600</wp:posOffset>
                </wp:positionV>
                <wp:extent cx="430530" cy="767080"/>
                <wp:effectExtent l="0" t="0" r="7620"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30" cy="767080"/>
                        </a:xfrm>
                        <a:prstGeom prst="rect">
                          <a:avLst/>
                        </a:prstGeom>
                        <a:solidFill>
                          <a:sysClr val="window" lastClr="FFFFFF"/>
                        </a:solidFill>
                        <a:ln w="6350">
                          <a:noFill/>
                        </a:ln>
                      </wps:spPr>
                      <wps:txbx>
                        <w:txbxContent>
                          <w:p w:rsidR="00EA54D5" w:rsidRPr="00887AE0" w:rsidRDefault="00EA54D5" w:rsidP="00E809F1">
                            <w:pPr>
                              <w:jc w:val="right"/>
                            </w:pPr>
                            <w:r>
                              <w:t>Goddards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2" o:spid="_x0000_s1056" type="#_x0000_t202" style="position:absolute;left:0;text-align:left;margin-left:140.25pt;margin-top:348pt;width:33.9pt;height:60.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" fillcolor="window" stroked="f" strokeweight=".5pt">
                <v:path arrowok="t"/>
                <v:textbox style="layout-flow:vertical;mso-layout-flow-alt:bottom-to-top">
                  <w:txbxContent>
                    <w:p w:rsidR="00EA54D5" w:rsidRPr="00887AE0" w:rsidRDefault="00EA54D5" w:rsidP="00E809F1">
                      <w:pPr>
                        <w:jc w:val="right"/>
                      </w:pPr>
                      <w:r>
                        <w:t>Goddards</w:t>
                      </w:r>
                    </w:p>
                  </w:txbxContent>
                </v:textbox>
              </v:shape>
            </w:pict>
          </mc:Fallback>
        </mc:AlternateContent>
      </w:r>
      <w:r>
        <w:rPr>
          <w:noProof/>
          <w:lang w:eastAsia="en-AU"/>
        </w:rPr>
        <mc:AlternateContent>
          <mc:Choice Requires="wps">
            <w:drawing>
              <wp:anchor distT="0" distB="0" distL="114300" distR="114300" simplePos="0" relativeHeight="251648000" behindDoc="0" locked="0" layoutInCell="1" allowOverlap="1">
                <wp:simplePos x="0" y="0"/>
                <wp:positionH relativeFrom="column">
                  <wp:posOffset>2211705</wp:posOffset>
                </wp:positionH>
                <wp:positionV relativeFrom="paragraph">
                  <wp:posOffset>4419600</wp:posOffset>
                </wp:positionV>
                <wp:extent cx="430530" cy="767080"/>
                <wp:effectExtent l="0" t="0" r="762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30" cy="767080"/>
                        </a:xfrm>
                        <a:prstGeom prst="rect">
                          <a:avLst/>
                        </a:prstGeom>
                        <a:solidFill>
                          <a:sysClr val="window" lastClr="FFFFFF"/>
                        </a:solidFill>
                        <a:ln w="6350">
                          <a:noFill/>
                        </a:ln>
                      </wps:spPr>
                      <wps:txbx>
                        <w:txbxContent>
                          <w:p w:rsidR="00EA54D5" w:rsidRPr="00887AE0" w:rsidRDefault="00EA54D5" w:rsidP="00E809F1">
                            <w:pPr>
                              <w:jc w:val="right"/>
                            </w:pPr>
                            <w:r>
                              <w:t>Lynworth 1</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3" o:spid="_x0000_s1057" type="#_x0000_t202" style="position:absolute;left:0;text-align:left;margin-left:174.15pt;margin-top:348pt;width:33.9pt;height:60.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" fillcolor="window" stroked="f" strokeweight=".5pt">
                <v:path arrowok="t"/>
                <v:textbox style="layout-flow:vertical;mso-layout-flow-alt:bottom-to-top">
                  <w:txbxContent>
                    <w:p w:rsidR="00EA54D5" w:rsidRPr="00887AE0" w:rsidRDefault="00EA54D5" w:rsidP="00E809F1">
                      <w:pPr>
                        <w:jc w:val="right"/>
                      </w:pPr>
                      <w:r>
                        <w:t>Lynworth 1</w:t>
                      </w:r>
                    </w:p>
                  </w:txbxContent>
                </v:textbox>
              </v:shape>
            </w:pict>
          </mc:Fallback>
        </mc:AlternateContent>
      </w:r>
      <w:r>
        <w:rPr>
          <w:noProof/>
          <w:lang w:eastAsia="en-AU"/>
        </w:rPr>
        <mc:AlternateContent>
          <mc:Choice Requires="wps">
            <w:drawing>
              <wp:anchor distT="0" distB="0" distL="114300" distR="114300" simplePos="0" relativeHeight="251640832" behindDoc="0" locked="0" layoutInCell="1" allowOverlap="1">
                <wp:simplePos x="0" y="0"/>
                <wp:positionH relativeFrom="column">
                  <wp:posOffset>939800</wp:posOffset>
                </wp:positionH>
                <wp:positionV relativeFrom="paragraph">
                  <wp:posOffset>4419600</wp:posOffset>
                </wp:positionV>
                <wp:extent cx="430530" cy="767080"/>
                <wp:effectExtent l="0" t="0" r="7620"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30" cy="767080"/>
                        </a:xfrm>
                        <a:prstGeom prst="rect">
                          <a:avLst/>
                        </a:prstGeom>
                        <a:solidFill>
                          <a:sysClr val="window" lastClr="FFFFFF"/>
                        </a:solidFill>
                        <a:ln w="6350">
                          <a:noFill/>
                        </a:ln>
                      </wps:spPr>
                      <wps:txbx>
                        <w:txbxContent>
                          <w:p w:rsidR="00EA54D5" w:rsidRPr="00887AE0" w:rsidRDefault="00EA54D5" w:rsidP="00E809F1">
                            <w:pPr>
                              <w:jc w:val="right"/>
                            </w:pPr>
                            <w:r w:rsidRPr="00887AE0">
                              <w:t>Bunnor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 o:spid="_x0000_s1058" type="#_x0000_t202" style="position:absolute;left:0;text-align:left;margin-left:74pt;margin-top:348pt;width:33.9pt;height:60.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" fillcolor="window" stroked="f" strokeweight=".5pt">
                <v:path arrowok="t"/>
                <v:textbox style="layout-flow:vertical;mso-layout-flow-alt:bottom-to-top">
                  <w:txbxContent>
                    <w:p w:rsidR="00EA54D5" w:rsidRPr="00887AE0" w:rsidRDefault="00EA54D5" w:rsidP="00E809F1">
                      <w:pPr>
                        <w:jc w:val="right"/>
                      </w:pPr>
                      <w:r w:rsidRPr="00887AE0">
                        <w:t>Bunnor</w:t>
                      </w:r>
                    </w:p>
                  </w:txbxContent>
                </v:textbox>
              </v:shape>
            </w:pict>
          </mc:Fallback>
        </mc:AlternateContent>
      </w:r>
    </w:p>
    <w:p w:rsidR="00E809F1" w:rsidRDefault="00E809F1" w:rsidP="00E809F1">
      <w:pPr>
        <w:pStyle w:val="Caption"/>
      </w:pPr>
      <w:bookmarkStart w:id="100" w:name="_Ref459889418"/>
      <w:r>
        <w:t xml:space="preserve">Figure </w:t>
      </w:r>
      <w:fldSimple w:instr=" STYLEREF 6 \s ">
        <w:r w:rsidR="00673DAF">
          <w:rPr>
            <w:noProof/>
          </w:rPr>
          <w:t>G</w:t>
        </w:r>
      </w:fldSimple>
      <w:r w:rsidR="00673DAF">
        <w:noBreakHyphen/>
      </w:r>
      <w:fldSimple w:instr=" SEQ Figure \* ARABIC \s 6 ">
        <w:r w:rsidR="00673DAF">
          <w:rPr>
            <w:noProof/>
          </w:rPr>
          <w:t>6</w:t>
        </w:r>
      </w:fldSimple>
      <w:bookmarkEnd w:id="100"/>
      <w:r w:rsidRPr="0093215D">
        <w:t xml:space="preserve"> </w:t>
      </w:r>
      <w:r w:rsidRPr="003133B1">
        <w:t xml:space="preserve">Mean number of species recorded at each site during the </w:t>
      </w:r>
      <w:r>
        <w:t>October</w:t>
      </w:r>
      <w:r w:rsidRPr="003133B1">
        <w:t xml:space="preserve"> 2015 and March 2016 </w:t>
      </w:r>
      <w:r>
        <w:t>surveys.</w:t>
      </w:r>
    </w:p>
    <w:p w:rsidR="00E809F1" w:rsidRPr="00056B40" w:rsidRDefault="00E809F1" w:rsidP="00E809F1">
      <w:pPr>
        <w:sectPr w:rsidR="00E809F1" w:rsidRPr="00056B40" w:rsidSect="00426200">
          <w:headerReference w:type="default" r:id="rId128"/>
          <w:footerReference w:type="default" r:id="rId129"/>
          <w:type w:val="nextColumn"/>
          <w:pgSz w:w="16838" w:h="11899" w:orient="landscape" w:code="9"/>
          <w:pgMar w:top="1508" w:right="1219" w:bottom="1276" w:left="1480" w:header="811" w:footer="306" w:gutter="0"/>
          <w:pgNumType w:chapStyle="6"/>
          <w:cols w:space="708"/>
          <w:docGrid w:linePitch="272"/>
        </w:sectPr>
      </w:pPr>
    </w:p>
    <w:p w:rsidR="00E809F1" w:rsidRDefault="004176FF" w:rsidP="00E809F1">
      <w:pPr>
        <w:keepNext/>
        <w:spacing w:line="276" w:lineRule="auto"/>
        <w:jc w:val="center"/>
      </w:pPr>
      <w:r w:rsidRPr="008F5E11">
        <w:rPr>
          <w:noProof/>
          <w:lang w:eastAsia="en-AU"/>
        </w:rPr>
        <w:drawing>
          <wp:inline distT="0" distB="0" distL="0" distR="0">
            <wp:extent cx="5581650" cy="3314700"/>
            <wp:effectExtent l="0" t="0" r="0" b="0"/>
            <wp:docPr id="72"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5581650" cy="3314700"/>
                    </a:xfrm>
                    <a:prstGeom prst="rect">
                      <a:avLst/>
                    </a:prstGeom>
                    <a:noFill/>
                    <a:ln>
                      <a:noFill/>
                    </a:ln>
                  </pic:spPr>
                </pic:pic>
              </a:graphicData>
            </a:graphic>
          </wp:inline>
        </w:drawing>
      </w:r>
    </w:p>
    <w:p w:rsidR="00E809F1" w:rsidRDefault="00E809F1" w:rsidP="00E809F1">
      <w:pPr>
        <w:pStyle w:val="Caption"/>
      </w:pPr>
      <w:bookmarkStart w:id="101" w:name="_Ref454542057"/>
      <w:r>
        <w:t xml:space="preserve">Figure </w:t>
      </w:r>
      <w:fldSimple w:instr=" STYLEREF 6 \s ">
        <w:r w:rsidR="00673DAF">
          <w:rPr>
            <w:noProof/>
          </w:rPr>
          <w:t>G</w:t>
        </w:r>
      </w:fldSimple>
      <w:r w:rsidR="00673DAF">
        <w:noBreakHyphen/>
      </w:r>
      <w:fldSimple w:instr=" SEQ Figure \* ARABIC \s 6 ">
        <w:r w:rsidR="00673DAF">
          <w:rPr>
            <w:noProof/>
          </w:rPr>
          <w:t>7</w:t>
        </w:r>
      </w:fldSimple>
      <w:bookmarkEnd w:id="101"/>
      <w:r>
        <w:t xml:space="preserve"> </w:t>
      </w:r>
      <w:r w:rsidRPr="00974F15">
        <w:t>Total number of species and the proportion of the differing growth forms recorded across all vegetation plots in October 2015 and March 2016 sampling periods.</w:t>
      </w:r>
    </w:p>
    <w:p w:rsidR="00E809F1" w:rsidRPr="0093215D" w:rsidRDefault="00E809F1" w:rsidP="00E809F1">
      <w:pPr>
        <w:rPr>
          <w:highlight w:val="yellow"/>
        </w:rPr>
      </w:pPr>
    </w:p>
    <w:p w:rsidR="00E809F1" w:rsidRDefault="004176FF" w:rsidP="00E809F1">
      <w:pPr>
        <w:keepNext/>
        <w:spacing w:line="276" w:lineRule="auto"/>
        <w:jc w:val="center"/>
      </w:pPr>
      <w:bookmarkStart w:id="102" w:name="_Ref418784660"/>
      <w:r w:rsidRPr="008F5E11">
        <w:rPr>
          <w:noProof/>
          <w:lang w:eastAsia="en-AU"/>
        </w:rPr>
        <w:drawing>
          <wp:inline distT="0" distB="0" distL="0" distR="0">
            <wp:extent cx="5848350" cy="3562350"/>
            <wp:effectExtent l="0" t="0" r="0" b="0"/>
            <wp:docPr id="73"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5848350" cy="3562350"/>
                    </a:xfrm>
                    <a:prstGeom prst="rect">
                      <a:avLst/>
                    </a:prstGeom>
                    <a:noFill/>
                    <a:ln>
                      <a:noFill/>
                    </a:ln>
                  </pic:spPr>
                </pic:pic>
              </a:graphicData>
            </a:graphic>
          </wp:inline>
        </w:drawing>
      </w:r>
    </w:p>
    <w:p w:rsidR="00E809F1" w:rsidRDefault="00E809F1" w:rsidP="00E809F1">
      <w:pPr>
        <w:pStyle w:val="Caption"/>
      </w:pPr>
      <w:bookmarkStart w:id="103" w:name="_Ref455489834"/>
      <w:r>
        <w:t xml:space="preserve">Figure </w:t>
      </w:r>
      <w:fldSimple w:instr=" STYLEREF 6 \s ">
        <w:r w:rsidR="00673DAF">
          <w:rPr>
            <w:noProof/>
          </w:rPr>
          <w:t>G</w:t>
        </w:r>
      </w:fldSimple>
      <w:r w:rsidR="00673DAF">
        <w:noBreakHyphen/>
      </w:r>
      <w:fldSimple w:instr=" SEQ Figure \* ARABIC \s 6 ">
        <w:r w:rsidR="00673DAF">
          <w:rPr>
            <w:noProof/>
          </w:rPr>
          <w:t>8</w:t>
        </w:r>
      </w:fldSimple>
      <w:bookmarkEnd w:id="103"/>
      <w:r>
        <w:t xml:space="preserve"> </w:t>
      </w:r>
      <w:r w:rsidRPr="00BF08A9">
        <w:t>Total number of species and the proportion of the differing functional groups recorded across all vegetation plots in October 2015 and March 2016 sampling periods.</w:t>
      </w:r>
    </w:p>
    <w:bookmarkEnd w:id="102"/>
    <w:p w:rsidR="00E809F1" w:rsidRPr="002B0EA3" w:rsidRDefault="00E809F1" w:rsidP="006909A2">
      <w:pPr>
        <w:pStyle w:val="Heading9"/>
      </w:pPr>
      <w:r w:rsidRPr="002B0EA3">
        <w:rPr>
          <w:highlight w:val="yellow"/>
        </w:rPr>
        <w:br w:type="page"/>
      </w:r>
      <w:r w:rsidRPr="002B0EA3">
        <w:t xml:space="preserve">Vegetation </w:t>
      </w:r>
      <w:r>
        <w:t xml:space="preserve">community </w:t>
      </w:r>
      <w:r w:rsidRPr="002B0EA3">
        <w:t>composition</w:t>
      </w:r>
    </w:p>
    <w:p w:rsidR="00E809F1" w:rsidRPr="002B0EA3" w:rsidRDefault="00E809F1" w:rsidP="00E809F1">
      <w:r w:rsidRPr="002B0EA3">
        <w:t>P</w:t>
      </w:r>
      <w:r>
        <w:t>ERMANOVA</w:t>
      </w:r>
      <w:r w:rsidRPr="002B0EA3">
        <w:t xml:space="preserve"> tests on vegetation community composition</w:t>
      </w:r>
      <w:r>
        <w:t xml:space="preserve"> data</w:t>
      </w:r>
      <w:r w:rsidRPr="002B0EA3">
        <w:t xml:space="preserve"> from all plots surveyed during the 2015-16 water year suggested that </w:t>
      </w:r>
      <w:r>
        <w:t xml:space="preserve">vegetation community </w:t>
      </w:r>
      <w:r w:rsidRPr="002B0EA3">
        <w:t xml:space="preserve">(Pseudo-F = </w:t>
      </w:r>
      <w:r>
        <w:t>4.29</w:t>
      </w:r>
      <w:r w:rsidRPr="002B0EA3">
        <w:t>, Pr&lt;0.00</w:t>
      </w:r>
      <w:r>
        <w:t xml:space="preserve">5) and inundation </w:t>
      </w:r>
      <w:r w:rsidRPr="002B0EA3">
        <w:t xml:space="preserve">(Pseudo-F = </w:t>
      </w:r>
      <w:r>
        <w:t>2.80</w:t>
      </w:r>
      <w:r w:rsidRPr="002B0EA3">
        <w:t>, Pr&lt;0.0</w:t>
      </w:r>
      <w:r>
        <w:t>5</w:t>
      </w:r>
      <w:r w:rsidRPr="002B0EA3">
        <w:t>)</w:t>
      </w:r>
      <w:r>
        <w:t xml:space="preserve"> were exerting an influence</w:t>
      </w:r>
      <w:r w:rsidRPr="002B0EA3">
        <w:t xml:space="preserve"> on the observed patterns</w:t>
      </w:r>
      <w:r>
        <w:t xml:space="preserve"> (</w:t>
      </w:r>
      <w:r>
        <w:fldChar w:fldCharType="begin"/>
      </w:r>
      <w:r>
        <w:instrText xml:space="preserve"> REF _Ref453924926 \h </w:instrText>
      </w:r>
      <w:r>
        <w:fldChar w:fldCharType="separate"/>
      </w:r>
      <w:r w:rsidR="005D5925">
        <w:t xml:space="preserve">Figure </w:t>
      </w:r>
      <w:r w:rsidR="005D5925">
        <w:rPr>
          <w:noProof/>
        </w:rPr>
        <w:t>G</w:t>
      </w:r>
      <w:r w:rsidR="005D5925">
        <w:noBreakHyphen/>
      </w:r>
      <w:r w:rsidR="005D5925">
        <w:rPr>
          <w:noProof/>
        </w:rPr>
        <w:t>9</w:t>
      </w:r>
      <w:r>
        <w:fldChar w:fldCharType="end"/>
      </w:r>
      <w:r>
        <w:t>)</w:t>
      </w:r>
      <w:r w:rsidRPr="002B0EA3">
        <w:t xml:space="preserve">. </w:t>
      </w:r>
      <w:r>
        <w:t xml:space="preserve"> Pairwise tests suggested significant differences</w:t>
      </w:r>
      <w:r w:rsidR="00A77281">
        <w:t xml:space="preserve"> </w:t>
      </w:r>
      <w:r>
        <w:t>between wet and dry sites in water</w:t>
      </w:r>
      <w:r w:rsidR="006E559A">
        <w:t xml:space="preserve"> </w:t>
      </w:r>
      <w:r>
        <w:t>couch marsh grassland (t=1.39, Pr&lt;0.05) vegetation communities, but no differences were noted in the community composition between wet or dry sites within coolibah woodland (Pr=0.66) or river cooba lignum sites (Pr=0.10)</w:t>
      </w:r>
      <w:r w:rsidR="00A97349">
        <w:t xml:space="preserve"> (</w:t>
      </w:r>
      <w:r w:rsidR="00A97349">
        <w:fldChar w:fldCharType="begin"/>
      </w:r>
      <w:r w:rsidR="00A97349">
        <w:instrText xml:space="preserve"> REF _Ref453930299 \h </w:instrText>
      </w:r>
      <w:r w:rsidR="00A97349">
        <w:fldChar w:fldCharType="separate"/>
      </w:r>
      <w:r w:rsidR="005D5925">
        <w:t xml:space="preserve">Figure </w:t>
      </w:r>
      <w:r w:rsidR="005D5925">
        <w:rPr>
          <w:noProof/>
        </w:rPr>
        <w:t>G</w:t>
      </w:r>
      <w:r w:rsidR="005D5925">
        <w:noBreakHyphen/>
      </w:r>
      <w:r w:rsidR="005D5925">
        <w:rPr>
          <w:noProof/>
        </w:rPr>
        <w:t>10</w:t>
      </w:r>
      <w:r w:rsidR="00A97349">
        <w:fldChar w:fldCharType="end"/>
      </w:r>
      <w:r w:rsidR="00A97349">
        <w:t>)</w:t>
      </w:r>
      <w:r>
        <w:t>.  Sampling time did not have a significant influence on the grouping of the data in multidimensional space (Pr=0.55)</w:t>
      </w:r>
    </w:p>
    <w:p w:rsidR="00E809F1" w:rsidRPr="00335683" w:rsidRDefault="00E809F1" w:rsidP="00E809F1">
      <w:pPr>
        <w:rPr>
          <w:rFonts w:cs="Arial"/>
          <w:szCs w:val="20"/>
          <w:lang w:eastAsia="en-AU"/>
        </w:rPr>
      </w:pPr>
      <w:r w:rsidRPr="00335683">
        <w:rPr>
          <w:rFonts w:cs="Arial"/>
          <w:szCs w:val="20"/>
        </w:rPr>
        <w:t>SIMPER analysis showed that water couch and flat spike-sedge had a large influence</w:t>
      </w:r>
      <w:r w:rsidR="00A77281">
        <w:rPr>
          <w:rFonts w:cs="Arial"/>
          <w:szCs w:val="20"/>
        </w:rPr>
        <w:t xml:space="preserve"> on the similarity of</w:t>
      </w:r>
      <w:r w:rsidRPr="00335683">
        <w:rPr>
          <w:rFonts w:cs="Arial"/>
          <w:szCs w:val="20"/>
        </w:rPr>
        <w:t xml:space="preserve"> survey time and inundation </w:t>
      </w:r>
      <w:r w:rsidR="00A77281">
        <w:rPr>
          <w:rFonts w:cs="Arial"/>
          <w:szCs w:val="20"/>
        </w:rPr>
        <w:t xml:space="preserve">groups </w:t>
      </w:r>
      <w:r w:rsidRPr="00335683">
        <w:rPr>
          <w:rFonts w:cs="Arial"/>
          <w:szCs w:val="20"/>
          <w:lang w:eastAsia="en-AU"/>
        </w:rPr>
        <w:t>(</w:t>
      </w:r>
      <w:r w:rsidRPr="00335683">
        <w:rPr>
          <w:rFonts w:cs="Arial"/>
          <w:szCs w:val="20"/>
          <w:lang w:eastAsia="en-AU"/>
        </w:rPr>
        <w:fldChar w:fldCharType="begin"/>
      </w:r>
      <w:r w:rsidRPr="00335683">
        <w:rPr>
          <w:rFonts w:cs="Arial"/>
          <w:szCs w:val="20"/>
          <w:lang w:eastAsia="en-AU"/>
        </w:rPr>
        <w:instrText xml:space="preserve"> REF _Ref453930286 \h  \* MERGEFORMAT </w:instrText>
      </w:r>
      <w:r w:rsidRPr="00335683">
        <w:rPr>
          <w:rFonts w:cs="Arial"/>
          <w:szCs w:val="20"/>
          <w:lang w:eastAsia="en-AU"/>
        </w:rPr>
      </w:r>
      <w:r w:rsidRPr="00335683">
        <w:rPr>
          <w:rFonts w:cs="Arial"/>
          <w:szCs w:val="20"/>
          <w:lang w:eastAsia="en-AU"/>
        </w:rPr>
        <w:fldChar w:fldCharType="separate"/>
      </w:r>
      <w:r w:rsidR="005D5925" w:rsidRPr="005D5925">
        <w:rPr>
          <w:rFonts w:cs="Arial"/>
          <w:szCs w:val="20"/>
        </w:rPr>
        <w:t xml:space="preserve">Table </w:t>
      </w:r>
      <w:r w:rsidR="005D5925" w:rsidRPr="005D5925">
        <w:rPr>
          <w:rFonts w:cs="Arial"/>
          <w:noProof/>
          <w:szCs w:val="20"/>
        </w:rPr>
        <w:t>G</w:t>
      </w:r>
      <w:r w:rsidR="005D5925" w:rsidRPr="005D5925">
        <w:rPr>
          <w:rFonts w:cs="Arial"/>
          <w:noProof/>
          <w:szCs w:val="20"/>
        </w:rPr>
        <w:noBreakHyphen/>
        <w:t>2</w:t>
      </w:r>
      <w:r w:rsidRPr="00335683">
        <w:rPr>
          <w:rFonts w:cs="Arial"/>
          <w:szCs w:val="20"/>
          <w:lang w:eastAsia="en-AU"/>
        </w:rPr>
        <w:fldChar w:fldCharType="end"/>
      </w:r>
      <w:r w:rsidRPr="00335683">
        <w:rPr>
          <w:rFonts w:cs="Arial"/>
          <w:szCs w:val="20"/>
          <w:lang w:eastAsia="en-AU"/>
        </w:rPr>
        <w:t xml:space="preserve">).  Additionally, the introduced species lippia influenced the </w:t>
      </w:r>
      <w:r w:rsidR="00A77281">
        <w:rPr>
          <w:rFonts w:cs="Arial"/>
          <w:szCs w:val="20"/>
          <w:lang w:eastAsia="en-AU"/>
        </w:rPr>
        <w:t xml:space="preserve">similarity </w:t>
      </w:r>
      <w:r w:rsidRPr="00335683">
        <w:rPr>
          <w:rFonts w:cs="Arial"/>
          <w:szCs w:val="20"/>
          <w:lang w:eastAsia="en-AU"/>
        </w:rPr>
        <w:t>of dry sites, while tussock rush (</w:t>
      </w:r>
      <w:r w:rsidRPr="00335683">
        <w:rPr>
          <w:rFonts w:cs="Arial"/>
          <w:i/>
          <w:szCs w:val="20"/>
          <w:lang w:eastAsia="en-AU"/>
        </w:rPr>
        <w:t>Juncus aridicola</w:t>
      </w:r>
      <w:r w:rsidRPr="00335683">
        <w:rPr>
          <w:rFonts w:cs="Arial"/>
          <w:szCs w:val="20"/>
          <w:lang w:eastAsia="en-AU"/>
        </w:rPr>
        <w:t>) and Pacific azolla (</w:t>
      </w:r>
      <w:r w:rsidRPr="00335683">
        <w:rPr>
          <w:rFonts w:cs="Arial"/>
          <w:i/>
          <w:szCs w:val="20"/>
          <w:lang w:eastAsia="en-AU"/>
        </w:rPr>
        <w:t>Azolla filiculoides</w:t>
      </w:r>
      <w:r w:rsidRPr="00335683">
        <w:rPr>
          <w:rFonts w:cs="Arial"/>
          <w:szCs w:val="20"/>
          <w:lang w:eastAsia="en-AU"/>
        </w:rPr>
        <w:t>) influenced the grouping of wet sites in October 2015, and downs nutgrass (</w:t>
      </w:r>
      <w:r w:rsidRPr="00335683">
        <w:rPr>
          <w:rFonts w:cs="Arial"/>
          <w:i/>
          <w:szCs w:val="20"/>
          <w:lang w:eastAsia="en-AU"/>
        </w:rPr>
        <w:t>Cyperus bifax</w:t>
      </w:r>
      <w:r w:rsidRPr="00335683">
        <w:rPr>
          <w:rFonts w:cs="Arial"/>
          <w:szCs w:val="20"/>
          <w:lang w:eastAsia="en-AU"/>
        </w:rPr>
        <w:t>), budda pea (</w:t>
      </w:r>
      <w:r w:rsidRPr="00335683">
        <w:rPr>
          <w:rFonts w:cs="Arial"/>
          <w:i/>
          <w:szCs w:val="20"/>
          <w:lang w:eastAsia="en-AU"/>
        </w:rPr>
        <w:t>Aeschynomene indica</w:t>
      </w:r>
      <w:r w:rsidRPr="00335683">
        <w:rPr>
          <w:rFonts w:cs="Arial"/>
          <w:szCs w:val="20"/>
          <w:lang w:eastAsia="en-AU"/>
        </w:rPr>
        <w:t>) and river cooba (</w:t>
      </w:r>
      <w:r w:rsidRPr="00335683">
        <w:rPr>
          <w:rFonts w:cs="Arial"/>
          <w:i/>
          <w:szCs w:val="20"/>
          <w:lang w:eastAsia="en-AU"/>
        </w:rPr>
        <w:t>Acacia stenophylla</w:t>
      </w:r>
      <w:r w:rsidRPr="00335683">
        <w:rPr>
          <w:rFonts w:cs="Arial"/>
          <w:szCs w:val="20"/>
          <w:lang w:eastAsia="en-AU"/>
        </w:rPr>
        <w:t xml:space="preserve">) influenced </w:t>
      </w:r>
      <w:r w:rsidR="00A77281">
        <w:rPr>
          <w:rFonts w:cs="Arial"/>
          <w:szCs w:val="20"/>
          <w:lang w:eastAsia="en-AU"/>
        </w:rPr>
        <w:t>the similarity</w:t>
      </w:r>
      <w:r w:rsidRPr="00335683">
        <w:rPr>
          <w:rFonts w:cs="Arial"/>
          <w:szCs w:val="20"/>
          <w:lang w:eastAsia="en-AU"/>
        </w:rPr>
        <w:t xml:space="preserve"> of wet sites in March 2015.</w:t>
      </w:r>
    </w:p>
    <w:p w:rsidR="00E809F1" w:rsidRPr="00CB4808" w:rsidRDefault="00E809F1" w:rsidP="00E809F1">
      <w:pPr>
        <w:spacing w:after="0" w:line="240" w:lineRule="auto"/>
        <w:rPr>
          <w:rFonts w:ascii="Calibri" w:hAnsi="Calibri"/>
          <w:sz w:val="22"/>
          <w:szCs w:val="22"/>
          <w:lang w:eastAsia="en-AU"/>
        </w:rPr>
      </w:pPr>
    </w:p>
    <w:p w:rsidR="00E809F1" w:rsidRDefault="004176FF" w:rsidP="00E809F1">
      <w:pPr>
        <w:keepNext/>
        <w:spacing w:line="240" w:lineRule="auto"/>
      </w:pPr>
      <w:r w:rsidRPr="008F5E11">
        <w:rPr>
          <w:noProof/>
          <w:lang w:eastAsia="en-AU"/>
        </w:rPr>
        <w:drawing>
          <wp:inline distT="0" distB="0" distL="0" distR="0">
            <wp:extent cx="5457825" cy="4114800"/>
            <wp:effectExtent l="0" t="0" r="0" b="0"/>
            <wp:docPr id="74" name="Chart 2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E809F1" w:rsidRPr="002B0EA3" w:rsidRDefault="00E809F1" w:rsidP="00E809F1">
      <w:pPr>
        <w:pStyle w:val="Caption"/>
        <w:rPr>
          <w:rFonts w:cs="Arial"/>
          <w:highlight w:val="yellow"/>
          <w:lang w:eastAsia="en-AU"/>
        </w:rPr>
      </w:pPr>
      <w:bookmarkStart w:id="104" w:name="_Ref453924926"/>
      <w:r>
        <w:t xml:space="preserve">Figure </w:t>
      </w:r>
      <w:fldSimple w:instr=" STYLEREF 6 \s ">
        <w:r w:rsidR="00673DAF">
          <w:rPr>
            <w:noProof/>
          </w:rPr>
          <w:t>G</w:t>
        </w:r>
      </w:fldSimple>
      <w:r w:rsidR="00673DAF">
        <w:noBreakHyphen/>
      </w:r>
      <w:fldSimple w:instr=" SEQ Figure \* ARABIC \s 6 ">
        <w:r w:rsidR="00673DAF">
          <w:rPr>
            <w:noProof/>
          </w:rPr>
          <w:t>9</w:t>
        </w:r>
      </w:fldSimple>
      <w:bookmarkEnd w:id="104"/>
      <w:r>
        <w:t xml:space="preserve"> </w:t>
      </w:r>
      <w:r w:rsidRPr="00051565">
        <w:t xml:space="preserve">nMDS plot of vegetation community composition data grouped by </w:t>
      </w:r>
      <w:r>
        <w:t>vegetation community and the presence of water (wet) or not (dry)</w:t>
      </w:r>
      <w:r w:rsidRPr="00051565">
        <w:t>.</w:t>
      </w:r>
    </w:p>
    <w:p w:rsidR="00E809F1" w:rsidRDefault="004176FF" w:rsidP="00E809F1">
      <w:pPr>
        <w:spacing w:after="160" w:line="259" w:lineRule="auto"/>
        <w:jc w:val="left"/>
        <w:rPr>
          <w:b/>
          <w:bCs/>
          <w:sz w:val="18"/>
          <w:szCs w:val="20"/>
          <w:highlight w:val="yellow"/>
        </w:rPr>
      </w:pPr>
      <w:r w:rsidRPr="008F5E11">
        <w:rPr>
          <w:noProof/>
          <w:lang w:eastAsia="en-AU"/>
        </w:rPr>
        <w:drawing>
          <wp:inline distT="0" distB="0" distL="0" distR="0">
            <wp:extent cx="4972050" cy="4086225"/>
            <wp:effectExtent l="0" t="0" r="0" b="0"/>
            <wp:docPr id="75" name="Chart 2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E809F1" w:rsidRDefault="00E809F1" w:rsidP="00E809F1">
      <w:pPr>
        <w:pStyle w:val="Caption"/>
        <w:jc w:val="left"/>
      </w:pPr>
      <w:bookmarkStart w:id="105" w:name="_Ref453930299"/>
      <w:r>
        <w:t xml:space="preserve">Figure </w:t>
      </w:r>
      <w:fldSimple w:instr=" STYLEREF 6 \s ">
        <w:r w:rsidR="00673DAF">
          <w:rPr>
            <w:noProof/>
          </w:rPr>
          <w:t>G</w:t>
        </w:r>
      </w:fldSimple>
      <w:r w:rsidR="00673DAF">
        <w:noBreakHyphen/>
      </w:r>
      <w:fldSimple w:instr=" SEQ Figure \* ARABIC \s 6 ">
        <w:r w:rsidR="00673DAF">
          <w:rPr>
            <w:noProof/>
          </w:rPr>
          <w:t>10</w:t>
        </w:r>
      </w:fldSimple>
      <w:bookmarkEnd w:id="105"/>
      <w:r>
        <w:t xml:space="preserve"> nMDS plot of </w:t>
      </w:r>
      <w:r w:rsidRPr="00051565">
        <w:t xml:space="preserve">vegetation community composition data grouped by </w:t>
      </w:r>
      <w:r>
        <w:t>sampling time and the presence of water (wet) or not (dry) when sampling</w:t>
      </w:r>
      <w:r w:rsidR="00A77281">
        <w:t>.</w:t>
      </w:r>
    </w:p>
    <w:p w:rsidR="00A77281" w:rsidRPr="00A77281" w:rsidRDefault="00A77281" w:rsidP="00A77281">
      <w:pPr>
        <w:rPr>
          <w:highlight w:val="yellow"/>
        </w:rPr>
      </w:pPr>
    </w:p>
    <w:p w:rsidR="00E809F1" w:rsidRDefault="00E809F1" w:rsidP="00E809F1">
      <w:pPr>
        <w:pStyle w:val="Caption"/>
        <w:keepNext/>
      </w:pPr>
      <w:bookmarkStart w:id="106" w:name="_Ref453930286"/>
      <w:r>
        <w:t xml:space="preserve">Table </w:t>
      </w:r>
      <w:fldSimple w:instr=" STYLEREF 6 \s ">
        <w:r w:rsidR="005D5925">
          <w:rPr>
            <w:noProof/>
          </w:rPr>
          <w:t>G</w:t>
        </w:r>
      </w:fldSimple>
      <w:r w:rsidR="005D4453">
        <w:noBreakHyphen/>
      </w:r>
      <w:fldSimple w:instr=" SEQ Table \* ARABIC \s 6 ">
        <w:r w:rsidR="005D5925">
          <w:rPr>
            <w:noProof/>
          </w:rPr>
          <w:t>2</w:t>
        </w:r>
      </w:fldSimple>
      <w:bookmarkEnd w:id="106"/>
      <w:r>
        <w:t xml:space="preserve"> </w:t>
      </w:r>
      <w:r w:rsidRPr="00235150">
        <w:t>Dominant species and variables contributing to vegetation community composition groupings based on survey time and the presence of water. ‘</w:t>
      </w:r>
      <w:proofErr w:type="gramStart"/>
      <w:r w:rsidRPr="00235150">
        <w:t>dry</w:t>
      </w:r>
      <w:proofErr w:type="gramEnd"/>
      <w:r w:rsidRPr="00235150">
        <w:t xml:space="preserve">’ means no water was </w:t>
      </w:r>
      <w:r w:rsidRPr="000D2A40">
        <w:t>present, ‘wet’ means water was present at the time of surveying</w:t>
      </w:r>
      <w:r>
        <w:t>. Note: no sites were inundated in March 2016.</w:t>
      </w:r>
    </w:p>
    <w:tbl>
      <w:tblPr>
        <w:tblW w:w="5000" w:type="pct"/>
        <w:tblBorders>
          <w:top w:val="single" w:sz="2" w:space="0" w:color="000000"/>
          <w:bottom w:val="single" w:sz="2" w:space="0" w:color="000000"/>
          <w:insideH w:val="single" w:sz="2" w:space="0" w:color="000000"/>
          <w:insideV w:val="single" w:sz="2" w:space="0" w:color="000000"/>
        </w:tblBorders>
        <w:tblLook w:val="04A0" w:firstRow="1" w:lastRow="0" w:firstColumn="1" w:lastColumn="0" w:noHBand="0" w:noVBand="1"/>
      </w:tblPr>
      <w:tblGrid>
        <w:gridCol w:w="2093"/>
        <w:gridCol w:w="3329"/>
        <w:gridCol w:w="1921"/>
        <w:gridCol w:w="1857"/>
      </w:tblGrid>
      <w:tr w:rsidR="00CC18AA" w:rsidRPr="00D705BC" w:rsidTr="00CC18AA">
        <w:trPr>
          <w:trHeight w:val="300"/>
          <w:tblHeader/>
        </w:trPr>
        <w:tc>
          <w:tcPr>
            <w:tcW w:w="1138" w:type="pct"/>
            <w:shd w:val="clear" w:color="auto" w:fill="D9D9D9"/>
            <w:noWrap/>
            <w:vAlign w:val="center"/>
            <w:hideMark/>
          </w:tcPr>
          <w:p w:rsidR="00E809F1" w:rsidRPr="00CC18AA" w:rsidRDefault="00E809F1" w:rsidP="00CC18AA">
            <w:pPr>
              <w:spacing w:before="60" w:after="60"/>
              <w:jc w:val="center"/>
              <w:rPr>
                <w:rFonts w:cs="Arial"/>
                <w:bCs/>
                <w:color w:val="000000"/>
                <w:szCs w:val="20"/>
                <w:lang w:eastAsia="en-AU"/>
              </w:rPr>
            </w:pPr>
            <w:r w:rsidRPr="00CC18AA">
              <w:rPr>
                <w:rFonts w:cs="Arial"/>
                <w:bCs/>
                <w:color w:val="000000"/>
                <w:szCs w:val="20"/>
                <w:lang w:eastAsia="en-AU"/>
              </w:rPr>
              <w:t>Data grouping</w:t>
            </w:r>
          </w:p>
        </w:tc>
        <w:tc>
          <w:tcPr>
            <w:tcW w:w="1809" w:type="pct"/>
            <w:shd w:val="clear" w:color="auto" w:fill="D9D9D9"/>
            <w:noWrap/>
            <w:vAlign w:val="center"/>
            <w:hideMark/>
          </w:tcPr>
          <w:p w:rsidR="00E809F1" w:rsidRPr="00CC18AA" w:rsidRDefault="00E809F1" w:rsidP="00CC18AA">
            <w:pPr>
              <w:spacing w:before="60" w:after="60"/>
              <w:jc w:val="center"/>
              <w:rPr>
                <w:rFonts w:cs="Arial"/>
                <w:bCs/>
                <w:color w:val="000000"/>
                <w:szCs w:val="20"/>
                <w:lang w:eastAsia="en-AU"/>
              </w:rPr>
            </w:pPr>
            <w:r w:rsidRPr="00CC18AA">
              <w:rPr>
                <w:rFonts w:cs="Arial"/>
                <w:bCs/>
                <w:color w:val="000000"/>
                <w:szCs w:val="20"/>
                <w:lang w:eastAsia="en-AU"/>
              </w:rPr>
              <w:t>Species Contributing to grouping</w:t>
            </w:r>
          </w:p>
        </w:tc>
        <w:tc>
          <w:tcPr>
            <w:tcW w:w="1044" w:type="pct"/>
            <w:shd w:val="clear" w:color="auto" w:fill="D9D9D9"/>
            <w:noWrap/>
            <w:vAlign w:val="center"/>
            <w:hideMark/>
          </w:tcPr>
          <w:p w:rsidR="00E809F1" w:rsidRPr="00CC18AA" w:rsidRDefault="00E809F1" w:rsidP="00CC18AA">
            <w:pPr>
              <w:spacing w:before="60" w:after="60"/>
              <w:jc w:val="center"/>
              <w:rPr>
                <w:rFonts w:cs="Arial"/>
                <w:bCs/>
                <w:color w:val="000000"/>
                <w:szCs w:val="20"/>
                <w:lang w:eastAsia="en-AU"/>
              </w:rPr>
            </w:pPr>
            <w:r w:rsidRPr="00CC18AA">
              <w:rPr>
                <w:rFonts w:cs="Arial"/>
                <w:bCs/>
                <w:color w:val="000000"/>
                <w:szCs w:val="20"/>
                <w:lang w:eastAsia="en-AU"/>
              </w:rPr>
              <w:t>Contribution (%)</w:t>
            </w:r>
          </w:p>
        </w:tc>
        <w:tc>
          <w:tcPr>
            <w:tcW w:w="1009" w:type="pct"/>
            <w:shd w:val="clear" w:color="auto" w:fill="D9D9D9"/>
            <w:noWrap/>
            <w:vAlign w:val="center"/>
            <w:hideMark/>
          </w:tcPr>
          <w:p w:rsidR="00E809F1" w:rsidRPr="00CC18AA" w:rsidRDefault="00E809F1" w:rsidP="00CC18AA">
            <w:pPr>
              <w:spacing w:before="60" w:after="60"/>
              <w:jc w:val="center"/>
              <w:rPr>
                <w:rFonts w:cs="Arial"/>
                <w:bCs/>
                <w:color w:val="000000"/>
                <w:szCs w:val="20"/>
                <w:lang w:eastAsia="en-AU"/>
              </w:rPr>
            </w:pPr>
            <w:r w:rsidRPr="00CC18AA">
              <w:rPr>
                <w:rFonts w:cs="Arial"/>
                <w:bCs/>
                <w:color w:val="000000"/>
                <w:szCs w:val="20"/>
                <w:lang w:eastAsia="en-AU"/>
              </w:rPr>
              <w:t>Cumulative (%)</w:t>
            </w:r>
          </w:p>
        </w:tc>
      </w:tr>
      <w:tr w:rsidR="00CC18AA" w:rsidRPr="00D705BC" w:rsidTr="00CC18AA">
        <w:trPr>
          <w:trHeight w:val="300"/>
        </w:trPr>
        <w:tc>
          <w:tcPr>
            <w:tcW w:w="1138" w:type="pct"/>
            <w:vMerge w:val="restart"/>
            <w:shd w:val="clear" w:color="auto" w:fill="auto"/>
            <w:noWrap/>
            <w:vAlign w:val="center"/>
            <w:hideMark/>
          </w:tcPr>
          <w:p w:rsidR="00E809F1" w:rsidRPr="00CC18AA" w:rsidRDefault="00E809F1" w:rsidP="00CC18AA">
            <w:pPr>
              <w:spacing w:before="60" w:after="60"/>
              <w:jc w:val="center"/>
              <w:rPr>
                <w:rFonts w:cs="Arial"/>
                <w:color w:val="000000"/>
                <w:szCs w:val="20"/>
                <w:lang w:eastAsia="en-AU"/>
              </w:rPr>
            </w:pPr>
            <w:r w:rsidRPr="00CC18AA">
              <w:rPr>
                <w:rFonts w:cs="Arial"/>
                <w:color w:val="000000"/>
                <w:szCs w:val="20"/>
                <w:lang w:eastAsia="en-AU"/>
              </w:rPr>
              <w:t>October 2015 x Dry</w:t>
            </w:r>
          </w:p>
        </w:tc>
        <w:tc>
          <w:tcPr>
            <w:tcW w:w="1809" w:type="pct"/>
            <w:shd w:val="clear" w:color="auto" w:fill="auto"/>
            <w:noWrap/>
            <w:vAlign w:val="center"/>
            <w:hideMark/>
          </w:tcPr>
          <w:p w:rsidR="00E809F1" w:rsidRPr="00CC18AA" w:rsidRDefault="00E809F1" w:rsidP="00CC18AA">
            <w:pPr>
              <w:spacing w:before="60" w:after="60"/>
              <w:jc w:val="left"/>
              <w:rPr>
                <w:rFonts w:cs="Arial"/>
                <w:szCs w:val="20"/>
                <w:lang w:eastAsia="en-AU"/>
              </w:rPr>
            </w:pPr>
            <w:r w:rsidRPr="00CC18AA">
              <w:rPr>
                <w:rFonts w:cs="Arial"/>
                <w:szCs w:val="20"/>
                <w:lang w:eastAsia="en-AU"/>
              </w:rPr>
              <w:t>water couch</w:t>
            </w:r>
          </w:p>
        </w:tc>
        <w:tc>
          <w:tcPr>
            <w:tcW w:w="1044" w:type="pct"/>
            <w:shd w:val="clear" w:color="auto" w:fill="auto"/>
            <w:noWrap/>
            <w:vAlign w:val="center"/>
            <w:hideMark/>
          </w:tcPr>
          <w:p w:rsidR="00E809F1" w:rsidRPr="00CC18AA" w:rsidRDefault="00E809F1" w:rsidP="00CC18AA">
            <w:pPr>
              <w:spacing w:before="60" w:after="60"/>
              <w:jc w:val="center"/>
              <w:rPr>
                <w:rFonts w:cs="Arial"/>
                <w:color w:val="000000"/>
                <w:szCs w:val="20"/>
                <w:lang w:eastAsia="en-AU"/>
              </w:rPr>
            </w:pPr>
            <w:r w:rsidRPr="00CC18AA">
              <w:rPr>
                <w:rFonts w:cs="Arial"/>
                <w:color w:val="000000"/>
                <w:szCs w:val="20"/>
                <w:lang w:eastAsia="en-AU"/>
              </w:rPr>
              <w:t>14.80</w:t>
            </w:r>
          </w:p>
        </w:tc>
        <w:tc>
          <w:tcPr>
            <w:tcW w:w="1009" w:type="pct"/>
            <w:shd w:val="clear" w:color="auto" w:fill="auto"/>
            <w:noWrap/>
            <w:vAlign w:val="center"/>
            <w:hideMark/>
          </w:tcPr>
          <w:p w:rsidR="00E809F1" w:rsidRPr="00CC18AA" w:rsidRDefault="00E809F1" w:rsidP="00CC18AA">
            <w:pPr>
              <w:spacing w:before="60" w:after="60"/>
              <w:jc w:val="center"/>
              <w:rPr>
                <w:rFonts w:cs="Arial"/>
                <w:color w:val="000000"/>
                <w:szCs w:val="20"/>
                <w:lang w:eastAsia="en-AU"/>
              </w:rPr>
            </w:pPr>
            <w:r w:rsidRPr="00CC18AA">
              <w:rPr>
                <w:rFonts w:cs="Arial"/>
                <w:color w:val="000000"/>
                <w:szCs w:val="20"/>
                <w:lang w:eastAsia="en-AU"/>
              </w:rPr>
              <w:t>14.8</w:t>
            </w:r>
          </w:p>
        </w:tc>
      </w:tr>
      <w:tr w:rsidR="00CC18AA" w:rsidRPr="00D705BC" w:rsidTr="00CC18AA">
        <w:trPr>
          <w:trHeight w:val="300"/>
        </w:trPr>
        <w:tc>
          <w:tcPr>
            <w:tcW w:w="1138" w:type="pct"/>
            <w:vMerge/>
            <w:shd w:val="clear" w:color="auto" w:fill="auto"/>
            <w:noWrap/>
            <w:vAlign w:val="center"/>
            <w:hideMark/>
          </w:tcPr>
          <w:p w:rsidR="00E809F1" w:rsidRPr="00CC18AA" w:rsidRDefault="00E809F1" w:rsidP="00CC18AA">
            <w:pPr>
              <w:spacing w:before="60" w:after="60"/>
              <w:jc w:val="left"/>
              <w:rPr>
                <w:rFonts w:cs="Arial"/>
                <w:color w:val="000000"/>
                <w:szCs w:val="20"/>
                <w:lang w:eastAsia="en-AU"/>
              </w:rPr>
            </w:pPr>
          </w:p>
        </w:tc>
        <w:tc>
          <w:tcPr>
            <w:tcW w:w="1809" w:type="pct"/>
            <w:shd w:val="clear" w:color="auto" w:fill="auto"/>
            <w:noWrap/>
            <w:vAlign w:val="center"/>
            <w:hideMark/>
          </w:tcPr>
          <w:p w:rsidR="00E809F1" w:rsidRPr="00CC18AA" w:rsidRDefault="00E809F1" w:rsidP="00CC18AA">
            <w:pPr>
              <w:spacing w:before="60" w:after="60"/>
              <w:jc w:val="left"/>
              <w:rPr>
                <w:rFonts w:cs="Arial"/>
                <w:szCs w:val="20"/>
                <w:lang w:eastAsia="en-AU"/>
              </w:rPr>
            </w:pPr>
            <w:r w:rsidRPr="00CC18AA">
              <w:rPr>
                <w:rFonts w:cs="Arial"/>
                <w:szCs w:val="20"/>
                <w:lang w:eastAsia="en-AU"/>
              </w:rPr>
              <w:t>flat spike-sedge</w:t>
            </w:r>
          </w:p>
        </w:tc>
        <w:tc>
          <w:tcPr>
            <w:tcW w:w="1044" w:type="pct"/>
            <w:shd w:val="clear" w:color="auto" w:fill="auto"/>
            <w:noWrap/>
            <w:vAlign w:val="center"/>
            <w:hideMark/>
          </w:tcPr>
          <w:p w:rsidR="00E809F1" w:rsidRPr="00CC18AA" w:rsidRDefault="00E809F1" w:rsidP="00CC18AA">
            <w:pPr>
              <w:spacing w:before="60" w:after="60"/>
              <w:jc w:val="center"/>
              <w:rPr>
                <w:rFonts w:cs="Arial"/>
                <w:color w:val="000000"/>
                <w:szCs w:val="20"/>
                <w:lang w:eastAsia="en-AU"/>
              </w:rPr>
            </w:pPr>
            <w:r w:rsidRPr="00CC18AA">
              <w:rPr>
                <w:rFonts w:cs="Arial"/>
                <w:color w:val="000000"/>
                <w:szCs w:val="20"/>
                <w:lang w:eastAsia="en-AU"/>
              </w:rPr>
              <w:t>12.01</w:t>
            </w:r>
          </w:p>
        </w:tc>
        <w:tc>
          <w:tcPr>
            <w:tcW w:w="1009" w:type="pct"/>
            <w:shd w:val="clear" w:color="auto" w:fill="auto"/>
            <w:noWrap/>
            <w:vAlign w:val="center"/>
            <w:hideMark/>
          </w:tcPr>
          <w:p w:rsidR="00E809F1" w:rsidRPr="00CC18AA" w:rsidRDefault="00E809F1" w:rsidP="00CC18AA">
            <w:pPr>
              <w:spacing w:before="60" w:after="60"/>
              <w:jc w:val="center"/>
              <w:rPr>
                <w:rFonts w:cs="Arial"/>
                <w:color w:val="000000"/>
                <w:szCs w:val="20"/>
                <w:lang w:eastAsia="en-AU"/>
              </w:rPr>
            </w:pPr>
            <w:r w:rsidRPr="00CC18AA">
              <w:rPr>
                <w:rFonts w:cs="Arial"/>
                <w:color w:val="000000"/>
                <w:szCs w:val="20"/>
                <w:lang w:eastAsia="en-AU"/>
              </w:rPr>
              <w:t>26.81</w:t>
            </w:r>
          </w:p>
        </w:tc>
      </w:tr>
      <w:tr w:rsidR="00CC18AA" w:rsidRPr="00D705BC" w:rsidTr="00CC18AA">
        <w:trPr>
          <w:trHeight w:val="300"/>
        </w:trPr>
        <w:tc>
          <w:tcPr>
            <w:tcW w:w="1138" w:type="pct"/>
            <w:vMerge/>
            <w:shd w:val="clear" w:color="auto" w:fill="auto"/>
            <w:noWrap/>
            <w:vAlign w:val="center"/>
            <w:hideMark/>
          </w:tcPr>
          <w:p w:rsidR="00E809F1" w:rsidRPr="00CC18AA" w:rsidRDefault="00E809F1" w:rsidP="00CC18AA">
            <w:pPr>
              <w:spacing w:before="60" w:after="60"/>
              <w:jc w:val="left"/>
              <w:rPr>
                <w:rFonts w:cs="Arial"/>
                <w:color w:val="000000"/>
                <w:szCs w:val="20"/>
                <w:lang w:eastAsia="en-AU"/>
              </w:rPr>
            </w:pPr>
          </w:p>
        </w:tc>
        <w:tc>
          <w:tcPr>
            <w:tcW w:w="1809" w:type="pct"/>
            <w:shd w:val="clear" w:color="auto" w:fill="auto"/>
            <w:noWrap/>
            <w:vAlign w:val="center"/>
            <w:hideMark/>
          </w:tcPr>
          <w:p w:rsidR="00E809F1" w:rsidRPr="00CC18AA" w:rsidRDefault="00E809F1" w:rsidP="00CC18AA">
            <w:pPr>
              <w:spacing w:before="60" w:after="60"/>
              <w:jc w:val="left"/>
              <w:rPr>
                <w:rFonts w:cs="Arial"/>
                <w:szCs w:val="20"/>
                <w:lang w:eastAsia="en-AU"/>
              </w:rPr>
            </w:pPr>
            <w:r w:rsidRPr="00CC18AA">
              <w:rPr>
                <w:rFonts w:cs="Arial"/>
                <w:szCs w:val="20"/>
                <w:lang w:eastAsia="en-AU"/>
              </w:rPr>
              <w:t>swamp buttercup</w:t>
            </w:r>
          </w:p>
        </w:tc>
        <w:tc>
          <w:tcPr>
            <w:tcW w:w="1044" w:type="pct"/>
            <w:shd w:val="clear" w:color="auto" w:fill="auto"/>
            <w:noWrap/>
            <w:vAlign w:val="center"/>
            <w:hideMark/>
          </w:tcPr>
          <w:p w:rsidR="00E809F1" w:rsidRPr="00CC18AA" w:rsidRDefault="00E809F1" w:rsidP="00CC18AA">
            <w:pPr>
              <w:spacing w:before="60" w:after="60"/>
              <w:jc w:val="center"/>
              <w:rPr>
                <w:rFonts w:cs="Arial"/>
                <w:color w:val="000000"/>
                <w:szCs w:val="20"/>
                <w:lang w:eastAsia="en-AU"/>
              </w:rPr>
            </w:pPr>
            <w:r w:rsidRPr="00CC18AA">
              <w:rPr>
                <w:rFonts w:cs="Arial"/>
                <w:color w:val="000000"/>
                <w:szCs w:val="20"/>
                <w:lang w:eastAsia="en-AU"/>
              </w:rPr>
              <w:t>8.49</w:t>
            </w:r>
          </w:p>
        </w:tc>
        <w:tc>
          <w:tcPr>
            <w:tcW w:w="1009" w:type="pct"/>
            <w:shd w:val="clear" w:color="auto" w:fill="auto"/>
            <w:noWrap/>
            <w:vAlign w:val="center"/>
            <w:hideMark/>
          </w:tcPr>
          <w:p w:rsidR="00E809F1" w:rsidRPr="00CC18AA" w:rsidRDefault="00E809F1" w:rsidP="00CC18AA">
            <w:pPr>
              <w:spacing w:before="60" w:after="60"/>
              <w:jc w:val="center"/>
              <w:rPr>
                <w:rFonts w:cs="Arial"/>
                <w:color w:val="000000"/>
                <w:szCs w:val="20"/>
                <w:lang w:eastAsia="en-AU"/>
              </w:rPr>
            </w:pPr>
            <w:r w:rsidRPr="00CC18AA">
              <w:rPr>
                <w:rFonts w:cs="Arial"/>
                <w:color w:val="000000"/>
                <w:szCs w:val="20"/>
                <w:lang w:eastAsia="en-AU"/>
              </w:rPr>
              <w:t>35.30</w:t>
            </w:r>
          </w:p>
        </w:tc>
      </w:tr>
      <w:tr w:rsidR="00CC18AA" w:rsidRPr="00D705BC" w:rsidTr="00CC18AA">
        <w:trPr>
          <w:trHeight w:val="300"/>
        </w:trPr>
        <w:tc>
          <w:tcPr>
            <w:tcW w:w="1138" w:type="pct"/>
            <w:vMerge/>
            <w:shd w:val="clear" w:color="auto" w:fill="auto"/>
            <w:noWrap/>
            <w:vAlign w:val="center"/>
            <w:hideMark/>
          </w:tcPr>
          <w:p w:rsidR="00E809F1" w:rsidRPr="00CC18AA" w:rsidRDefault="00E809F1" w:rsidP="00CC18AA">
            <w:pPr>
              <w:spacing w:before="60" w:after="60"/>
              <w:jc w:val="left"/>
              <w:rPr>
                <w:rFonts w:cs="Arial"/>
                <w:color w:val="000000"/>
                <w:szCs w:val="20"/>
                <w:lang w:eastAsia="en-AU"/>
              </w:rPr>
            </w:pPr>
          </w:p>
        </w:tc>
        <w:tc>
          <w:tcPr>
            <w:tcW w:w="1809" w:type="pct"/>
            <w:shd w:val="clear" w:color="auto" w:fill="auto"/>
            <w:noWrap/>
            <w:vAlign w:val="center"/>
            <w:hideMark/>
          </w:tcPr>
          <w:p w:rsidR="00E809F1" w:rsidRPr="00CC18AA" w:rsidRDefault="00E809F1" w:rsidP="00CC18AA">
            <w:pPr>
              <w:spacing w:before="60" w:after="60"/>
              <w:jc w:val="left"/>
              <w:rPr>
                <w:rFonts w:cs="Arial"/>
                <w:szCs w:val="20"/>
                <w:lang w:eastAsia="en-AU"/>
              </w:rPr>
            </w:pPr>
            <w:r w:rsidRPr="00CC18AA">
              <w:rPr>
                <w:rFonts w:cs="Arial"/>
                <w:szCs w:val="20"/>
                <w:lang w:eastAsia="en-AU"/>
              </w:rPr>
              <w:t>lippia</w:t>
            </w:r>
          </w:p>
        </w:tc>
        <w:tc>
          <w:tcPr>
            <w:tcW w:w="1044" w:type="pct"/>
            <w:shd w:val="clear" w:color="auto" w:fill="auto"/>
            <w:noWrap/>
            <w:vAlign w:val="center"/>
            <w:hideMark/>
          </w:tcPr>
          <w:p w:rsidR="00E809F1" w:rsidRPr="00CC18AA" w:rsidRDefault="00E809F1" w:rsidP="00CC18AA">
            <w:pPr>
              <w:spacing w:before="60" w:after="60"/>
              <w:jc w:val="center"/>
              <w:rPr>
                <w:rFonts w:cs="Arial"/>
                <w:color w:val="000000"/>
                <w:szCs w:val="20"/>
                <w:lang w:eastAsia="en-AU"/>
              </w:rPr>
            </w:pPr>
            <w:r w:rsidRPr="00CC18AA">
              <w:rPr>
                <w:rFonts w:cs="Arial"/>
                <w:color w:val="000000"/>
                <w:szCs w:val="20"/>
                <w:lang w:eastAsia="en-AU"/>
              </w:rPr>
              <w:t>8.19</w:t>
            </w:r>
          </w:p>
        </w:tc>
        <w:tc>
          <w:tcPr>
            <w:tcW w:w="1009" w:type="pct"/>
            <w:shd w:val="clear" w:color="auto" w:fill="auto"/>
            <w:noWrap/>
            <w:vAlign w:val="center"/>
            <w:hideMark/>
          </w:tcPr>
          <w:p w:rsidR="00E809F1" w:rsidRPr="00CC18AA" w:rsidRDefault="00E809F1" w:rsidP="00CC18AA">
            <w:pPr>
              <w:spacing w:before="60" w:after="60"/>
              <w:jc w:val="center"/>
              <w:rPr>
                <w:rFonts w:cs="Arial"/>
                <w:color w:val="000000"/>
                <w:szCs w:val="20"/>
                <w:lang w:eastAsia="en-AU"/>
              </w:rPr>
            </w:pPr>
            <w:r w:rsidRPr="00CC18AA">
              <w:rPr>
                <w:rFonts w:cs="Arial"/>
                <w:color w:val="000000"/>
                <w:szCs w:val="20"/>
                <w:lang w:eastAsia="en-AU"/>
              </w:rPr>
              <w:t>43.49</w:t>
            </w:r>
          </w:p>
        </w:tc>
      </w:tr>
      <w:tr w:rsidR="00CC18AA" w:rsidRPr="00D705BC" w:rsidTr="00CC18AA">
        <w:trPr>
          <w:trHeight w:val="300"/>
        </w:trPr>
        <w:tc>
          <w:tcPr>
            <w:tcW w:w="1138" w:type="pct"/>
            <w:vMerge w:val="restart"/>
            <w:shd w:val="clear" w:color="auto" w:fill="auto"/>
            <w:noWrap/>
            <w:vAlign w:val="center"/>
            <w:hideMark/>
          </w:tcPr>
          <w:p w:rsidR="00E809F1" w:rsidRPr="00CC18AA" w:rsidRDefault="00E809F1" w:rsidP="00CC18AA">
            <w:pPr>
              <w:spacing w:before="60" w:after="60"/>
              <w:jc w:val="center"/>
              <w:rPr>
                <w:rFonts w:cs="Arial"/>
                <w:color w:val="000000"/>
                <w:szCs w:val="20"/>
                <w:lang w:eastAsia="en-AU"/>
              </w:rPr>
            </w:pPr>
            <w:r w:rsidRPr="00CC18AA">
              <w:rPr>
                <w:rFonts w:cs="Arial"/>
                <w:color w:val="000000"/>
                <w:szCs w:val="20"/>
                <w:lang w:eastAsia="en-AU"/>
              </w:rPr>
              <w:t>October 2015 x Wet</w:t>
            </w:r>
          </w:p>
        </w:tc>
        <w:tc>
          <w:tcPr>
            <w:tcW w:w="1809" w:type="pct"/>
            <w:shd w:val="clear" w:color="auto" w:fill="auto"/>
            <w:noWrap/>
            <w:vAlign w:val="center"/>
            <w:hideMark/>
          </w:tcPr>
          <w:p w:rsidR="00E809F1" w:rsidRPr="00CC18AA" w:rsidRDefault="00E809F1" w:rsidP="00CC18AA">
            <w:pPr>
              <w:spacing w:before="60" w:after="60"/>
              <w:jc w:val="left"/>
              <w:rPr>
                <w:rFonts w:cs="Arial"/>
                <w:szCs w:val="20"/>
                <w:lang w:eastAsia="en-AU"/>
              </w:rPr>
            </w:pPr>
            <w:r w:rsidRPr="00CC18AA">
              <w:rPr>
                <w:rFonts w:cs="Arial"/>
                <w:szCs w:val="20"/>
                <w:lang w:eastAsia="en-AU"/>
              </w:rPr>
              <w:t>water couch</w:t>
            </w:r>
          </w:p>
        </w:tc>
        <w:tc>
          <w:tcPr>
            <w:tcW w:w="1044" w:type="pct"/>
            <w:shd w:val="clear" w:color="auto" w:fill="auto"/>
            <w:noWrap/>
            <w:vAlign w:val="center"/>
            <w:hideMark/>
          </w:tcPr>
          <w:p w:rsidR="00E809F1" w:rsidRPr="00CC18AA" w:rsidRDefault="00E809F1" w:rsidP="00CC18AA">
            <w:pPr>
              <w:spacing w:before="60" w:after="60"/>
              <w:jc w:val="center"/>
              <w:rPr>
                <w:rFonts w:cs="Arial"/>
                <w:color w:val="000000"/>
                <w:szCs w:val="20"/>
                <w:lang w:eastAsia="en-AU"/>
              </w:rPr>
            </w:pPr>
            <w:r w:rsidRPr="00CC18AA">
              <w:rPr>
                <w:rFonts w:cs="Arial"/>
                <w:color w:val="000000"/>
                <w:szCs w:val="20"/>
                <w:lang w:eastAsia="en-AU"/>
              </w:rPr>
              <w:t>19.33</w:t>
            </w:r>
          </w:p>
        </w:tc>
        <w:tc>
          <w:tcPr>
            <w:tcW w:w="1009" w:type="pct"/>
            <w:shd w:val="clear" w:color="auto" w:fill="auto"/>
            <w:noWrap/>
            <w:vAlign w:val="center"/>
            <w:hideMark/>
          </w:tcPr>
          <w:p w:rsidR="00E809F1" w:rsidRPr="00CC18AA" w:rsidRDefault="00E809F1" w:rsidP="00CC18AA">
            <w:pPr>
              <w:spacing w:before="60" w:after="60"/>
              <w:jc w:val="center"/>
              <w:rPr>
                <w:rFonts w:cs="Arial"/>
                <w:color w:val="000000"/>
                <w:szCs w:val="20"/>
                <w:lang w:eastAsia="en-AU"/>
              </w:rPr>
            </w:pPr>
            <w:r w:rsidRPr="00CC18AA">
              <w:rPr>
                <w:rFonts w:cs="Arial"/>
                <w:color w:val="000000"/>
                <w:szCs w:val="20"/>
                <w:lang w:eastAsia="en-AU"/>
              </w:rPr>
              <w:t>19.33</w:t>
            </w:r>
          </w:p>
        </w:tc>
      </w:tr>
      <w:tr w:rsidR="00CC18AA" w:rsidRPr="00D705BC" w:rsidTr="00CC18AA">
        <w:trPr>
          <w:trHeight w:val="300"/>
        </w:trPr>
        <w:tc>
          <w:tcPr>
            <w:tcW w:w="1138" w:type="pct"/>
            <w:vMerge/>
            <w:shd w:val="clear" w:color="auto" w:fill="auto"/>
            <w:noWrap/>
            <w:vAlign w:val="center"/>
            <w:hideMark/>
          </w:tcPr>
          <w:p w:rsidR="00E809F1" w:rsidRPr="00CC18AA" w:rsidRDefault="00E809F1" w:rsidP="00CC18AA">
            <w:pPr>
              <w:spacing w:before="60" w:after="60"/>
              <w:jc w:val="left"/>
              <w:rPr>
                <w:rFonts w:cs="Arial"/>
                <w:color w:val="000000"/>
                <w:szCs w:val="20"/>
                <w:lang w:eastAsia="en-AU"/>
              </w:rPr>
            </w:pPr>
          </w:p>
        </w:tc>
        <w:tc>
          <w:tcPr>
            <w:tcW w:w="1809" w:type="pct"/>
            <w:shd w:val="clear" w:color="auto" w:fill="auto"/>
            <w:noWrap/>
            <w:vAlign w:val="center"/>
            <w:hideMark/>
          </w:tcPr>
          <w:p w:rsidR="00E809F1" w:rsidRPr="00CC18AA" w:rsidRDefault="00E809F1" w:rsidP="00CC18AA">
            <w:pPr>
              <w:spacing w:before="60" w:after="60"/>
              <w:jc w:val="left"/>
              <w:rPr>
                <w:rFonts w:cs="Arial"/>
                <w:szCs w:val="20"/>
                <w:lang w:eastAsia="en-AU"/>
              </w:rPr>
            </w:pPr>
            <w:r w:rsidRPr="00CC18AA">
              <w:rPr>
                <w:rFonts w:cs="Arial"/>
                <w:szCs w:val="20"/>
                <w:lang w:eastAsia="en-AU"/>
              </w:rPr>
              <w:t>tussock rush</w:t>
            </w:r>
          </w:p>
        </w:tc>
        <w:tc>
          <w:tcPr>
            <w:tcW w:w="1044" w:type="pct"/>
            <w:shd w:val="clear" w:color="auto" w:fill="auto"/>
            <w:noWrap/>
            <w:vAlign w:val="center"/>
            <w:hideMark/>
          </w:tcPr>
          <w:p w:rsidR="00E809F1" w:rsidRPr="00CC18AA" w:rsidRDefault="00E809F1" w:rsidP="00CC18AA">
            <w:pPr>
              <w:spacing w:before="60" w:after="60"/>
              <w:jc w:val="center"/>
              <w:rPr>
                <w:rFonts w:cs="Arial"/>
                <w:color w:val="000000"/>
                <w:szCs w:val="20"/>
                <w:lang w:eastAsia="en-AU"/>
              </w:rPr>
            </w:pPr>
            <w:r w:rsidRPr="00CC18AA">
              <w:rPr>
                <w:rFonts w:cs="Arial"/>
                <w:color w:val="000000"/>
                <w:szCs w:val="20"/>
                <w:lang w:eastAsia="en-AU"/>
              </w:rPr>
              <w:t>14.77</w:t>
            </w:r>
          </w:p>
        </w:tc>
        <w:tc>
          <w:tcPr>
            <w:tcW w:w="1009" w:type="pct"/>
            <w:shd w:val="clear" w:color="auto" w:fill="auto"/>
            <w:noWrap/>
            <w:vAlign w:val="center"/>
            <w:hideMark/>
          </w:tcPr>
          <w:p w:rsidR="00E809F1" w:rsidRPr="00CC18AA" w:rsidRDefault="00E809F1" w:rsidP="00CC18AA">
            <w:pPr>
              <w:spacing w:before="60" w:after="60"/>
              <w:jc w:val="center"/>
              <w:rPr>
                <w:rFonts w:cs="Arial"/>
                <w:color w:val="000000"/>
                <w:szCs w:val="20"/>
                <w:lang w:eastAsia="en-AU"/>
              </w:rPr>
            </w:pPr>
            <w:r w:rsidRPr="00CC18AA">
              <w:rPr>
                <w:rFonts w:cs="Arial"/>
                <w:color w:val="000000"/>
                <w:szCs w:val="20"/>
                <w:lang w:eastAsia="en-AU"/>
              </w:rPr>
              <w:t>34.10</w:t>
            </w:r>
          </w:p>
        </w:tc>
      </w:tr>
      <w:tr w:rsidR="00CC18AA" w:rsidRPr="00D705BC" w:rsidTr="00CC18AA">
        <w:trPr>
          <w:trHeight w:val="300"/>
        </w:trPr>
        <w:tc>
          <w:tcPr>
            <w:tcW w:w="1138" w:type="pct"/>
            <w:vMerge/>
            <w:shd w:val="clear" w:color="auto" w:fill="auto"/>
            <w:noWrap/>
            <w:vAlign w:val="center"/>
            <w:hideMark/>
          </w:tcPr>
          <w:p w:rsidR="00E809F1" w:rsidRPr="00CC18AA" w:rsidRDefault="00E809F1" w:rsidP="00CC18AA">
            <w:pPr>
              <w:spacing w:before="60" w:after="60"/>
              <w:jc w:val="left"/>
              <w:rPr>
                <w:rFonts w:cs="Arial"/>
                <w:color w:val="000000"/>
                <w:szCs w:val="20"/>
                <w:lang w:eastAsia="en-AU"/>
              </w:rPr>
            </w:pPr>
          </w:p>
        </w:tc>
        <w:tc>
          <w:tcPr>
            <w:tcW w:w="1809" w:type="pct"/>
            <w:shd w:val="clear" w:color="auto" w:fill="auto"/>
            <w:noWrap/>
            <w:vAlign w:val="center"/>
            <w:hideMark/>
          </w:tcPr>
          <w:p w:rsidR="00E809F1" w:rsidRPr="00CC18AA" w:rsidRDefault="00E809F1" w:rsidP="00CC18AA">
            <w:pPr>
              <w:spacing w:before="60" w:after="60"/>
              <w:jc w:val="left"/>
              <w:rPr>
                <w:rFonts w:cs="Arial"/>
                <w:szCs w:val="20"/>
                <w:lang w:eastAsia="en-AU"/>
              </w:rPr>
            </w:pPr>
            <w:r w:rsidRPr="00CC18AA">
              <w:rPr>
                <w:rFonts w:cs="Arial"/>
                <w:szCs w:val="20"/>
                <w:lang w:eastAsia="en-AU"/>
              </w:rPr>
              <w:t>flat spike-sedge</w:t>
            </w:r>
          </w:p>
        </w:tc>
        <w:tc>
          <w:tcPr>
            <w:tcW w:w="1044" w:type="pct"/>
            <w:shd w:val="clear" w:color="auto" w:fill="auto"/>
            <w:noWrap/>
            <w:vAlign w:val="center"/>
            <w:hideMark/>
          </w:tcPr>
          <w:p w:rsidR="00E809F1" w:rsidRPr="00CC18AA" w:rsidRDefault="00E809F1" w:rsidP="00CC18AA">
            <w:pPr>
              <w:spacing w:before="60" w:after="60"/>
              <w:jc w:val="center"/>
              <w:rPr>
                <w:rFonts w:cs="Arial"/>
                <w:color w:val="000000"/>
                <w:szCs w:val="20"/>
                <w:lang w:eastAsia="en-AU"/>
              </w:rPr>
            </w:pPr>
            <w:r w:rsidRPr="00CC18AA">
              <w:rPr>
                <w:rFonts w:cs="Arial"/>
                <w:color w:val="000000"/>
                <w:szCs w:val="20"/>
                <w:lang w:eastAsia="en-AU"/>
              </w:rPr>
              <w:t>12.95</w:t>
            </w:r>
          </w:p>
        </w:tc>
        <w:tc>
          <w:tcPr>
            <w:tcW w:w="1009" w:type="pct"/>
            <w:shd w:val="clear" w:color="auto" w:fill="auto"/>
            <w:noWrap/>
            <w:vAlign w:val="center"/>
            <w:hideMark/>
          </w:tcPr>
          <w:p w:rsidR="00E809F1" w:rsidRPr="00CC18AA" w:rsidRDefault="00E809F1" w:rsidP="00CC18AA">
            <w:pPr>
              <w:spacing w:before="60" w:after="60"/>
              <w:jc w:val="center"/>
              <w:rPr>
                <w:rFonts w:cs="Arial"/>
                <w:color w:val="000000"/>
                <w:szCs w:val="20"/>
                <w:lang w:eastAsia="en-AU"/>
              </w:rPr>
            </w:pPr>
            <w:r w:rsidRPr="00CC18AA">
              <w:rPr>
                <w:rFonts w:cs="Arial"/>
                <w:color w:val="000000"/>
                <w:szCs w:val="20"/>
                <w:lang w:eastAsia="en-AU"/>
              </w:rPr>
              <w:t>47.06</w:t>
            </w:r>
          </w:p>
        </w:tc>
      </w:tr>
      <w:tr w:rsidR="00CC18AA" w:rsidRPr="00D705BC" w:rsidTr="00CC18AA">
        <w:trPr>
          <w:trHeight w:val="300"/>
        </w:trPr>
        <w:tc>
          <w:tcPr>
            <w:tcW w:w="1138" w:type="pct"/>
            <w:vMerge/>
            <w:shd w:val="clear" w:color="auto" w:fill="auto"/>
            <w:noWrap/>
            <w:vAlign w:val="center"/>
            <w:hideMark/>
          </w:tcPr>
          <w:p w:rsidR="00E809F1" w:rsidRPr="00CC18AA" w:rsidRDefault="00E809F1" w:rsidP="00CC18AA">
            <w:pPr>
              <w:spacing w:before="60" w:after="60"/>
              <w:jc w:val="left"/>
              <w:rPr>
                <w:rFonts w:cs="Arial"/>
                <w:color w:val="000000"/>
                <w:szCs w:val="20"/>
                <w:lang w:eastAsia="en-AU"/>
              </w:rPr>
            </w:pPr>
          </w:p>
        </w:tc>
        <w:tc>
          <w:tcPr>
            <w:tcW w:w="1809" w:type="pct"/>
            <w:shd w:val="clear" w:color="auto" w:fill="auto"/>
            <w:noWrap/>
            <w:vAlign w:val="center"/>
            <w:hideMark/>
          </w:tcPr>
          <w:p w:rsidR="00E809F1" w:rsidRPr="00CC18AA" w:rsidRDefault="00E809F1" w:rsidP="00CC18AA">
            <w:pPr>
              <w:spacing w:before="60" w:after="60"/>
              <w:jc w:val="left"/>
              <w:rPr>
                <w:rFonts w:cs="Arial"/>
                <w:szCs w:val="20"/>
                <w:lang w:eastAsia="en-AU"/>
              </w:rPr>
            </w:pPr>
            <w:r w:rsidRPr="00CC18AA">
              <w:rPr>
                <w:rFonts w:cs="Arial"/>
                <w:szCs w:val="20"/>
                <w:lang w:eastAsia="en-AU"/>
              </w:rPr>
              <w:t>Pacific azolla</w:t>
            </w:r>
          </w:p>
        </w:tc>
        <w:tc>
          <w:tcPr>
            <w:tcW w:w="1044" w:type="pct"/>
            <w:shd w:val="clear" w:color="auto" w:fill="auto"/>
            <w:noWrap/>
            <w:vAlign w:val="center"/>
            <w:hideMark/>
          </w:tcPr>
          <w:p w:rsidR="00E809F1" w:rsidRPr="00CC18AA" w:rsidRDefault="00E809F1" w:rsidP="00CC18AA">
            <w:pPr>
              <w:spacing w:before="60" w:after="60"/>
              <w:jc w:val="center"/>
              <w:rPr>
                <w:rFonts w:cs="Arial"/>
                <w:color w:val="000000"/>
                <w:szCs w:val="20"/>
                <w:lang w:eastAsia="en-AU"/>
              </w:rPr>
            </w:pPr>
            <w:r w:rsidRPr="00CC18AA">
              <w:rPr>
                <w:rFonts w:cs="Arial"/>
                <w:color w:val="000000"/>
                <w:szCs w:val="20"/>
                <w:lang w:eastAsia="en-AU"/>
              </w:rPr>
              <w:t>7.59</w:t>
            </w:r>
          </w:p>
        </w:tc>
        <w:tc>
          <w:tcPr>
            <w:tcW w:w="1009" w:type="pct"/>
            <w:shd w:val="clear" w:color="auto" w:fill="auto"/>
            <w:noWrap/>
            <w:vAlign w:val="center"/>
            <w:hideMark/>
          </w:tcPr>
          <w:p w:rsidR="00E809F1" w:rsidRPr="00CC18AA" w:rsidRDefault="00E809F1" w:rsidP="00CC18AA">
            <w:pPr>
              <w:spacing w:before="60" w:after="60"/>
              <w:jc w:val="center"/>
              <w:rPr>
                <w:rFonts w:cs="Arial"/>
                <w:color w:val="000000"/>
                <w:szCs w:val="20"/>
                <w:lang w:eastAsia="en-AU"/>
              </w:rPr>
            </w:pPr>
            <w:r w:rsidRPr="00CC18AA">
              <w:rPr>
                <w:rFonts w:cs="Arial"/>
                <w:color w:val="000000"/>
                <w:szCs w:val="20"/>
                <w:lang w:eastAsia="en-AU"/>
              </w:rPr>
              <w:t>54.65</w:t>
            </w:r>
          </w:p>
        </w:tc>
      </w:tr>
      <w:tr w:rsidR="00CC18AA" w:rsidRPr="00D705BC" w:rsidTr="00CC18AA">
        <w:trPr>
          <w:trHeight w:val="300"/>
        </w:trPr>
        <w:tc>
          <w:tcPr>
            <w:tcW w:w="1138" w:type="pct"/>
            <w:vMerge w:val="restart"/>
            <w:shd w:val="clear" w:color="auto" w:fill="auto"/>
            <w:noWrap/>
            <w:vAlign w:val="center"/>
            <w:hideMark/>
          </w:tcPr>
          <w:p w:rsidR="00E809F1" w:rsidRPr="00CC18AA" w:rsidRDefault="00E809F1" w:rsidP="00CC18AA">
            <w:pPr>
              <w:spacing w:before="60" w:after="60"/>
              <w:jc w:val="center"/>
              <w:rPr>
                <w:rFonts w:cs="Arial"/>
                <w:color w:val="000000"/>
                <w:szCs w:val="20"/>
                <w:lang w:eastAsia="en-AU"/>
              </w:rPr>
            </w:pPr>
            <w:r w:rsidRPr="00CC18AA">
              <w:rPr>
                <w:rFonts w:cs="Arial"/>
                <w:color w:val="000000"/>
                <w:szCs w:val="20"/>
                <w:lang w:eastAsia="en-AU"/>
              </w:rPr>
              <w:t>March 2016 x Dry</w:t>
            </w:r>
          </w:p>
        </w:tc>
        <w:tc>
          <w:tcPr>
            <w:tcW w:w="1809" w:type="pct"/>
            <w:shd w:val="clear" w:color="auto" w:fill="auto"/>
            <w:noWrap/>
            <w:vAlign w:val="center"/>
            <w:hideMark/>
          </w:tcPr>
          <w:p w:rsidR="00E809F1" w:rsidRPr="00CC18AA" w:rsidRDefault="00E809F1" w:rsidP="00CC18AA">
            <w:pPr>
              <w:spacing w:before="60" w:after="60"/>
              <w:jc w:val="left"/>
              <w:rPr>
                <w:rFonts w:cs="Arial"/>
                <w:szCs w:val="20"/>
                <w:lang w:eastAsia="en-AU"/>
              </w:rPr>
            </w:pPr>
            <w:r w:rsidRPr="00CC18AA">
              <w:rPr>
                <w:rFonts w:cs="Arial"/>
                <w:szCs w:val="20"/>
                <w:lang w:eastAsia="en-AU"/>
              </w:rPr>
              <w:t>water couch</w:t>
            </w:r>
          </w:p>
        </w:tc>
        <w:tc>
          <w:tcPr>
            <w:tcW w:w="1044" w:type="pct"/>
            <w:shd w:val="clear" w:color="auto" w:fill="auto"/>
            <w:noWrap/>
            <w:vAlign w:val="center"/>
            <w:hideMark/>
          </w:tcPr>
          <w:p w:rsidR="00E809F1" w:rsidRPr="00CC18AA" w:rsidRDefault="00E809F1" w:rsidP="00CC18AA">
            <w:pPr>
              <w:spacing w:before="60" w:after="60"/>
              <w:jc w:val="center"/>
              <w:rPr>
                <w:rFonts w:cs="Arial"/>
                <w:color w:val="000000"/>
                <w:szCs w:val="20"/>
                <w:lang w:eastAsia="en-AU"/>
              </w:rPr>
            </w:pPr>
            <w:r w:rsidRPr="00CC18AA">
              <w:rPr>
                <w:rFonts w:cs="Arial"/>
                <w:color w:val="000000"/>
                <w:szCs w:val="20"/>
                <w:lang w:eastAsia="en-AU"/>
              </w:rPr>
              <w:t>22.72</w:t>
            </w:r>
          </w:p>
        </w:tc>
        <w:tc>
          <w:tcPr>
            <w:tcW w:w="1009" w:type="pct"/>
            <w:shd w:val="clear" w:color="auto" w:fill="auto"/>
            <w:noWrap/>
            <w:vAlign w:val="center"/>
            <w:hideMark/>
          </w:tcPr>
          <w:p w:rsidR="00E809F1" w:rsidRPr="00CC18AA" w:rsidRDefault="00E809F1" w:rsidP="00CC18AA">
            <w:pPr>
              <w:spacing w:before="60" w:after="60"/>
              <w:jc w:val="center"/>
              <w:rPr>
                <w:rFonts w:cs="Arial"/>
                <w:color w:val="000000"/>
                <w:szCs w:val="20"/>
                <w:lang w:eastAsia="en-AU"/>
              </w:rPr>
            </w:pPr>
            <w:r w:rsidRPr="00CC18AA">
              <w:rPr>
                <w:rFonts w:cs="Arial"/>
                <w:color w:val="000000"/>
                <w:szCs w:val="20"/>
                <w:lang w:eastAsia="en-AU"/>
              </w:rPr>
              <w:t>22.72</w:t>
            </w:r>
          </w:p>
        </w:tc>
      </w:tr>
      <w:tr w:rsidR="00CC18AA" w:rsidRPr="00D705BC" w:rsidTr="00CC18AA">
        <w:trPr>
          <w:trHeight w:val="300"/>
        </w:trPr>
        <w:tc>
          <w:tcPr>
            <w:tcW w:w="1138" w:type="pct"/>
            <w:vMerge/>
            <w:shd w:val="clear" w:color="auto" w:fill="auto"/>
            <w:noWrap/>
            <w:vAlign w:val="center"/>
            <w:hideMark/>
          </w:tcPr>
          <w:p w:rsidR="00E809F1" w:rsidRPr="00CC18AA" w:rsidRDefault="00E809F1" w:rsidP="00CC18AA">
            <w:pPr>
              <w:spacing w:before="60" w:after="60"/>
              <w:jc w:val="left"/>
              <w:rPr>
                <w:rFonts w:cs="Arial"/>
                <w:color w:val="000000"/>
                <w:szCs w:val="20"/>
                <w:lang w:eastAsia="en-AU"/>
              </w:rPr>
            </w:pPr>
          </w:p>
        </w:tc>
        <w:tc>
          <w:tcPr>
            <w:tcW w:w="1809" w:type="pct"/>
            <w:shd w:val="clear" w:color="auto" w:fill="auto"/>
            <w:noWrap/>
            <w:vAlign w:val="center"/>
            <w:hideMark/>
          </w:tcPr>
          <w:p w:rsidR="00E809F1" w:rsidRPr="00CC18AA" w:rsidRDefault="00E809F1" w:rsidP="00CC18AA">
            <w:pPr>
              <w:spacing w:before="60" w:after="60"/>
              <w:jc w:val="left"/>
              <w:rPr>
                <w:rFonts w:cs="Arial"/>
                <w:szCs w:val="20"/>
                <w:lang w:eastAsia="en-AU"/>
              </w:rPr>
            </w:pPr>
            <w:r w:rsidRPr="00CC18AA">
              <w:rPr>
                <w:rFonts w:cs="Arial"/>
                <w:szCs w:val="20"/>
                <w:lang w:eastAsia="en-AU"/>
              </w:rPr>
              <w:t>lippia</w:t>
            </w:r>
          </w:p>
        </w:tc>
        <w:tc>
          <w:tcPr>
            <w:tcW w:w="1044" w:type="pct"/>
            <w:shd w:val="clear" w:color="auto" w:fill="auto"/>
            <w:noWrap/>
            <w:vAlign w:val="center"/>
            <w:hideMark/>
          </w:tcPr>
          <w:p w:rsidR="00E809F1" w:rsidRPr="00CC18AA" w:rsidRDefault="00E809F1" w:rsidP="00CC18AA">
            <w:pPr>
              <w:spacing w:before="60" w:after="60"/>
              <w:jc w:val="center"/>
              <w:rPr>
                <w:rFonts w:cs="Arial"/>
                <w:color w:val="000000"/>
                <w:szCs w:val="20"/>
                <w:lang w:eastAsia="en-AU"/>
              </w:rPr>
            </w:pPr>
            <w:r w:rsidRPr="00CC18AA">
              <w:rPr>
                <w:rFonts w:cs="Arial"/>
                <w:color w:val="000000"/>
                <w:szCs w:val="20"/>
                <w:lang w:eastAsia="en-AU"/>
              </w:rPr>
              <w:t>12.28</w:t>
            </w:r>
          </w:p>
        </w:tc>
        <w:tc>
          <w:tcPr>
            <w:tcW w:w="1009" w:type="pct"/>
            <w:shd w:val="clear" w:color="auto" w:fill="auto"/>
            <w:noWrap/>
            <w:vAlign w:val="center"/>
            <w:hideMark/>
          </w:tcPr>
          <w:p w:rsidR="00E809F1" w:rsidRPr="00CC18AA" w:rsidRDefault="00E809F1" w:rsidP="00CC18AA">
            <w:pPr>
              <w:spacing w:before="60" w:after="60"/>
              <w:jc w:val="center"/>
              <w:rPr>
                <w:rFonts w:cs="Arial"/>
                <w:color w:val="000000"/>
                <w:szCs w:val="20"/>
                <w:lang w:eastAsia="en-AU"/>
              </w:rPr>
            </w:pPr>
            <w:r w:rsidRPr="00CC18AA">
              <w:rPr>
                <w:rFonts w:cs="Arial"/>
                <w:color w:val="000000"/>
                <w:szCs w:val="20"/>
                <w:lang w:eastAsia="en-AU"/>
              </w:rPr>
              <w:t>35.00</w:t>
            </w:r>
          </w:p>
        </w:tc>
      </w:tr>
      <w:tr w:rsidR="00CC18AA" w:rsidRPr="00D705BC" w:rsidTr="00CC18AA">
        <w:trPr>
          <w:trHeight w:val="300"/>
        </w:trPr>
        <w:tc>
          <w:tcPr>
            <w:tcW w:w="1138" w:type="pct"/>
            <w:vMerge/>
            <w:shd w:val="clear" w:color="auto" w:fill="auto"/>
            <w:noWrap/>
            <w:vAlign w:val="center"/>
            <w:hideMark/>
          </w:tcPr>
          <w:p w:rsidR="00E809F1" w:rsidRPr="00CC18AA" w:rsidRDefault="00E809F1" w:rsidP="00CC18AA">
            <w:pPr>
              <w:spacing w:before="60" w:after="60"/>
              <w:jc w:val="left"/>
              <w:rPr>
                <w:rFonts w:cs="Arial"/>
                <w:color w:val="000000"/>
                <w:szCs w:val="20"/>
                <w:lang w:eastAsia="en-AU"/>
              </w:rPr>
            </w:pPr>
          </w:p>
        </w:tc>
        <w:tc>
          <w:tcPr>
            <w:tcW w:w="1809" w:type="pct"/>
            <w:shd w:val="clear" w:color="auto" w:fill="auto"/>
            <w:noWrap/>
            <w:vAlign w:val="center"/>
            <w:hideMark/>
          </w:tcPr>
          <w:p w:rsidR="00E809F1" w:rsidRPr="00CC18AA" w:rsidRDefault="00E809F1" w:rsidP="00CC18AA">
            <w:pPr>
              <w:spacing w:before="60" w:after="60"/>
              <w:jc w:val="left"/>
              <w:rPr>
                <w:rFonts w:cs="Arial"/>
                <w:szCs w:val="20"/>
                <w:lang w:eastAsia="en-AU"/>
              </w:rPr>
            </w:pPr>
            <w:r w:rsidRPr="00CC18AA">
              <w:rPr>
                <w:rFonts w:cs="Arial"/>
                <w:szCs w:val="20"/>
                <w:lang w:eastAsia="en-AU"/>
              </w:rPr>
              <w:t>tussock rush</w:t>
            </w:r>
          </w:p>
        </w:tc>
        <w:tc>
          <w:tcPr>
            <w:tcW w:w="1044" w:type="pct"/>
            <w:shd w:val="clear" w:color="auto" w:fill="auto"/>
            <w:noWrap/>
            <w:vAlign w:val="center"/>
            <w:hideMark/>
          </w:tcPr>
          <w:p w:rsidR="00E809F1" w:rsidRPr="00CC18AA" w:rsidRDefault="00E809F1" w:rsidP="00CC18AA">
            <w:pPr>
              <w:spacing w:before="60" w:after="60"/>
              <w:jc w:val="center"/>
              <w:rPr>
                <w:rFonts w:cs="Arial"/>
                <w:color w:val="000000"/>
                <w:szCs w:val="20"/>
                <w:lang w:eastAsia="en-AU"/>
              </w:rPr>
            </w:pPr>
            <w:r w:rsidRPr="00CC18AA">
              <w:rPr>
                <w:rFonts w:cs="Arial"/>
                <w:color w:val="000000"/>
                <w:szCs w:val="20"/>
                <w:lang w:eastAsia="en-AU"/>
              </w:rPr>
              <w:t>10.59</w:t>
            </w:r>
          </w:p>
        </w:tc>
        <w:tc>
          <w:tcPr>
            <w:tcW w:w="1009" w:type="pct"/>
            <w:shd w:val="clear" w:color="auto" w:fill="auto"/>
            <w:noWrap/>
            <w:vAlign w:val="center"/>
            <w:hideMark/>
          </w:tcPr>
          <w:p w:rsidR="00E809F1" w:rsidRPr="00CC18AA" w:rsidRDefault="00E809F1" w:rsidP="00CC18AA">
            <w:pPr>
              <w:spacing w:before="60" w:after="60"/>
              <w:jc w:val="center"/>
              <w:rPr>
                <w:rFonts w:cs="Arial"/>
                <w:color w:val="000000"/>
                <w:szCs w:val="20"/>
                <w:lang w:eastAsia="en-AU"/>
              </w:rPr>
            </w:pPr>
            <w:r w:rsidRPr="00CC18AA">
              <w:rPr>
                <w:rFonts w:cs="Arial"/>
                <w:color w:val="000000"/>
                <w:szCs w:val="20"/>
                <w:lang w:eastAsia="en-AU"/>
              </w:rPr>
              <w:t>45.59</w:t>
            </w:r>
          </w:p>
        </w:tc>
      </w:tr>
      <w:tr w:rsidR="00CC18AA" w:rsidRPr="00D705BC" w:rsidTr="00CC18AA">
        <w:trPr>
          <w:trHeight w:val="300"/>
        </w:trPr>
        <w:tc>
          <w:tcPr>
            <w:tcW w:w="1138" w:type="pct"/>
            <w:vMerge/>
            <w:shd w:val="clear" w:color="auto" w:fill="auto"/>
            <w:noWrap/>
            <w:vAlign w:val="center"/>
            <w:hideMark/>
          </w:tcPr>
          <w:p w:rsidR="00E809F1" w:rsidRPr="00CC18AA" w:rsidRDefault="00E809F1" w:rsidP="00CC18AA">
            <w:pPr>
              <w:spacing w:before="60" w:after="60"/>
              <w:jc w:val="left"/>
              <w:rPr>
                <w:rFonts w:cs="Arial"/>
                <w:color w:val="000000"/>
                <w:szCs w:val="20"/>
                <w:lang w:eastAsia="en-AU"/>
              </w:rPr>
            </w:pPr>
          </w:p>
        </w:tc>
        <w:tc>
          <w:tcPr>
            <w:tcW w:w="1809" w:type="pct"/>
            <w:shd w:val="clear" w:color="auto" w:fill="auto"/>
            <w:noWrap/>
            <w:vAlign w:val="center"/>
            <w:hideMark/>
          </w:tcPr>
          <w:p w:rsidR="00E809F1" w:rsidRPr="00CC18AA" w:rsidRDefault="00E809F1" w:rsidP="00CC18AA">
            <w:pPr>
              <w:spacing w:before="60" w:after="60"/>
              <w:jc w:val="left"/>
              <w:rPr>
                <w:rFonts w:cs="Arial"/>
                <w:szCs w:val="20"/>
                <w:lang w:eastAsia="en-AU"/>
              </w:rPr>
            </w:pPr>
            <w:r w:rsidRPr="00CC18AA">
              <w:rPr>
                <w:rFonts w:cs="Arial"/>
                <w:szCs w:val="20"/>
                <w:lang w:eastAsia="en-AU"/>
              </w:rPr>
              <w:t>narrow-leaved cumbungi</w:t>
            </w:r>
          </w:p>
        </w:tc>
        <w:tc>
          <w:tcPr>
            <w:tcW w:w="1044" w:type="pct"/>
            <w:shd w:val="clear" w:color="auto" w:fill="auto"/>
            <w:noWrap/>
            <w:vAlign w:val="center"/>
            <w:hideMark/>
          </w:tcPr>
          <w:p w:rsidR="00E809F1" w:rsidRPr="00CC18AA" w:rsidRDefault="00E809F1" w:rsidP="00CC18AA">
            <w:pPr>
              <w:spacing w:before="60" w:after="60"/>
              <w:jc w:val="center"/>
              <w:rPr>
                <w:rFonts w:cs="Arial"/>
                <w:color w:val="000000"/>
                <w:szCs w:val="20"/>
                <w:lang w:eastAsia="en-AU"/>
              </w:rPr>
            </w:pPr>
            <w:r w:rsidRPr="00CC18AA">
              <w:rPr>
                <w:rFonts w:cs="Arial"/>
                <w:color w:val="000000"/>
                <w:szCs w:val="20"/>
                <w:lang w:eastAsia="en-AU"/>
              </w:rPr>
              <w:t>8.33</w:t>
            </w:r>
          </w:p>
        </w:tc>
        <w:tc>
          <w:tcPr>
            <w:tcW w:w="1009" w:type="pct"/>
            <w:shd w:val="clear" w:color="auto" w:fill="auto"/>
            <w:noWrap/>
            <w:vAlign w:val="center"/>
            <w:hideMark/>
          </w:tcPr>
          <w:p w:rsidR="00E809F1" w:rsidRPr="00CC18AA" w:rsidRDefault="00E809F1" w:rsidP="00CC18AA">
            <w:pPr>
              <w:spacing w:before="60" w:after="60"/>
              <w:jc w:val="center"/>
              <w:rPr>
                <w:rFonts w:cs="Arial"/>
                <w:color w:val="000000"/>
                <w:szCs w:val="20"/>
                <w:lang w:eastAsia="en-AU"/>
              </w:rPr>
            </w:pPr>
            <w:r w:rsidRPr="00CC18AA">
              <w:rPr>
                <w:rFonts w:cs="Arial"/>
                <w:color w:val="000000"/>
                <w:szCs w:val="20"/>
                <w:lang w:eastAsia="en-AU"/>
              </w:rPr>
              <w:t>53.91</w:t>
            </w:r>
          </w:p>
        </w:tc>
      </w:tr>
      <w:tr w:rsidR="00CC18AA" w:rsidRPr="00D705BC" w:rsidTr="00CC18AA">
        <w:trPr>
          <w:trHeight w:val="300"/>
        </w:trPr>
        <w:tc>
          <w:tcPr>
            <w:tcW w:w="1138" w:type="pct"/>
            <w:vMerge w:val="restart"/>
            <w:shd w:val="clear" w:color="auto" w:fill="auto"/>
            <w:noWrap/>
            <w:vAlign w:val="center"/>
            <w:hideMark/>
          </w:tcPr>
          <w:p w:rsidR="00E809F1" w:rsidRPr="00CC18AA" w:rsidRDefault="00E809F1" w:rsidP="00CC18AA">
            <w:pPr>
              <w:spacing w:before="60" w:after="60"/>
              <w:jc w:val="center"/>
              <w:rPr>
                <w:rFonts w:cs="Arial"/>
                <w:color w:val="000000"/>
                <w:szCs w:val="20"/>
                <w:lang w:eastAsia="en-AU"/>
              </w:rPr>
            </w:pPr>
            <w:r w:rsidRPr="00CC18AA">
              <w:rPr>
                <w:rFonts w:cs="Arial"/>
                <w:color w:val="000000"/>
                <w:szCs w:val="20"/>
                <w:lang w:eastAsia="en-AU"/>
              </w:rPr>
              <w:t>March 2016 x Wet</w:t>
            </w:r>
          </w:p>
        </w:tc>
        <w:tc>
          <w:tcPr>
            <w:tcW w:w="1809" w:type="pct"/>
            <w:shd w:val="clear" w:color="auto" w:fill="auto"/>
            <w:noWrap/>
            <w:vAlign w:val="center"/>
            <w:hideMark/>
          </w:tcPr>
          <w:p w:rsidR="00E809F1" w:rsidRPr="00CC18AA" w:rsidRDefault="00E809F1" w:rsidP="00CC18AA">
            <w:pPr>
              <w:spacing w:before="60" w:after="60"/>
              <w:jc w:val="left"/>
              <w:rPr>
                <w:rFonts w:cs="Arial"/>
                <w:szCs w:val="20"/>
                <w:lang w:eastAsia="en-AU"/>
              </w:rPr>
            </w:pPr>
            <w:r w:rsidRPr="00CC18AA">
              <w:rPr>
                <w:rFonts w:cs="Arial"/>
                <w:szCs w:val="20"/>
                <w:lang w:eastAsia="en-AU"/>
              </w:rPr>
              <w:t>downs nutgrass</w:t>
            </w:r>
          </w:p>
        </w:tc>
        <w:tc>
          <w:tcPr>
            <w:tcW w:w="1044" w:type="pct"/>
            <w:shd w:val="clear" w:color="auto" w:fill="auto"/>
            <w:noWrap/>
            <w:vAlign w:val="center"/>
            <w:hideMark/>
          </w:tcPr>
          <w:p w:rsidR="00E809F1" w:rsidRPr="00CC18AA" w:rsidRDefault="00E809F1" w:rsidP="00CC18AA">
            <w:pPr>
              <w:spacing w:before="60" w:after="60"/>
              <w:jc w:val="center"/>
              <w:rPr>
                <w:rFonts w:cs="Arial"/>
                <w:color w:val="000000"/>
                <w:szCs w:val="20"/>
                <w:lang w:eastAsia="en-AU"/>
              </w:rPr>
            </w:pPr>
            <w:r w:rsidRPr="00CC18AA">
              <w:rPr>
                <w:rFonts w:cs="Arial"/>
                <w:color w:val="000000"/>
                <w:szCs w:val="20"/>
                <w:lang w:eastAsia="en-AU"/>
              </w:rPr>
              <w:t>16.06</w:t>
            </w:r>
          </w:p>
        </w:tc>
        <w:tc>
          <w:tcPr>
            <w:tcW w:w="1009" w:type="pct"/>
            <w:shd w:val="clear" w:color="auto" w:fill="auto"/>
            <w:noWrap/>
            <w:vAlign w:val="center"/>
            <w:hideMark/>
          </w:tcPr>
          <w:p w:rsidR="00E809F1" w:rsidRPr="00CC18AA" w:rsidRDefault="00E809F1" w:rsidP="00CC18AA">
            <w:pPr>
              <w:spacing w:before="60" w:after="60"/>
              <w:jc w:val="center"/>
              <w:rPr>
                <w:rFonts w:cs="Arial"/>
                <w:color w:val="000000"/>
                <w:szCs w:val="20"/>
                <w:lang w:eastAsia="en-AU"/>
              </w:rPr>
            </w:pPr>
            <w:r w:rsidRPr="00CC18AA">
              <w:rPr>
                <w:rFonts w:cs="Arial"/>
                <w:color w:val="000000"/>
                <w:szCs w:val="20"/>
                <w:lang w:eastAsia="en-AU"/>
              </w:rPr>
              <w:t>16.06</w:t>
            </w:r>
          </w:p>
        </w:tc>
      </w:tr>
      <w:tr w:rsidR="00CC18AA" w:rsidRPr="00D705BC" w:rsidTr="00CC18AA">
        <w:trPr>
          <w:trHeight w:val="300"/>
        </w:trPr>
        <w:tc>
          <w:tcPr>
            <w:tcW w:w="1138" w:type="pct"/>
            <w:vMerge/>
            <w:shd w:val="clear" w:color="auto" w:fill="auto"/>
            <w:noWrap/>
            <w:vAlign w:val="center"/>
            <w:hideMark/>
          </w:tcPr>
          <w:p w:rsidR="00E809F1" w:rsidRPr="00CC18AA" w:rsidRDefault="00E809F1" w:rsidP="00CC18AA">
            <w:pPr>
              <w:spacing w:before="60" w:after="60"/>
              <w:jc w:val="left"/>
              <w:rPr>
                <w:rFonts w:cs="Arial"/>
                <w:color w:val="000000"/>
                <w:szCs w:val="20"/>
                <w:lang w:eastAsia="en-AU"/>
              </w:rPr>
            </w:pPr>
          </w:p>
        </w:tc>
        <w:tc>
          <w:tcPr>
            <w:tcW w:w="1809" w:type="pct"/>
            <w:shd w:val="clear" w:color="auto" w:fill="auto"/>
            <w:noWrap/>
            <w:vAlign w:val="center"/>
            <w:hideMark/>
          </w:tcPr>
          <w:p w:rsidR="00E809F1" w:rsidRPr="00CC18AA" w:rsidRDefault="00E809F1" w:rsidP="00CC18AA">
            <w:pPr>
              <w:spacing w:before="60" w:after="60"/>
              <w:jc w:val="left"/>
              <w:rPr>
                <w:rFonts w:cs="Arial"/>
                <w:szCs w:val="20"/>
                <w:lang w:eastAsia="en-AU"/>
              </w:rPr>
            </w:pPr>
            <w:r w:rsidRPr="00CC18AA">
              <w:rPr>
                <w:rFonts w:cs="Arial"/>
                <w:szCs w:val="20"/>
                <w:lang w:eastAsia="en-AU"/>
              </w:rPr>
              <w:t>budda pea</w:t>
            </w:r>
          </w:p>
        </w:tc>
        <w:tc>
          <w:tcPr>
            <w:tcW w:w="1044" w:type="pct"/>
            <w:shd w:val="clear" w:color="auto" w:fill="auto"/>
            <w:noWrap/>
            <w:vAlign w:val="center"/>
            <w:hideMark/>
          </w:tcPr>
          <w:p w:rsidR="00E809F1" w:rsidRPr="00CC18AA" w:rsidRDefault="00E809F1" w:rsidP="00CC18AA">
            <w:pPr>
              <w:spacing w:before="60" w:after="60"/>
              <w:jc w:val="center"/>
              <w:rPr>
                <w:rFonts w:cs="Arial"/>
                <w:color w:val="000000"/>
                <w:szCs w:val="20"/>
                <w:lang w:eastAsia="en-AU"/>
              </w:rPr>
            </w:pPr>
            <w:r w:rsidRPr="00CC18AA">
              <w:rPr>
                <w:rFonts w:cs="Arial"/>
                <w:color w:val="000000"/>
                <w:szCs w:val="20"/>
                <w:lang w:eastAsia="en-AU"/>
              </w:rPr>
              <w:t>15.82</w:t>
            </w:r>
          </w:p>
        </w:tc>
        <w:tc>
          <w:tcPr>
            <w:tcW w:w="1009" w:type="pct"/>
            <w:shd w:val="clear" w:color="auto" w:fill="auto"/>
            <w:noWrap/>
            <w:vAlign w:val="center"/>
            <w:hideMark/>
          </w:tcPr>
          <w:p w:rsidR="00E809F1" w:rsidRPr="00CC18AA" w:rsidRDefault="00E809F1" w:rsidP="00CC18AA">
            <w:pPr>
              <w:spacing w:before="60" w:after="60"/>
              <w:jc w:val="center"/>
              <w:rPr>
                <w:rFonts w:cs="Arial"/>
                <w:color w:val="000000"/>
                <w:szCs w:val="20"/>
                <w:lang w:eastAsia="en-AU"/>
              </w:rPr>
            </w:pPr>
            <w:r w:rsidRPr="00CC18AA">
              <w:rPr>
                <w:rFonts w:cs="Arial"/>
                <w:color w:val="000000"/>
                <w:szCs w:val="20"/>
                <w:lang w:eastAsia="en-AU"/>
              </w:rPr>
              <w:t>31.88</w:t>
            </w:r>
          </w:p>
        </w:tc>
      </w:tr>
      <w:tr w:rsidR="00CC18AA" w:rsidRPr="00D705BC" w:rsidTr="00CC18AA">
        <w:trPr>
          <w:trHeight w:val="300"/>
        </w:trPr>
        <w:tc>
          <w:tcPr>
            <w:tcW w:w="1138" w:type="pct"/>
            <w:vMerge/>
            <w:shd w:val="clear" w:color="auto" w:fill="auto"/>
            <w:noWrap/>
            <w:vAlign w:val="center"/>
            <w:hideMark/>
          </w:tcPr>
          <w:p w:rsidR="00E809F1" w:rsidRPr="00CC18AA" w:rsidRDefault="00E809F1" w:rsidP="00CC18AA">
            <w:pPr>
              <w:spacing w:before="60" w:after="60"/>
              <w:jc w:val="left"/>
              <w:rPr>
                <w:rFonts w:cs="Arial"/>
                <w:color w:val="000000"/>
                <w:szCs w:val="20"/>
                <w:lang w:eastAsia="en-AU"/>
              </w:rPr>
            </w:pPr>
          </w:p>
        </w:tc>
        <w:tc>
          <w:tcPr>
            <w:tcW w:w="1809" w:type="pct"/>
            <w:shd w:val="clear" w:color="auto" w:fill="auto"/>
            <w:noWrap/>
            <w:vAlign w:val="center"/>
            <w:hideMark/>
          </w:tcPr>
          <w:p w:rsidR="00E809F1" w:rsidRPr="00CC18AA" w:rsidRDefault="00E809F1" w:rsidP="00CC18AA">
            <w:pPr>
              <w:spacing w:before="60" w:after="60"/>
              <w:jc w:val="left"/>
              <w:rPr>
                <w:rFonts w:cs="Arial"/>
                <w:szCs w:val="20"/>
                <w:lang w:eastAsia="en-AU"/>
              </w:rPr>
            </w:pPr>
            <w:r w:rsidRPr="00CC18AA">
              <w:rPr>
                <w:rFonts w:cs="Arial"/>
                <w:szCs w:val="20"/>
                <w:lang w:eastAsia="en-AU"/>
              </w:rPr>
              <w:t>flat spike-sedge</w:t>
            </w:r>
          </w:p>
        </w:tc>
        <w:tc>
          <w:tcPr>
            <w:tcW w:w="1044" w:type="pct"/>
            <w:shd w:val="clear" w:color="auto" w:fill="auto"/>
            <w:noWrap/>
            <w:vAlign w:val="center"/>
            <w:hideMark/>
          </w:tcPr>
          <w:p w:rsidR="00E809F1" w:rsidRPr="00CC18AA" w:rsidRDefault="00E809F1" w:rsidP="00CC18AA">
            <w:pPr>
              <w:spacing w:before="60" w:after="60"/>
              <w:jc w:val="center"/>
              <w:rPr>
                <w:rFonts w:cs="Arial"/>
                <w:color w:val="000000"/>
                <w:szCs w:val="20"/>
                <w:lang w:eastAsia="en-AU"/>
              </w:rPr>
            </w:pPr>
            <w:r w:rsidRPr="00CC18AA">
              <w:rPr>
                <w:rFonts w:cs="Arial"/>
                <w:color w:val="000000"/>
                <w:szCs w:val="20"/>
                <w:lang w:eastAsia="en-AU"/>
              </w:rPr>
              <w:t>13.89</w:t>
            </w:r>
          </w:p>
        </w:tc>
        <w:tc>
          <w:tcPr>
            <w:tcW w:w="1009" w:type="pct"/>
            <w:shd w:val="clear" w:color="auto" w:fill="auto"/>
            <w:noWrap/>
            <w:vAlign w:val="center"/>
            <w:hideMark/>
          </w:tcPr>
          <w:p w:rsidR="00E809F1" w:rsidRPr="00CC18AA" w:rsidRDefault="00E809F1" w:rsidP="00CC18AA">
            <w:pPr>
              <w:spacing w:before="60" w:after="60"/>
              <w:jc w:val="center"/>
              <w:rPr>
                <w:rFonts w:cs="Arial"/>
                <w:color w:val="000000"/>
                <w:szCs w:val="20"/>
                <w:lang w:eastAsia="en-AU"/>
              </w:rPr>
            </w:pPr>
            <w:r w:rsidRPr="00CC18AA">
              <w:rPr>
                <w:rFonts w:cs="Arial"/>
                <w:color w:val="000000"/>
                <w:szCs w:val="20"/>
                <w:lang w:eastAsia="en-AU"/>
              </w:rPr>
              <w:t>45.77</w:t>
            </w:r>
          </w:p>
        </w:tc>
      </w:tr>
      <w:tr w:rsidR="00CC18AA" w:rsidRPr="00D705BC" w:rsidTr="00CC18AA">
        <w:trPr>
          <w:trHeight w:val="300"/>
        </w:trPr>
        <w:tc>
          <w:tcPr>
            <w:tcW w:w="1138" w:type="pct"/>
            <w:vMerge/>
            <w:shd w:val="clear" w:color="auto" w:fill="auto"/>
            <w:noWrap/>
            <w:vAlign w:val="center"/>
            <w:hideMark/>
          </w:tcPr>
          <w:p w:rsidR="00E809F1" w:rsidRPr="00CC18AA" w:rsidRDefault="00E809F1" w:rsidP="00CC18AA">
            <w:pPr>
              <w:spacing w:before="60" w:after="60"/>
              <w:jc w:val="left"/>
              <w:rPr>
                <w:rFonts w:cs="Arial"/>
                <w:color w:val="000000"/>
                <w:szCs w:val="20"/>
                <w:lang w:eastAsia="en-AU"/>
              </w:rPr>
            </w:pPr>
          </w:p>
        </w:tc>
        <w:tc>
          <w:tcPr>
            <w:tcW w:w="1809" w:type="pct"/>
            <w:shd w:val="clear" w:color="auto" w:fill="auto"/>
            <w:noWrap/>
            <w:vAlign w:val="center"/>
            <w:hideMark/>
          </w:tcPr>
          <w:p w:rsidR="00E809F1" w:rsidRPr="00CC18AA" w:rsidRDefault="00E809F1" w:rsidP="00CC18AA">
            <w:pPr>
              <w:spacing w:before="60" w:after="60"/>
              <w:jc w:val="left"/>
              <w:rPr>
                <w:rFonts w:cs="Arial"/>
                <w:szCs w:val="20"/>
                <w:lang w:eastAsia="en-AU"/>
              </w:rPr>
            </w:pPr>
            <w:r w:rsidRPr="00CC18AA">
              <w:rPr>
                <w:rFonts w:cs="Arial"/>
                <w:szCs w:val="20"/>
                <w:lang w:eastAsia="en-AU"/>
              </w:rPr>
              <w:t>river cooba</w:t>
            </w:r>
          </w:p>
        </w:tc>
        <w:tc>
          <w:tcPr>
            <w:tcW w:w="1044" w:type="pct"/>
            <w:shd w:val="clear" w:color="auto" w:fill="auto"/>
            <w:noWrap/>
            <w:vAlign w:val="center"/>
            <w:hideMark/>
          </w:tcPr>
          <w:p w:rsidR="00E809F1" w:rsidRPr="00CC18AA" w:rsidRDefault="00E809F1" w:rsidP="00CC18AA">
            <w:pPr>
              <w:spacing w:before="60" w:after="60"/>
              <w:jc w:val="center"/>
              <w:rPr>
                <w:rFonts w:cs="Arial"/>
                <w:color w:val="000000"/>
                <w:szCs w:val="20"/>
                <w:lang w:eastAsia="en-AU"/>
              </w:rPr>
            </w:pPr>
            <w:r w:rsidRPr="00CC18AA">
              <w:rPr>
                <w:rFonts w:cs="Arial"/>
                <w:color w:val="000000"/>
                <w:szCs w:val="20"/>
                <w:lang w:eastAsia="en-AU"/>
              </w:rPr>
              <w:t>13.55</w:t>
            </w:r>
          </w:p>
        </w:tc>
        <w:tc>
          <w:tcPr>
            <w:tcW w:w="1009" w:type="pct"/>
            <w:shd w:val="clear" w:color="auto" w:fill="auto"/>
            <w:noWrap/>
            <w:vAlign w:val="center"/>
            <w:hideMark/>
          </w:tcPr>
          <w:p w:rsidR="00E809F1" w:rsidRPr="00CC18AA" w:rsidRDefault="00E809F1" w:rsidP="00CC18AA">
            <w:pPr>
              <w:spacing w:before="60" w:after="60"/>
              <w:jc w:val="center"/>
              <w:rPr>
                <w:rFonts w:cs="Arial"/>
                <w:color w:val="000000"/>
                <w:szCs w:val="20"/>
                <w:lang w:eastAsia="en-AU"/>
              </w:rPr>
            </w:pPr>
            <w:r w:rsidRPr="00CC18AA">
              <w:rPr>
                <w:rFonts w:cs="Arial"/>
                <w:color w:val="000000"/>
                <w:szCs w:val="20"/>
                <w:lang w:eastAsia="en-AU"/>
              </w:rPr>
              <w:t>59.31</w:t>
            </w:r>
          </w:p>
        </w:tc>
      </w:tr>
    </w:tbl>
    <w:p w:rsidR="00E809F1" w:rsidRDefault="00E809F1" w:rsidP="00E809F1">
      <w:pPr>
        <w:spacing w:before="240"/>
        <w:rPr>
          <w:rFonts w:cs="Arial"/>
          <w:szCs w:val="20"/>
          <w:lang w:eastAsia="en-AU"/>
        </w:rPr>
      </w:pPr>
      <w:r w:rsidRPr="002D6519">
        <w:rPr>
          <w:rFonts w:cs="Arial"/>
          <w:szCs w:val="20"/>
          <w:lang w:eastAsia="en-AU"/>
        </w:rPr>
        <w:t>The</w:t>
      </w:r>
      <w:r>
        <w:rPr>
          <w:rFonts w:cs="Arial"/>
          <w:szCs w:val="20"/>
          <w:lang w:eastAsia="en-AU"/>
        </w:rPr>
        <w:t xml:space="preserve"> mean</w:t>
      </w:r>
      <w:r w:rsidRPr="002D6519">
        <w:rPr>
          <w:rFonts w:cs="Arial"/>
          <w:szCs w:val="20"/>
          <w:lang w:eastAsia="en-AU"/>
        </w:rPr>
        <w:t xml:space="preserve"> percentage of </w:t>
      </w:r>
      <w:r>
        <w:rPr>
          <w:rFonts w:cs="Arial"/>
          <w:szCs w:val="20"/>
          <w:lang w:eastAsia="en-AU"/>
        </w:rPr>
        <w:t>vegetation cover</w:t>
      </w:r>
      <w:r w:rsidRPr="002D6519">
        <w:rPr>
          <w:rFonts w:cs="Arial"/>
          <w:szCs w:val="20"/>
          <w:lang w:eastAsia="en-AU"/>
        </w:rPr>
        <w:t xml:space="preserve"> in each plot </w:t>
      </w:r>
      <w:r>
        <w:rPr>
          <w:rFonts w:cs="Arial"/>
          <w:szCs w:val="20"/>
          <w:lang w:eastAsia="en-AU"/>
        </w:rPr>
        <w:t>increased significantly</w:t>
      </w:r>
      <w:r w:rsidRPr="002D6519">
        <w:rPr>
          <w:rFonts w:cs="Arial"/>
          <w:szCs w:val="20"/>
          <w:lang w:eastAsia="en-AU"/>
        </w:rPr>
        <w:t xml:space="preserve"> </w:t>
      </w:r>
      <w:r>
        <w:rPr>
          <w:rFonts w:cs="Arial"/>
          <w:szCs w:val="20"/>
          <w:lang w:eastAsia="en-AU"/>
        </w:rPr>
        <w:t>between sampling years from 70.1</w:t>
      </w:r>
      <w:r w:rsidR="00E60B3A">
        <w:rPr>
          <w:rFonts w:cs="Arial"/>
          <w:szCs w:val="20"/>
          <w:lang w:eastAsia="en-AU"/>
        </w:rPr>
        <w:t>±</w:t>
      </w:r>
      <w:r>
        <w:rPr>
          <w:rFonts w:cs="Arial"/>
          <w:szCs w:val="20"/>
          <w:lang w:eastAsia="en-AU"/>
        </w:rPr>
        <w:t>6.5% in 2015 to 84.65</w:t>
      </w:r>
      <w:r w:rsidR="00E60B3A">
        <w:rPr>
          <w:rFonts w:cs="Arial"/>
          <w:szCs w:val="20"/>
          <w:lang w:eastAsia="en-AU"/>
        </w:rPr>
        <w:t>±</w:t>
      </w:r>
      <w:r>
        <w:rPr>
          <w:rFonts w:cs="Arial"/>
          <w:szCs w:val="20"/>
          <w:lang w:eastAsia="en-AU"/>
        </w:rPr>
        <w:t>-3.2% in 2016 (</w:t>
      </w:r>
      <w:r w:rsidRPr="001E6E3B">
        <w:rPr>
          <w:rFonts w:cs="Arial"/>
          <w:szCs w:val="20"/>
          <w:lang w:eastAsia="en-AU"/>
        </w:rPr>
        <w:t>T=</w:t>
      </w:r>
      <w:r>
        <w:rPr>
          <w:rFonts w:cs="Arial"/>
          <w:szCs w:val="20"/>
          <w:lang w:eastAsia="en-AU"/>
        </w:rPr>
        <w:t>2.76</w:t>
      </w:r>
      <w:r w:rsidRPr="001E6E3B">
        <w:rPr>
          <w:rFonts w:cs="Arial"/>
          <w:szCs w:val="20"/>
          <w:lang w:eastAsia="en-AU"/>
        </w:rPr>
        <w:t>, Pr=</w:t>
      </w:r>
      <w:r>
        <w:rPr>
          <w:rFonts w:cs="Arial"/>
          <w:szCs w:val="20"/>
          <w:lang w:eastAsia="en-AU"/>
        </w:rPr>
        <w:t xml:space="preserve">0.007; </w:t>
      </w:r>
      <w:r w:rsidR="00A97349">
        <w:rPr>
          <w:rFonts w:cs="Arial"/>
          <w:szCs w:val="20"/>
          <w:lang w:eastAsia="en-AU"/>
        </w:rPr>
        <w:fldChar w:fldCharType="begin"/>
      </w:r>
      <w:r w:rsidR="00A97349">
        <w:rPr>
          <w:rFonts w:cs="Arial"/>
          <w:szCs w:val="20"/>
          <w:lang w:eastAsia="en-AU"/>
        </w:rPr>
        <w:instrText xml:space="preserve"> REF _Ref459889509 \h </w:instrText>
      </w:r>
      <w:r w:rsidR="00A97349">
        <w:rPr>
          <w:rFonts w:cs="Arial"/>
          <w:szCs w:val="20"/>
          <w:lang w:eastAsia="en-AU"/>
        </w:rPr>
      </w:r>
      <w:r w:rsidR="00A97349">
        <w:rPr>
          <w:rFonts w:cs="Arial"/>
          <w:szCs w:val="20"/>
          <w:lang w:eastAsia="en-AU"/>
        </w:rPr>
        <w:fldChar w:fldCharType="separate"/>
      </w:r>
      <w:r w:rsidR="005D5925">
        <w:t xml:space="preserve">Figure </w:t>
      </w:r>
      <w:r w:rsidR="005D5925">
        <w:rPr>
          <w:noProof/>
        </w:rPr>
        <w:t>G</w:t>
      </w:r>
      <w:r w:rsidR="005D5925">
        <w:noBreakHyphen/>
      </w:r>
      <w:r w:rsidR="005D5925">
        <w:rPr>
          <w:noProof/>
        </w:rPr>
        <w:t>11</w:t>
      </w:r>
      <w:r w:rsidR="00A97349">
        <w:rPr>
          <w:rFonts w:cs="Arial"/>
          <w:szCs w:val="20"/>
          <w:lang w:eastAsia="en-AU"/>
        </w:rPr>
        <w:fldChar w:fldCharType="end"/>
      </w:r>
      <w:r>
        <w:rPr>
          <w:rFonts w:cs="Arial"/>
          <w:szCs w:val="20"/>
          <w:lang w:eastAsia="en-AU"/>
        </w:rPr>
        <w:t>)</w:t>
      </w:r>
      <w:r w:rsidRPr="001E6E3B">
        <w:rPr>
          <w:rFonts w:cs="Arial"/>
          <w:szCs w:val="20"/>
          <w:lang w:eastAsia="en-AU"/>
        </w:rPr>
        <w:t xml:space="preserve">. </w:t>
      </w:r>
      <w:r w:rsidR="00A97349">
        <w:rPr>
          <w:rFonts w:cs="Arial"/>
          <w:szCs w:val="20"/>
          <w:lang w:eastAsia="en-AU"/>
        </w:rPr>
        <w:t xml:space="preserve"> </w:t>
      </w:r>
      <w:r w:rsidRPr="001E6E3B">
        <w:rPr>
          <w:rFonts w:cs="Arial"/>
          <w:szCs w:val="20"/>
          <w:lang w:eastAsia="en-AU"/>
        </w:rPr>
        <w:t xml:space="preserve">Sites that were wet in October 2015 but dry in March 2016 </w:t>
      </w:r>
      <w:r>
        <w:rPr>
          <w:rFonts w:cs="Arial"/>
          <w:szCs w:val="20"/>
          <w:lang w:eastAsia="en-AU"/>
        </w:rPr>
        <w:t>increased in mean</w:t>
      </w:r>
      <w:r w:rsidRPr="001E6E3B">
        <w:rPr>
          <w:rFonts w:cs="Arial"/>
          <w:szCs w:val="20"/>
          <w:lang w:eastAsia="en-AU"/>
        </w:rPr>
        <w:t xml:space="preserve"> percentage </w:t>
      </w:r>
      <w:r>
        <w:rPr>
          <w:rFonts w:cs="Arial"/>
          <w:szCs w:val="20"/>
          <w:lang w:eastAsia="en-AU"/>
        </w:rPr>
        <w:t>of vegetation cover</w:t>
      </w:r>
      <w:r w:rsidRPr="001E6E3B">
        <w:rPr>
          <w:rFonts w:cs="Arial"/>
          <w:szCs w:val="20"/>
          <w:lang w:eastAsia="en-AU"/>
        </w:rPr>
        <w:t xml:space="preserve"> from </w:t>
      </w:r>
      <w:r>
        <w:rPr>
          <w:rFonts w:cs="Arial"/>
          <w:szCs w:val="20"/>
          <w:lang w:eastAsia="en-AU"/>
        </w:rPr>
        <w:t>83.1</w:t>
      </w:r>
      <w:r w:rsidR="00E60B3A">
        <w:rPr>
          <w:rFonts w:cs="Arial"/>
          <w:szCs w:val="20"/>
          <w:lang w:eastAsia="en-AU"/>
        </w:rPr>
        <w:t>±</w:t>
      </w:r>
      <w:r w:rsidRPr="003D3242">
        <w:rPr>
          <w:rFonts w:cs="Arial"/>
          <w:szCs w:val="20"/>
          <w:lang w:eastAsia="en-AU"/>
        </w:rPr>
        <w:t xml:space="preserve">6.1% </w:t>
      </w:r>
      <w:r w:rsidRPr="001E6E3B">
        <w:rPr>
          <w:rFonts w:cs="Arial"/>
          <w:szCs w:val="20"/>
          <w:lang w:eastAsia="en-AU"/>
        </w:rPr>
        <w:t xml:space="preserve">to </w:t>
      </w:r>
      <w:r>
        <w:rPr>
          <w:rFonts w:cs="Arial"/>
          <w:szCs w:val="20"/>
          <w:lang w:eastAsia="en-AU"/>
        </w:rPr>
        <w:t>85.6</w:t>
      </w:r>
      <w:r w:rsidR="00E60B3A">
        <w:rPr>
          <w:rFonts w:cs="Arial"/>
          <w:szCs w:val="20"/>
          <w:lang w:eastAsia="en-AU"/>
        </w:rPr>
        <w:t>±</w:t>
      </w:r>
      <w:r w:rsidRPr="003D3242">
        <w:rPr>
          <w:rFonts w:cs="Arial"/>
          <w:szCs w:val="20"/>
          <w:lang w:eastAsia="en-AU"/>
        </w:rPr>
        <w:t xml:space="preserve">4% </w:t>
      </w:r>
      <w:r w:rsidRPr="001E6E3B">
        <w:rPr>
          <w:rFonts w:cs="Arial"/>
          <w:szCs w:val="20"/>
          <w:lang w:eastAsia="en-AU"/>
        </w:rPr>
        <w:t>(</w:t>
      </w:r>
      <w:r w:rsidR="00A97349">
        <w:rPr>
          <w:rFonts w:cs="Arial"/>
          <w:szCs w:val="20"/>
          <w:lang w:eastAsia="en-AU"/>
        </w:rPr>
        <w:fldChar w:fldCharType="begin"/>
      </w:r>
      <w:r w:rsidR="00A97349">
        <w:rPr>
          <w:rFonts w:cs="Arial"/>
          <w:szCs w:val="20"/>
          <w:lang w:eastAsia="en-AU"/>
        </w:rPr>
        <w:instrText xml:space="preserve"> REF _Ref459889520 \h </w:instrText>
      </w:r>
      <w:r w:rsidR="00A97349">
        <w:rPr>
          <w:rFonts w:cs="Arial"/>
          <w:szCs w:val="20"/>
          <w:lang w:eastAsia="en-AU"/>
        </w:rPr>
      </w:r>
      <w:r w:rsidR="00A97349">
        <w:rPr>
          <w:rFonts w:cs="Arial"/>
          <w:szCs w:val="20"/>
          <w:lang w:eastAsia="en-AU"/>
        </w:rPr>
        <w:fldChar w:fldCharType="separate"/>
      </w:r>
      <w:r w:rsidR="005D5925">
        <w:t xml:space="preserve">Figure </w:t>
      </w:r>
      <w:r w:rsidR="005D5925">
        <w:rPr>
          <w:noProof/>
        </w:rPr>
        <w:t>G</w:t>
      </w:r>
      <w:r w:rsidR="005D5925">
        <w:noBreakHyphen/>
      </w:r>
      <w:r w:rsidR="005D5925">
        <w:rPr>
          <w:noProof/>
        </w:rPr>
        <w:t>12</w:t>
      </w:r>
      <w:r w:rsidR="00A97349">
        <w:rPr>
          <w:rFonts w:cs="Arial"/>
          <w:szCs w:val="20"/>
          <w:lang w:eastAsia="en-AU"/>
        </w:rPr>
        <w:fldChar w:fldCharType="end"/>
      </w:r>
      <w:r w:rsidRPr="001E6E3B">
        <w:rPr>
          <w:rFonts w:cs="Arial"/>
          <w:szCs w:val="20"/>
          <w:lang w:eastAsia="en-AU"/>
        </w:rPr>
        <w:t>)</w:t>
      </w:r>
      <w:r>
        <w:rPr>
          <w:rFonts w:cs="Arial"/>
          <w:szCs w:val="20"/>
          <w:lang w:eastAsia="en-AU"/>
        </w:rPr>
        <w:t>, however this was not significant (T=0.42, Pr=0.679)</w:t>
      </w:r>
      <w:r w:rsidRPr="001E6E3B">
        <w:rPr>
          <w:rFonts w:cs="Arial"/>
          <w:szCs w:val="20"/>
          <w:lang w:eastAsia="en-AU"/>
        </w:rPr>
        <w:t>.</w:t>
      </w:r>
      <w:r w:rsidR="00A97349">
        <w:rPr>
          <w:rFonts w:cs="Arial"/>
          <w:szCs w:val="20"/>
          <w:lang w:eastAsia="en-AU"/>
        </w:rPr>
        <w:t xml:space="preserve"> </w:t>
      </w:r>
      <w:r w:rsidRPr="001E6E3B">
        <w:rPr>
          <w:rFonts w:cs="Arial"/>
          <w:szCs w:val="20"/>
          <w:lang w:eastAsia="en-AU"/>
        </w:rPr>
        <w:t xml:space="preserve"> </w:t>
      </w:r>
      <w:r>
        <w:rPr>
          <w:rFonts w:cs="Arial"/>
          <w:szCs w:val="20"/>
          <w:lang w:eastAsia="en-AU"/>
        </w:rPr>
        <w:t xml:space="preserve">Water couch was the </w:t>
      </w:r>
      <w:r w:rsidRPr="00D64F79">
        <w:rPr>
          <w:rFonts w:cs="Arial"/>
          <w:szCs w:val="20"/>
          <w:lang w:eastAsia="en-AU"/>
        </w:rPr>
        <w:t xml:space="preserve">most dominant species recorded </w:t>
      </w:r>
      <w:r w:rsidR="00A77281">
        <w:rPr>
          <w:rFonts w:cs="Arial"/>
          <w:szCs w:val="20"/>
          <w:lang w:eastAsia="en-AU"/>
        </w:rPr>
        <w:t>for</w:t>
      </w:r>
      <w:r w:rsidRPr="00D64F79">
        <w:rPr>
          <w:rFonts w:cs="Arial"/>
          <w:szCs w:val="20"/>
          <w:lang w:eastAsia="en-AU"/>
        </w:rPr>
        <w:t xml:space="preserve"> cover across the study area, being found at 31 of 40 (</w:t>
      </w:r>
      <w:r>
        <w:rPr>
          <w:rFonts w:cs="Arial"/>
          <w:szCs w:val="20"/>
          <w:lang w:eastAsia="en-AU"/>
        </w:rPr>
        <w:t>78</w:t>
      </w:r>
      <w:r w:rsidRPr="00D64F79">
        <w:rPr>
          <w:rFonts w:cs="Arial"/>
          <w:szCs w:val="20"/>
          <w:lang w:eastAsia="en-AU"/>
        </w:rPr>
        <w:t xml:space="preserve">%) plots surveyed. </w:t>
      </w:r>
      <w:r w:rsidR="00A97349">
        <w:rPr>
          <w:rFonts w:cs="Arial"/>
          <w:szCs w:val="20"/>
          <w:lang w:eastAsia="en-AU"/>
        </w:rPr>
        <w:t xml:space="preserve"> </w:t>
      </w:r>
      <w:r>
        <w:rPr>
          <w:rFonts w:cs="Arial"/>
          <w:szCs w:val="20"/>
          <w:lang w:eastAsia="en-AU"/>
        </w:rPr>
        <w:t>Mean water</w:t>
      </w:r>
      <w:r w:rsidRPr="00DD266E">
        <w:rPr>
          <w:rFonts w:cs="Arial"/>
          <w:szCs w:val="20"/>
          <w:lang w:eastAsia="en-AU"/>
        </w:rPr>
        <w:t xml:space="preserve"> couch cover was greater in wet plots, however </w:t>
      </w:r>
      <w:r>
        <w:rPr>
          <w:rFonts w:cs="Arial"/>
          <w:szCs w:val="20"/>
          <w:lang w:eastAsia="en-AU"/>
        </w:rPr>
        <w:t xml:space="preserve">this difference was not significant </w:t>
      </w:r>
      <w:r w:rsidRPr="00DD266E">
        <w:rPr>
          <w:rFonts w:cs="Arial"/>
          <w:szCs w:val="20"/>
          <w:lang w:eastAsia="en-AU"/>
        </w:rPr>
        <w:t>(T=-1.27, Pr=0.21</w:t>
      </w:r>
      <w:r>
        <w:rPr>
          <w:rFonts w:cs="Arial"/>
          <w:szCs w:val="20"/>
          <w:lang w:eastAsia="en-AU"/>
        </w:rPr>
        <w:t>)</w:t>
      </w:r>
      <w:r w:rsidRPr="00DD266E">
        <w:rPr>
          <w:rFonts w:cs="Arial"/>
          <w:szCs w:val="20"/>
          <w:lang w:eastAsia="en-AU"/>
        </w:rPr>
        <w:t xml:space="preserve"> </w:t>
      </w:r>
      <w:r>
        <w:rPr>
          <w:rFonts w:cs="Arial"/>
          <w:szCs w:val="20"/>
          <w:lang w:eastAsia="en-AU"/>
        </w:rPr>
        <w:t>(</w:t>
      </w:r>
      <w:r w:rsidR="00A97349">
        <w:rPr>
          <w:highlight w:val="yellow"/>
        </w:rPr>
        <w:fldChar w:fldCharType="begin"/>
      </w:r>
      <w:r w:rsidR="00A97349">
        <w:rPr>
          <w:rFonts w:cs="Arial"/>
          <w:szCs w:val="20"/>
          <w:lang w:eastAsia="en-AU"/>
        </w:rPr>
        <w:instrText xml:space="preserve"> REF _Ref454725003 \h </w:instrText>
      </w:r>
      <w:r w:rsidR="00A97349">
        <w:rPr>
          <w:highlight w:val="yellow"/>
        </w:rPr>
      </w:r>
      <w:r w:rsidR="00A97349">
        <w:rPr>
          <w:highlight w:val="yellow"/>
        </w:rPr>
        <w:fldChar w:fldCharType="separate"/>
      </w:r>
      <w:r w:rsidR="005D5925" w:rsidRPr="00A576F8">
        <w:t xml:space="preserve">Figure </w:t>
      </w:r>
      <w:r w:rsidR="005D5925">
        <w:rPr>
          <w:noProof/>
        </w:rPr>
        <w:t>G</w:t>
      </w:r>
      <w:r w:rsidR="005D5925">
        <w:noBreakHyphen/>
      </w:r>
      <w:r w:rsidR="005D5925">
        <w:rPr>
          <w:noProof/>
        </w:rPr>
        <w:t>13</w:t>
      </w:r>
      <w:r w:rsidR="00A97349">
        <w:rPr>
          <w:highlight w:val="yellow"/>
        </w:rPr>
        <w:fldChar w:fldCharType="end"/>
      </w:r>
      <w:r w:rsidRPr="003013D7">
        <w:rPr>
          <w:rFonts w:cs="Arial"/>
          <w:szCs w:val="20"/>
          <w:lang w:eastAsia="en-AU"/>
        </w:rPr>
        <w:t xml:space="preserve">). </w:t>
      </w:r>
      <w:r w:rsidR="00A97349">
        <w:rPr>
          <w:rFonts w:cs="Arial"/>
          <w:szCs w:val="20"/>
          <w:lang w:eastAsia="en-AU"/>
        </w:rPr>
        <w:t xml:space="preserve"> </w:t>
      </w:r>
      <w:r w:rsidRPr="003013D7">
        <w:rPr>
          <w:rFonts w:cs="Arial"/>
          <w:szCs w:val="20"/>
          <w:lang w:eastAsia="en-AU"/>
        </w:rPr>
        <w:t xml:space="preserve">Mean </w:t>
      </w:r>
      <w:r>
        <w:rPr>
          <w:rFonts w:cs="Arial"/>
          <w:szCs w:val="20"/>
          <w:lang w:eastAsia="en-AU"/>
        </w:rPr>
        <w:t>water</w:t>
      </w:r>
      <w:r w:rsidRPr="003013D7">
        <w:rPr>
          <w:rFonts w:cs="Arial"/>
          <w:szCs w:val="20"/>
          <w:lang w:eastAsia="en-AU"/>
        </w:rPr>
        <w:t xml:space="preserve"> couch cover was observed to be greater towards the end of the season (2015 vs 2016) but again this increase was not significant</w:t>
      </w:r>
      <w:r>
        <w:rPr>
          <w:rFonts w:cs="Arial"/>
          <w:szCs w:val="20"/>
          <w:lang w:eastAsia="en-AU"/>
        </w:rPr>
        <w:t xml:space="preserve"> (T=-0.55, Pr=0.579)</w:t>
      </w:r>
      <w:r w:rsidRPr="003013D7">
        <w:rPr>
          <w:rFonts w:cs="Arial"/>
          <w:szCs w:val="20"/>
          <w:lang w:eastAsia="en-AU"/>
        </w:rPr>
        <w:t xml:space="preserve"> </w:t>
      </w:r>
      <w:r>
        <w:rPr>
          <w:rFonts w:cs="Arial"/>
          <w:szCs w:val="20"/>
          <w:lang w:eastAsia="en-AU"/>
        </w:rPr>
        <w:t>(</w:t>
      </w:r>
      <w:r w:rsidR="00A97349">
        <w:fldChar w:fldCharType="begin"/>
      </w:r>
      <w:r w:rsidR="00A97349">
        <w:rPr>
          <w:rFonts w:cs="Arial"/>
          <w:szCs w:val="20"/>
          <w:lang w:eastAsia="en-AU"/>
        </w:rPr>
        <w:instrText xml:space="preserve"> REF _Ref459889578 \h </w:instrText>
      </w:r>
      <w:r w:rsidR="00A97349">
        <w:fldChar w:fldCharType="separate"/>
      </w:r>
      <w:r w:rsidR="005D5925">
        <w:t xml:space="preserve">Figure </w:t>
      </w:r>
      <w:r w:rsidR="005D5925">
        <w:rPr>
          <w:noProof/>
        </w:rPr>
        <w:t>G</w:t>
      </w:r>
      <w:r w:rsidR="005D5925">
        <w:noBreakHyphen/>
      </w:r>
      <w:r w:rsidR="005D5925">
        <w:rPr>
          <w:noProof/>
        </w:rPr>
        <w:t>14</w:t>
      </w:r>
      <w:r w:rsidR="00A97349">
        <w:fldChar w:fldCharType="end"/>
      </w:r>
      <w:r w:rsidRPr="003013D7">
        <w:rPr>
          <w:rFonts w:cs="Arial"/>
          <w:szCs w:val="20"/>
          <w:lang w:eastAsia="en-AU"/>
        </w:rPr>
        <w:t>).</w:t>
      </w:r>
      <w:r w:rsidRPr="001E6E3B">
        <w:rPr>
          <w:rFonts w:cs="Arial"/>
          <w:szCs w:val="20"/>
          <w:lang w:eastAsia="en-AU"/>
        </w:rPr>
        <w:t xml:space="preserve"> </w:t>
      </w:r>
      <w:r w:rsidR="00A97349">
        <w:rPr>
          <w:rFonts w:cs="Arial"/>
          <w:szCs w:val="20"/>
          <w:lang w:eastAsia="en-AU"/>
        </w:rPr>
        <w:t xml:space="preserve"> </w:t>
      </w:r>
      <w:r w:rsidRPr="002624B5">
        <w:rPr>
          <w:rFonts w:cs="Arial"/>
          <w:szCs w:val="20"/>
          <w:lang w:eastAsia="en-AU"/>
        </w:rPr>
        <w:t>Lippia was most dominant i</w:t>
      </w:r>
      <w:r>
        <w:rPr>
          <w:rFonts w:cs="Arial"/>
          <w:szCs w:val="20"/>
          <w:lang w:eastAsia="en-AU"/>
        </w:rPr>
        <w:t xml:space="preserve">n dry plots, with a </w:t>
      </w:r>
      <w:r w:rsidRPr="002624B5">
        <w:rPr>
          <w:rFonts w:cs="Arial"/>
          <w:szCs w:val="20"/>
          <w:lang w:eastAsia="en-AU"/>
        </w:rPr>
        <w:t>higher</w:t>
      </w:r>
      <w:r>
        <w:rPr>
          <w:rFonts w:cs="Arial"/>
          <w:szCs w:val="20"/>
          <w:lang w:eastAsia="en-AU"/>
        </w:rPr>
        <w:t xml:space="preserve"> mean</w:t>
      </w:r>
      <w:r w:rsidRPr="002624B5">
        <w:rPr>
          <w:rFonts w:cs="Arial"/>
          <w:szCs w:val="20"/>
          <w:lang w:eastAsia="en-AU"/>
        </w:rPr>
        <w:t xml:space="preserve"> cover</w:t>
      </w:r>
      <w:r>
        <w:rPr>
          <w:rFonts w:cs="Arial"/>
          <w:szCs w:val="20"/>
          <w:lang w:eastAsia="en-AU"/>
        </w:rPr>
        <w:t xml:space="preserve"> </w:t>
      </w:r>
      <w:r w:rsidRPr="002624B5">
        <w:rPr>
          <w:rFonts w:cs="Arial"/>
          <w:szCs w:val="20"/>
          <w:lang w:eastAsia="en-AU"/>
        </w:rPr>
        <w:t>(</w:t>
      </w:r>
      <w:r>
        <w:rPr>
          <w:rFonts w:cs="Arial"/>
          <w:szCs w:val="20"/>
          <w:lang w:eastAsia="en-AU"/>
        </w:rPr>
        <w:t>6.3</w:t>
      </w:r>
      <w:r w:rsidR="00E60B3A">
        <w:rPr>
          <w:rFonts w:cs="Arial"/>
          <w:szCs w:val="20"/>
          <w:lang w:eastAsia="en-AU"/>
        </w:rPr>
        <w:t>±</w:t>
      </w:r>
      <w:r w:rsidRPr="009D3D57">
        <w:rPr>
          <w:rFonts w:cs="Arial"/>
          <w:szCs w:val="20"/>
          <w:lang w:eastAsia="en-AU"/>
        </w:rPr>
        <w:t>24.9%</w:t>
      </w:r>
      <w:r w:rsidRPr="002624B5">
        <w:rPr>
          <w:rFonts w:cs="Arial"/>
          <w:szCs w:val="20"/>
          <w:lang w:eastAsia="en-AU"/>
        </w:rPr>
        <w:t xml:space="preserve">) in dry plots </w:t>
      </w:r>
      <w:r w:rsidR="00A77281">
        <w:rPr>
          <w:rFonts w:cs="Arial"/>
          <w:szCs w:val="20"/>
          <w:lang w:eastAsia="en-AU"/>
        </w:rPr>
        <w:t>compared to</w:t>
      </w:r>
      <w:r w:rsidRPr="002624B5">
        <w:rPr>
          <w:rFonts w:cs="Arial"/>
          <w:szCs w:val="20"/>
          <w:lang w:eastAsia="en-AU"/>
        </w:rPr>
        <w:t xml:space="preserve"> wet plots (</w:t>
      </w:r>
      <w:r>
        <w:rPr>
          <w:rFonts w:cs="Arial"/>
          <w:szCs w:val="20"/>
          <w:lang w:eastAsia="en-AU"/>
        </w:rPr>
        <w:t>2.3</w:t>
      </w:r>
      <w:r w:rsidR="00E60B3A">
        <w:rPr>
          <w:rFonts w:cs="Arial"/>
          <w:szCs w:val="20"/>
          <w:lang w:eastAsia="en-AU"/>
        </w:rPr>
        <w:t>±</w:t>
      </w:r>
      <w:r w:rsidRPr="009D3D57">
        <w:rPr>
          <w:rFonts w:cs="Arial"/>
          <w:szCs w:val="20"/>
          <w:lang w:eastAsia="en-AU"/>
        </w:rPr>
        <w:t>-20.4%</w:t>
      </w:r>
      <w:r>
        <w:rPr>
          <w:rFonts w:cs="Arial"/>
          <w:szCs w:val="20"/>
          <w:lang w:eastAsia="en-AU"/>
        </w:rPr>
        <w:t xml:space="preserve">) </w:t>
      </w:r>
      <w:r w:rsidRPr="002624B5">
        <w:rPr>
          <w:rFonts w:cs="Arial"/>
          <w:szCs w:val="20"/>
          <w:lang w:eastAsia="en-AU"/>
        </w:rPr>
        <w:t>(</w:t>
      </w:r>
      <w:r w:rsidR="00A97349">
        <w:rPr>
          <w:rFonts w:cs="Arial"/>
          <w:szCs w:val="20"/>
          <w:lang w:eastAsia="en-AU"/>
        </w:rPr>
        <w:fldChar w:fldCharType="begin"/>
      </w:r>
      <w:r w:rsidR="00A97349">
        <w:rPr>
          <w:rFonts w:cs="Arial"/>
          <w:szCs w:val="20"/>
          <w:lang w:eastAsia="en-AU"/>
        </w:rPr>
        <w:instrText xml:space="preserve"> REF _Ref455570296 \h </w:instrText>
      </w:r>
      <w:r w:rsidR="00A97349">
        <w:rPr>
          <w:rFonts w:cs="Arial"/>
          <w:szCs w:val="20"/>
          <w:lang w:eastAsia="en-AU"/>
        </w:rPr>
      </w:r>
      <w:r w:rsidR="00A97349">
        <w:rPr>
          <w:rFonts w:cs="Arial"/>
          <w:szCs w:val="20"/>
          <w:lang w:eastAsia="en-AU"/>
        </w:rPr>
        <w:fldChar w:fldCharType="separate"/>
      </w:r>
      <w:r w:rsidR="005D5925">
        <w:t xml:space="preserve">Figure </w:t>
      </w:r>
      <w:r w:rsidR="005D5925">
        <w:rPr>
          <w:noProof/>
        </w:rPr>
        <w:t>G</w:t>
      </w:r>
      <w:r w:rsidR="005D5925">
        <w:noBreakHyphen/>
      </w:r>
      <w:r w:rsidR="005D5925">
        <w:rPr>
          <w:noProof/>
        </w:rPr>
        <w:t>15</w:t>
      </w:r>
      <w:r w:rsidR="00A97349">
        <w:rPr>
          <w:rFonts w:cs="Arial"/>
          <w:szCs w:val="20"/>
          <w:lang w:eastAsia="en-AU"/>
        </w:rPr>
        <w:fldChar w:fldCharType="end"/>
      </w:r>
      <w:r w:rsidR="00A97349">
        <w:rPr>
          <w:rFonts w:cs="Arial"/>
          <w:szCs w:val="20"/>
          <w:lang w:eastAsia="en-AU"/>
        </w:rPr>
        <w:t xml:space="preserve"> and</w:t>
      </w:r>
      <w:r w:rsidR="005D145A">
        <w:rPr>
          <w:rFonts w:cs="Arial"/>
          <w:szCs w:val="20"/>
          <w:lang w:eastAsia="en-AU"/>
        </w:rPr>
        <w:t xml:space="preserve"> </w:t>
      </w:r>
      <w:r w:rsidR="00A97349">
        <w:rPr>
          <w:rFonts w:cs="Arial"/>
          <w:szCs w:val="20"/>
          <w:lang w:eastAsia="en-AU"/>
        </w:rPr>
        <w:fldChar w:fldCharType="begin"/>
      </w:r>
      <w:r w:rsidR="00A97349">
        <w:rPr>
          <w:rFonts w:cs="Arial"/>
          <w:szCs w:val="20"/>
          <w:lang w:eastAsia="en-AU"/>
        </w:rPr>
        <w:instrText xml:space="preserve"> REF _Ref459284870 \h </w:instrText>
      </w:r>
      <w:r w:rsidR="00A97349">
        <w:rPr>
          <w:rFonts w:cs="Arial"/>
          <w:szCs w:val="20"/>
          <w:lang w:eastAsia="en-AU"/>
        </w:rPr>
      </w:r>
      <w:r w:rsidR="00A97349">
        <w:rPr>
          <w:rFonts w:cs="Arial"/>
          <w:szCs w:val="20"/>
          <w:lang w:eastAsia="en-AU"/>
        </w:rPr>
        <w:fldChar w:fldCharType="separate"/>
      </w:r>
      <w:r w:rsidR="005D5925">
        <w:t xml:space="preserve">Figure </w:t>
      </w:r>
      <w:r w:rsidR="005D5925">
        <w:rPr>
          <w:noProof/>
        </w:rPr>
        <w:t>G</w:t>
      </w:r>
      <w:r w:rsidR="005D5925">
        <w:noBreakHyphen/>
      </w:r>
      <w:r w:rsidR="005D5925">
        <w:rPr>
          <w:noProof/>
        </w:rPr>
        <w:t>17</w:t>
      </w:r>
      <w:r w:rsidR="00A97349">
        <w:rPr>
          <w:rFonts w:cs="Arial"/>
          <w:szCs w:val="20"/>
          <w:lang w:eastAsia="en-AU"/>
        </w:rPr>
        <w:fldChar w:fldCharType="end"/>
      </w:r>
      <w:r w:rsidRPr="002624B5">
        <w:rPr>
          <w:rFonts w:cs="Arial"/>
          <w:szCs w:val="20"/>
          <w:lang w:eastAsia="en-AU"/>
        </w:rPr>
        <w:t>)</w:t>
      </w:r>
      <w:r>
        <w:rPr>
          <w:rFonts w:cs="Arial"/>
          <w:szCs w:val="20"/>
          <w:lang w:eastAsia="en-AU"/>
        </w:rPr>
        <w:t>; s</w:t>
      </w:r>
      <w:r w:rsidRPr="00851036">
        <w:rPr>
          <w:rFonts w:cs="Arial"/>
          <w:szCs w:val="20"/>
          <w:lang w:eastAsia="en-AU"/>
        </w:rPr>
        <w:t xml:space="preserve">imilarly, there was a higher </w:t>
      </w:r>
      <w:r>
        <w:rPr>
          <w:rFonts w:cs="Arial"/>
          <w:szCs w:val="20"/>
          <w:lang w:eastAsia="en-AU"/>
        </w:rPr>
        <w:t>mean l</w:t>
      </w:r>
      <w:r w:rsidRPr="00851036">
        <w:rPr>
          <w:rFonts w:cs="Arial"/>
          <w:szCs w:val="20"/>
          <w:lang w:eastAsia="en-AU"/>
        </w:rPr>
        <w:t>ippia cover</w:t>
      </w:r>
      <w:r>
        <w:rPr>
          <w:rFonts w:cs="Arial"/>
          <w:szCs w:val="20"/>
          <w:lang w:eastAsia="en-AU"/>
        </w:rPr>
        <w:t xml:space="preserve"> recorded in March 2016</w:t>
      </w:r>
      <w:r w:rsidRPr="00851036">
        <w:rPr>
          <w:rFonts w:cs="Arial"/>
          <w:szCs w:val="20"/>
          <w:lang w:eastAsia="en-AU"/>
        </w:rPr>
        <w:t xml:space="preserve"> in plots that were wet in October 2015, but were dry </w:t>
      </w:r>
      <w:r>
        <w:rPr>
          <w:rFonts w:cs="Arial"/>
          <w:szCs w:val="20"/>
          <w:lang w:eastAsia="en-AU"/>
        </w:rPr>
        <w:t xml:space="preserve">in the March 2016 </w:t>
      </w:r>
      <w:r w:rsidRPr="00851036">
        <w:rPr>
          <w:rFonts w:cs="Arial"/>
          <w:szCs w:val="20"/>
          <w:lang w:eastAsia="en-AU"/>
        </w:rPr>
        <w:t xml:space="preserve">survey period </w:t>
      </w:r>
      <w:r w:rsidR="00A77281">
        <w:rPr>
          <w:rFonts w:cs="Arial"/>
          <w:szCs w:val="20"/>
          <w:lang w:eastAsia="en-AU"/>
        </w:rPr>
        <w:t>(</w:t>
      </w:r>
      <w:r w:rsidR="00A97349">
        <w:rPr>
          <w:rFonts w:cs="Arial"/>
          <w:szCs w:val="20"/>
          <w:lang w:eastAsia="en-AU"/>
        </w:rPr>
        <w:fldChar w:fldCharType="begin"/>
      </w:r>
      <w:r w:rsidR="00A97349">
        <w:rPr>
          <w:rFonts w:cs="Arial"/>
          <w:szCs w:val="20"/>
          <w:lang w:eastAsia="en-AU"/>
        </w:rPr>
        <w:instrText xml:space="preserve"> REF _Ref459889616 \h </w:instrText>
      </w:r>
      <w:r w:rsidR="00A97349">
        <w:rPr>
          <w:rFonts w:cs="Arial"/>
          <w:szCs w:val="20"/>
          <w:lang w:eastAsia="en-AU"/>
        </w:rPr>
      </w:r>
      <w:r w:rsidR="00A97349">
        <w:rPr>
          <w:rFonts w:cs="Arial"/>
          <w:szCs w:val="20"/>
          <w:lang w:eastAsia="en-AU"/>
        </w:rPr>
        <w:fldChar w:fldCharType="separate"/>
      </w:r>
      <w:r w:rsidR="005D5925">
        <w:t xml:space="preserve">Figure </w:t>
      </w:r>
      <w:r w:rsidR="005D5925">
        <w:rPr>
          <w:noProof/>
        </w:rPr>
        <w:t>G</w:t>
      </w:r>
      <w:r w:rsidR="005D5925">
        <w:noBreakHyphen/>
      </w:r>
      <w:r w:rsidR="005D5925">
        <w:rPr>
          <w:noProof/>
        </w:rPr>
        <w:t>16</w:t>
      </w:r>
      <w:r w:rsidR="00A97349">
        <w:rPr>
          <w:rFonts w:cs="Arial"/>
          <w:szCs w:val="20"/>
          <w:lang w:eastAsia="en-AU"/>
        </w:rPr>
        <w:fldChar w:fldCharType="end"/>
      </w:r>
      <w:r w:rsidR="00A77281">
        <w:rPr>
          <w:rFonts w:cs="Arial"/>
          <w:szCs w:val="20"/>
          <w:lang w:eastAsia="en-AU"/>
        </w:rPr>
        <w:t>)</w:t>
      </w:r>
      <w:r w:rsidR="00A97349">
        <w:rPr>
          <w:rFonts w:cs="Arial"/>
          <w:szCs w:val="20"/>
          <w:lang w:eastAsia="en-AU"/>
        </w:rPr>
        <w:t>,</w:t>
      </w:r>
      <w:r w:rsidR="00A77281">
        <w:rPr>
          <w:rFonts w:cs="Arial"/>
          <w:szCs w:val="20"/>
          <w:lang w:eastAsia="en-AU"/>
        </w:rPr>
        <w:t xml:space="preserve"> </w:t>
      </w:r>
      <w:r>
        <w:rPr>
          <w:rFonts w:cs="Arial"/>
          <w:szCs w:val="20"/>
          <w:lang w:eastAsia="en-AU"/>
        </w:rPr>
        <w:t>however th</w:t>
      </w:r>
      <w:r w:rsidR="00A77281">
        <w:rPr>
          <w:rFonts w:cs="Arial"/>
          <w:szCs w:val="20"/>
          <w:lang w:eastAsia="en-AU"/>
        </w:rPr>
        <w:t>ese</w:t>
      </w:r>
      <w:r>
        <w:rPr>
          <w:rFonts w:cs="Arial"/>
          <w:szCs w:val="20"/>
          <w:lang w:eastAsia="en-AU"/>
        </w:rPr>
        <w:t xml:space="preserve"> difference</w:t>
      </w:r>
      <w:r w:rsidR="00A77281">
        <w:rPr>
          <w:rFonts w:cs="Arial"/>
          <w:szCs w:val="20"/>
          <w:lang w:eastAsia="en-AU"/>
        </w:rPr>
        <w:t>s</w:t>
      </w:r>
      <w:r>
        <w:rPr>
          <w:rFonts w:cs="Arial"/>
          <w:szCs w:val="20"/>
          <w:lang w:eastAsia="en-AU"/>
        </w:rPr>
        <w:t xml:space="preserve"> </w:t>
      </w:r>
      <w:r w:rsidR="00A77281">
        <w:rPr>
          <w:rFonts w:cs="Arial"/>
          <w:szCs w:val="20"/>
          <w:lang w:eastAsia="en-AU"/>
        </w:rPr>
        <w:t>were</w:t>
      </w:r>
      <w:r>
        <w:rPr>
          <w:rFonts w:cs="Arial"/>
          <w:szCs w:val="20"/>
          <w:lang w:eastAsia="en-AU"/>
        </w:rPr>
        <w:t xml:space="preserve"> not significant</w:t>
      </w:r>
      <w:r w:rsidRPr="002624B5">
        <w:rPr>
          <w:rFonts w:cs="Arial"/>
          <w:szCs w:val="20"/>
          <w:lang w:eastAsia="en-AU"/>
        </w:rPr>
        <w:t xml:space="preserve"> </w:t>
      </w:r>
      <w:r>
        <w:rPr>
          <w:rFonts w:cs="Arial"/>
          <w:szCs w:val="20"/>
          <w:lang w:eastAsia="en-AU"/>
        </w:rPr>
        <w:t xml:space="preserve">(T=1.62, Pr=0.109; and, </w:t>
      </w:r>
      <w:r w:rsidRPr="00851036">
        <w:rPr>
          <w:rFonts w:cs="Arial"/>
          <w:szCs w:val="20"/>
          <w:lang w:eastAsia="en-AU"/>
        </w:rPr>
        <w:t>T=</w:t>
      </w:r>
      <w:r>
        <w:rPr>
          <w:rFonts w:cs="Arial"/>
          <w:szCs w:val="20"/>
          <w:lang w:eastAsia="en-AU"/>
        </w:rPr>
        <w:t>1.18</w:t>
      </w:r>
      <w:r w:rsidRPr="00851036">
        <w:rPr>
          <w:rFonts w:cs="Arial"/>
          <w:szCs w:val="20"/>
          <w:lang w:eastAsia="en-AU"/>
        </w:rPr>
        <w:t>, Pr=0.246</w:t>
      </w:r>
      <w:r>
        <w:rPr>
          <w:rFonts w:cs="Arial"/>
          <w:szCs w:val="20"/>
          <w:lang w:eastAsia="en-AU"/>
        </w:rPr>
        <w:t xml:space="preserve"> respectively)</w:t>
      </w:r>
      <w:r w:rsidRPr="00FB5F00">
        <w:rPr>
          <w:rFonts w:cs="Arial"/>
          <w:szCs w:val="20"/>
          <w:lang w:eastAsia="en-AU"/>
        </w:rPr>
        <w:t xml:space="preserve">. </w:t>
      </w:r>
      <w:r w:rsidR="00A97349">
        <w:rPr>
          <w:rFonts w:cs="Arial"/>
          <w:szCs w:val="20"/>
          <w:lang w:eastAsia="en-AU"/>
        </w:rPr>
        <w:t xml:space="preserve"> </w:t>
      </w:r>
      <w:r>
        <w:rPr>
          <w:rFonts w:cs="Arial"/>
          <w:szCs w:val="20"/>
          <w:lang w:eastAsia="en-AU"/>
        </w:rPr>
        <w:t>Flat</w:t>
      </w:r>
      <w:r w:rsidRPr="00FB5F00">
        <w:rPr>
          <w:rFonts w:cs="Arial"/>
          <w:szCs w:val="20"/>
          <w:lang w:eastAsia="en-AU"/>
        </w:rPr>
        <w:t xml:space="preserve"> spike</w:t>
      </w:r>
      <w:r w:rsidRPr="006B0B35">
        <w:rPr>
          <w:rFonts w:cs="Arial"/>
          <w:szCs w:val="20"/>
          <w:lang w:eastAsia="en-AU"/>
        </w:rPr>
        <w:t>-sedge</w:t>
      </w:r>
      <w:r w:rsidRPr="006B0B35">
        <w:rPr>
          <w:rFonts w:cs="Arial"/>
          <w:i/>
          <w:szCs w:val="20"/>
          <w:lang w:eastAsia="en-AU"/>
        </w:rPr>
        <w:t xml:space="preserve"> </w:t>
      </w:r>
      <w:r w:rsidRPr="006B0B35">
        <w:rPr>
          <w:rFonts w:cs="Arial"/>
          <w:szCs w:val="20"/>
          <w:lang w:eastAsia="en-AU"/>
        </w:rPr>
        <w:t>showed a similar</w:t>
      </w:r>
      <w:r>
        <w:rPr>
          <w:rFonts w:cs="Arial"/>
          <w:szCs w:val="20"/>
          <w:lang w:eastAsia="en-AU"/>
        </w:rPr>
        <w:t xml:space="preserve"> trend to l</w:t>
      </w:r>
      <w:r w:rsidRPr="006B0B35">
        <w:rPr>
          <w:rFonts w:cs="Arial"/>
          <w:szCs w:val="20"/>
          <w:lang w:eastAsia="en-AU"/>
        </w:rPr>
        <w:t>ippia, increasing in cover between October 2015 and March 2016 (</w:t>
      </w:r>
      <w:r w:rsidR="00A97349">
        <w:fldChar w:fldCharType="begin"/>
      </w:r>
      <w:r w:rsidR="00A97349">
        <w:rPr>
          <w:rFonts w:cs="Arial"/>
          <w:szCs w:val="20"/>
          <w:lang w:eastAsia="en-AU"/>
        </w:rPr>
        <w:instrText xml:space="preserve"> REF _Ref454732249 \h </w:instrText>
      </w:r>
      <w:r w:rsidR="00A97349">
        <w:fldChar w:fldCharType="separate"/>
      </w:r>
      <w:r w:rsidR="005D5925">
        <w:t xml:space="preserve">Figure </w:t>
      </w:r>
      <w:r w:rsidR="005D5925">
        <w:rPr>
          <w:noProof/>
        </w:rPr>
        <w:t>G</w:t>
      </w:r>
      <w:r w:rsidR="005D5925">
        <w:noBreakHyphen/>
      </w:r>
      <w:r w:rsidR="005D5925">
        <w:rPr>
          <w:noProof/>
        </w:rPr>
        <w:t>18</w:t>
      </w:r>
      <w:r w:rsidR="00A97349">
        <w:fldChar w:fldCharType="end"/>
      </w:r>
      <w:r w:rsidR="00A77281">
        <w:rPr>
          <w:rFonts w:cs="Arial"/>
          <w:szCs w:val="20"/>
          <w:lang w:eastAsia="en-AU"/>
        </w:rPr>
        <w:t xml:space="preserve">). </w:t>
      </w:r>
      <w:r w:rsidR="00A97349">
        <w:rPr>
          <w:rFonts w:cs="Arial"/>
          <w:szCs w:val="20"/>
          <w:lang w:eastAsia="en-AU"/>
        </w:rPr>
        <w:t xml:space="preserve"> </w:t>
      </w:r>
      <w:r w:rsidR="00A77281">
        <w:rPr>
          <w:rFonts w:cs="Arial"/>
          <w:szCs w:val="20"/>
          <w:lang w:eastAsia="en-AU"/>
        </w:rPr>
        <w:t>This trend was</w:t>
      </w:r>
      <w:r>
        <w:rPr>
          <w:rFonts w:cs="Arial"/>
          <w:szCs w:val="20"/>
          <w:lang w:eastAsia="en-AU"/>
        </w:rPr>
        <w:t xml:space="preserve"> </w:t>
      </w:r>
      <w:r w:rsidR="00A77281">
        <w:rPr>
          <w:rFonts w:cs="Arial"/>
          <w:szCs w:val="20"/>
          <w:lang w:eastAsia="en-AU"/>
        </w:rPr>
        <w:t>in</w:t>
      </w:r>
      <w:r>
        <w:rPr>
          <w:rFonts w:cs="Arial"/>
          <w:szCs w:val="20"/>
          <w:lang w:eastAsia="en-AU"/>
        </w:rPr>
        <w:t xml:space="preserve">consistent when comparing </w:t>
      </w:r>
      <w:r w:rsidRPr="00982F50">
        <w:rPr>
          <w:rFonts w:cs="Arial"/>
          <w:szCs w:val="20"/>
          <w:lang w:eastAsia="en-AU"/>
        </w:rPr>
        <w:t>plots that were wet in October 2015 and dry in March 2016, showing a reduction in mean cover from 5.9</w:t>
      </w:r>
      <w:r w:rsidR="00E60B3A">
        <w:rPr>
          <w:rFonts w:cs="Arial"/>
          <w:szCs w:val="20"/>
          <w:lang w:eastAsia="en-AU"/>
        </w:rPr>
        <w:t>±</w:t>
      </w:r>
      <w:r w:rsidRPr="00841B77">
        <w:rPr>
          <w:rFonts w:cs="Arial"/>
          <w:szCs w:val="20"/>
          <w:lang w:eastAsia="en-AU"/>
        </w:rPr>
        <w:t xml:space="preserve">-27.9% in </w:t>
      </w:r>
      <w:r w:rsidRPr="00982F50">
        <w:rPr>
          <w:rFonts w:cs="Arial"/>
          <w:szCs w:val="20"/>
          <w:lang w:eastAsia="en-AU"/>
        </w:rPr>
        <w:t>2015 to 2.3</w:t>
      </w:r>
      <w:r w:rsidR="00E60B3A">
        <w:rPr>
          <w:rFonts w:cs="Arial"/>
          <w:szCs w:val="20"/>
          <w:lang w:eastAsia="en-AU"/>
        </w:rPr>
        <w:t>±</w:t>
      </w:r>
      <w:r w:rsidRPr="00982F50">
        <w:rPr>
          <w:rFonts w:cs="Arial"/>
          <w:szCs w:val="20"/>
          <w:lang w:eastAsia="en-AU"/>
        </w:rPr>
        <w:t>-</w:t>
      </w:r>
      <w:r w:rsidRPr="00841B77">
        <w:rPr>
          <w:rFonts w:cs="Arial"/>
          <w:szCs w:val="20"/>
          <w:lang w:eastAsia="en-AU"/>
        </w:rPr>
        <w:t>49.7% (</w:t>
      </w:r>
      <w:r w:rsidR="00A97349">
        <w:fldChar w:fldCharType="begin"/>
      </w:r>
      <w:r w:rsidR="00A97349">
        <w:rPr>
          <w:rFonts w:cs="Arial"/>
          <w:szCs w:val="20"/>
          <w:lang w:eastAsia="en-AU"/>
        </w:rPr>
        <w:instrText xml:space="preserve"> REF _Ref455142743 \h </w:instrText>
      </w:r>
      <w:r w:rsidR="00A97349">
        <w:fldChar w:fldCharType="separate"/>
      </w:r>
      <w:r w:rsidR="005D5925">
        <w:t xml:space="preserve">Figure </w:t>
      </w:r>
      <w:r w:rsidR="005D5925">
        <w:rPr>
          <w:noProof/>
        </w:rPr>
        <w:t>G</w:t>
      </w:r>
      <w:r w:rsidR="005D5925">
        <w:noBreakHyphen/>
      </w:r>
      <w:r w:rsidR="005D5925">
        <w:rPr>
          <w:noProof/>
        </w:rPr>
        <w:t>19</w:t>
      </w:r>
      <w:r w:rsidR="00A97349">
        <w:fldChar w:fldCharType="end"/>
      </w:r>
      <w:r w:rsidRPr="00841B77">
        <w:rPr>
          <w:rFonts w:cs="Arial"/>
          <w:szCs w:val="20"/>
          <w:lang w:eastAsia="en-AU"/>
        </w:rPr>
        <w:t>).</w:t>
      </w:r>
    </w:p>
    <w:tbl>
      <w:tblPr>
        <w:tblW w:w="0" w:type="auto"/>
        <w:tblLook w:val="04A0" w:firstRow="1" w:lastRow="0" w:firstColumn="1" w:lastColumn="0" w:noHBand="0" w:noVBand="1"/>
      </w:tblPr>
      <w:tblGrid>
        <w:gridCol w:w="4544"/>
        <w:gridCol w:w="4656"/>
      </w:tblGrid>
      <w:tr w:rsidR="001F07F2" w:rsidTr="00CC18AA">
        <w:tc>
          <w:tcPr>
            <w:tcW w:w="4600" w:type="dxa"/>
            <w:shd w:val="clear" w:color="auto" w:fill="auto"/>
            <w:noWrap/>
          </w:tcPr>
          <w:p w:rsidR="00667FC0" w:rsidRDefault="004176FF" w:rsidP="00CC18AA">
            <w:pPr>
              <w:keepNext/>
              <w:spacing w:before="240" w:line="240" w:lineRule="auto"/>
              <w:jc w:val="left"/>
            </w:pPr>
            <w:r w:rsidRPr="008F5E11">
              <w:rPr>
                <w:noProof/>
                <w:lang w:eastAsia="en-AU"/>
              </w:rPr>
              <w:drawing>
                <wp:inline distT="0" distB="0" distL="0" distR="0">
                  <wp:extent cx="2943225" cy="2733675"/>
                  <wp:effectExtent l="0" t="0" r="9525" b="9525"/>
                  <wp:docPr id="76"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2943225" cy="2733675"/>
                          </a:xfrm>
                          <a:prstGeom prst="rect">
                            <a:avLst/>
                          </a:prstGeom>
                          <a:noFill/>
                          <a:ln>
                            <a:noFill/>
                          </a:ln>
                        </pic:spPr>
                      </pic:pic>
                    </a:graphicData>
                  </a:graphic>
                </wp:inline>
              </w:drawing>
            </w:r>
          </w:p>
          <w:p w:rsidR="00667FC0" w:rsidRPr="00CC18AA" w:rsidRDefault="00667FC0" w:rsidP="00CC18AA">
            <w:pPr>
              <w:pStyle w:val="Caption"/>
              <w:jc w:val="left"/>
              <w:rPr>
                <w:lang w:val="en-US"/>
              </w:rPr>
            </w:pPr>
            <w:bookmarkStart w:id="107" w:name="_Ref459889509"/>
            <w:r>
              <w:t xml:space="preserve">Figure </w:t>
            </w:r>
            <w:fldSimple w:instr=" STYLEREF 6 \s ">
              <w:r w:rsidR="00673DAF">
                <w:rPr>
                  <w:noProof/>
                </w:rPr>
                <w:t>G</w:t>
              </w:r>
            </w:fldSimple>
            <w:r w:rsidR="00673DAF">
              <w:noBreakHyphen/>
            </w:r>
            <w:fldSimple w:instr=" SEQ Figure \* ARABIC \s 6 ">
              <w:r w:rsidR="00673DAF">
                <w:rPr>
                  <w:noProof/>
                </w:rPr>
                <w:t>11</w:t>
              </w:r>
            </w:fldSimple>
            <w:bookmarkEnd w:id="107"/>
            <w:r>
              <w:t xml:space="preserve"> </w:t>
            </w:r>
            <w:r w:rsidRPr="00041A21">
              <w:t>Mean</w:t>
            </w:r>
            <w:r>
              <w:t xml:space="preserve"> vegetation</w:t>
            </w:r>
            <w:r w:rsidRPr="00041A21">
              <w:t xml:space="preserve"> cover (%)</w:t>
            </w:r>
            <w:r w:rsidRPr="00CC18AA">
              <w:rPr>
                <w:lang w:val="en-US"/>
              </w:rPr>
              <w:t xml:space="preserve"> at sites in October 2015 and March 2016 sampling periods.</w:t>
            </w:r>
          </w:p>
          <w:p w:rsidR="001F07F2" w:rsidRPr="00CC18AA" w:rsidRDefault="001F07F2" w:rsidP="00CC18AA">
            <w:pPr>
              <w:pStyle w:val="Caption"/>
              <w:jc w:val="left"/>
              <w:rPr>
                <w:rFonts w:cs="Arial"/>
                <w:highlight w:val="yellow"/>
                <w:lang w:eastAsia="en-AU"/>
              </w:rPr>
            </w:pPr>
          </w:p>
        </w:tc>
        <w:tc>
          <w:tcPr>
            <w:tcW w:w="4600" w:type="dxa"/>
            <w:shd w:val="clear" w:color="auto" w:fill="auto"/>
            <w:noWrap/>
          </w:tcPr>
          <w:p w:rsidR="00667FC0" w:rsidRDefault="004176FF" w:rsidP="00CC18AA">
            <w:pPr>
              <w:keepNext/>
              <w:spacing w:before="240" w:line="240" w:lineRule="auto"/>
              <w:jc w:val="left"/>
            </w:pPr>
            <w:r w:rsidRPr="008F5E11">
              <w:rPr>
                <w:noProof/>
                <w:lang w:eastAsia="en-AU"/>
              </w:rPr>
              <w:drawing>
                <wp:inline distT="0" distB="0" distL="0" distR="0">
                  <wp:extent cx="3028950" cy="2733675"/>
                  <wp:effectExtent l="0" t="0" r="0" b="9525"/>
                  <wp:docPr id="77"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35">
                            <a:extLst>
                              <a:ext uri="{28A0092B-C50C-407E-A947-70E740481C1C}">
                                <a14:useLocalDpi xmlns:a14="http://schemas.microsoft.com/office/drawing/2010/main"/>
                              </a:ext>
                            </a:extLst>
                          </a:blip>
                          <a:srcRect/>
                          <a:stretch>
                            <a:fillRect/>
                          </a:stretch>
                        </pic:blipFill>
                        <pic:spPr bwMode="auto">
                          <a:xfrm>
                            <a:off x="0" y="0"/>
                            <a:ext cx="3028950" cy="2733675"/>
                          </a:xfrm>
                          <a:prstGeom prst="rect">
                            <a:avLst/>
                          </a:prstGeom>
                          <a:noFill/>
                          <a:ln>
                            <a:noFill/>
                          </a:ln>
                        </pic:spPr>
                      </pic:pic>
                    </a:graphicData>
                  </a:graphic>
                </wp:inline>
              </w:drawing>
            </w:r>
          </w:p>
          <w:p w:rsidR="001F07F2" w:rsidRPr="00CC18AA" w:rsidRDefault="00667FC0" w:rsidP="00CC18AA">
            <w:pPr>
              <w:pStyle w:val="Caption"/>
              <w:jc w:val="left"/>
              <w:rPr>
                <w:rFonts w:cs="Arial"/>
                <w:highlight w:val="yellow"/>
                <w:lang w:eastAsia="en-AU"/>
              </w:rPr>
            </w:pPr>
            <w:bookmarkStart w:id="108" w:name="_Ref459889520"/>
            <w:r>
              <w:t xml:space="preserve">Figure </w:t>
            </w:r>
            <w:fldSimple w:instr=" STYLEREF 6 \s ">
              <w:r w:rsidR="00673DAF">
                <w:rPr>
                  <w:noProof/>
                </w:rPr>
                <w:t>G</w:t>
              </w:r>
            </w:fldSimple>
            <w:r w:rsidR="00673DAF">
              <w:noBreakHyphen/>
            </w:r>
            <w:fldSimple w:instr=" SEQ Figure \* ARABIC \s 6 ">
              <w:r w:rsidR="00673DAF">
                <w:rPr>
                  <w:noProof/>
                </w:rPr>
                <w:t>12</w:t>
              </w:r>
            </w:fldSimple>
            <w:bookmarkEnd w:id="108"/>
            <w:r w:rsidRPr="00041A21">
              <w:t xml:space="preserve"> Mean</w:t>
            </w:r>
            <w:r>
              <w:t xml:space="preserve"> vegetation</w:t>
            </w:r>
            <w:r w:rsidRPr="00041A21">
              <w:t xml:space="preserve"> cover (%)</w:t>
            </w:r>
            <w:r w:rsidRPr="00CC18AA">
              <w:rPr>
                <w:lang w:val="en-US"/>
              </w:rPr>
              <w:t xml:space="preserve"> </w:t>
            </w:r>
            <w:r w:rsidRPr="00CC18AA">
              <w:rPr>
                <w:iCs/>
              </w:rPr>
              <w:t>at sites that were wet in October 2015 and dry in March 2016.</w:t>
            </w:r>
          </w:p>
        </w:tc>
      </w:tr>
    </w:tbl>
    <w:p w:rsidR="00667FC0" w:rsidRDefault="00667FC0" w:rsidP="00E809F1">
      <w:pPr>
        <w:spacing w:before="240"/>
        <w:rPr>
          <w:rFonts w:cs="Arial"/>
          <w:szCs w:val="20"/>
          <w:highlight w:val="yellow"/>
          <w:lang w:eastAsia="en-AU"/>
        </w:rPr>
      </w:pPr>
      <w:r>
        <w:rPr>
          <w:rFonts w:cs="Arial"/>
          <w:szCs w:val="20"/>
          <w:highlight w:val="yellow"/>
          <w:lang w:eastAsia="en-AU"/>
        </w:rPr>
        <w:br w:type="page"/>
      </w:r>
    </w:p>
    <w:tbl>
      <w:tblPr>
        <w:tblW w:w="5003" w:type="pct"/>
        <w:tblInd w:w="-5" w:type="dxa"/>
        <w:tblLayout w:type="fixed"/>
        <w:tblLook w:val="04A0" w:firstRow="1" w:lastRow="0" w:firstColumn="1" w:lastColumn="0" w:noHBand="0" w:noVBand="1"/>
      </w:tblPr>
      <w:tblGrid>
        <w:gridCol w:w="4682"/>
        <w:gridCol w:w="4524"/>
      </w:tblGrid>
      <w:tr w:rsidR="00E809F1" w:rsidRPr="002B0EA3" w:rsidTr="00CC18AA">
        <w:trPr>
          <w:trHeight w:val="4246"/>
        </w:trPr>
        <w:tc>
          <w:tcPr>
            <w:tcW w:w="2543" w:type="pct"/>
            <w:shd w:val="clear" w:color="auto" w:fill="auto"/>
            <w:noWrap/>
          </w:tcPr>
          <w:p w:rsidR="00E809F1" w:rsidRPr="00A576F8" w:rsidRDefault="004176FF" w:rsidP="00CC18AA">
            <w:pPr>
              <w:keepNext/>
              <w:spacing w:after="0" w:line="276" w:lineRule="auto"/>
              <w:jc w:val="left"/>
            </w:pPr>
            <w:r w:rsidRPr="008F5E11">
              <w:rPr>
                <w:noProof/>
                <w:lang w:eastAsia="en-AU"/>
              </w:rPr>
              <w:drawing>
                <wp:inline distT="0" distB="0" distL="0" distR="0">
                  <wp:extent cx="2952750" cy="2705100"/>
                  <wp:effectExtent l="0" t="0" r="0" b="0"/>
                  <wp:docPr id="78"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6">
                            <a:extLst>
                              <a:ext uri="{28A0092B-C50C-407E-A947-70E740481C1C}">
                                <a14:useLocalDpi xmlns:a14="http://schemas.microsoft.com/office/drawing/2010/main"/>
                              </a:ext>
                            </a:extLst>
                          </a:blip>
                          <a:srcRect/>
                          <a:stretch>
                            <a:fillRect/>
                          </a:stretch>
                        </pic:blipFill>
                        <pic:spPr bwMode="auto">
                          <a:xfrm>
                            <a:off x="0" y="0"/>
                            <a:ext cx="2952750" cy="2705100"/>
                          </a:xfrm>
                          <a:prstGeom prst="rect">
                            <a:avLst/>
                          </a:prstGeom>
                          <a:noFill/>
                          <a:ln>
                            <a:noFill/>
                          </a:ln>
                        </pic:spPr>
                      </pic:pic>
                    </a:graphicData>
                  </a:graphic>
                </wp:inline>
              </w:drawing>
            </w:r>
          </w:p>
          <w:p w:rsidR="00E809F1" w:rsidRPr="00CC18AA" w:rsidRDefault="00E809F1" w:rsidP="00CC18AA">
            <w:pPr>
              <w:pStyle w:val="Caption"/>
              <w:jc w:val="left"/>
              <w:rPr>
                <w:rFonts w:cs="Arial"/>
                <w:highlight w:val="yellow"/>
              </w:rPr>
            </w:pPr>
            <w:bookmarkStart w:id="109" w:name="_Ref454725003"/>
            <w:r w:rsidRPr="00A576F8">
              <w:t xml:space="preserve">Figure </w:t>
            </w:r>
            <w:fldSimple w:instr=" STYLEREF 6 \s ">
              <w:r w:rsidR="00673DAF">
                <w:rPr>
                  <w:noProof/>
                </w:rPr>
                <w:t>G</w:t>
              </w:r>
            </w:fldSimple>
            <w:r w:rsidR="00673DAF">
              <w:noBreakHyphen/>
            </w:r>
            <w:fldSimple w:instr=" SEQ Figure \* ARABIC \s 6 ">
              <w:r w:rsidR="00673DAF">
                <w:rPr>
                  <w:noProof/>
                </w:rPr>
                <w:t>13</w:t>
              </w:r>
            </w:fldSimple>
            <w:bookmarkEnd w:id="109"/>
            <w:r w:rsidRPr="00A576F8">
              <w:t xml:space="preserve"> Mean cover (%) </w:t>
            </w:r>
            <w:r w:rsidRPr="00CC18AA">
              <w:rPr>
                <w:lang w:val="en-US"/>
              </w:rPr>
              <w:t>of water couch at dry and wet sites, regardless of time.</w:t>
            </w:r>
          </w:p>
        </w:tc>
        <w:tc>
          <w:tcPr>
            <w:tcW w:w="2457" w:type="pct"/>
            <w:shd w:val="clear" w:color="auto" w:fill="auto"/>
            <w:noWrap/>
          </w:tcPr>
          <w:p w:rsidR="001F07F2" w:rsidRDefault="004176FF" w:rsidP="00CC18AA">
            <w:pPr>
              <w:keepNext/>
              <w:spacing w:after="0" w:line="276" w:lineRule="auto"/>
              <w:jc w:val="left"/>
            </w:pPr>
            <w:r w:rsidRPr="008F5E11">
              <w:rPr>
                <w:noProof/>
                <w:lang w:eastAsia="en-AU"/>
              </w:rPr>
              <w:drawing>
                <wp:inline distT="0" distB="0" distL="0" distR="0">
                  <wp:extent cx="2952750" cy="2705100"/>
                  <wp:effectExtent l="0" t="0" r="0" b="0"/>
                  <wp:docPr id="79"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2952750" cy="2705100"/>
                          </a:xfrm>
                          <a:prstGeom prst="rect">
                            <a:avLst/>
                          </a:prstGeom>
                          <a:noFill/>
                          <a:ln>
                            <a:noFill/>
                          </a:ln>
                        </pic:spPr>
                      </pic:pic>
                    </a:graphicData>
                  </a:graphic>
                </wp:inline>
              </w:drawing>
            </w:r>
          </w:p>
          <w:p w:rsidR="00E809F1" w:rsidRPr="00CC18AA" w:rsidRDefault="001F07F2" w:rsidP="00CC18AA">
            <w:pPr>
              <w:pStyle w:val="Caption"/>
              <w:jc w:val="left"/>
              <w:rPr>
                <w:rFonts w:cs="Arial"/>
                <w:highlight w:val="yellow"/>
              </w:rPr>
            </w:pPr>
            <w:bookmarkStart w:id="110" w:name="_Ref459889578"/>
            <w:r>
              <w:t xml:space="preserve">Figure </w:t>
            </w:r>
            <w:fldSimple w:instr=" STYLEREF 6 \s ">
              <w:r w:rsidR="00673DAF">
                <w:rPr>
                  <w:noProof/>
                </w:rPr>
                <w:t>G</w:t>
              </w:r>
            </w:fldSimple>
            <w:r w:rsidR="00673DAF">
              <w:noBreakHyphen/>
            </w:r>
            <w:fldSimple w:instr=" SEQ Figure \* ARABIC \s 6 ">
              <w:r w:rsidR="00673DAF">
                <w:rPr>
                  <w:noProof/>
                </w:rPr>
                <w:t>14</w:t>
              </w:r>
            </w:fldSimple>
            <w:bookmarkEnd w:id="110"/>
            <w:r>
              <w:t xml:space="preserve"> </w:t>
            </w:r>
            <w:r w:rsidRPr="00A576F8">
              <w:t xml:space="preserve">Mean cover (%) </w:t>
            </w:r>
            <w:r w:rsidRPr="00CC18AA">
              <w:rPr>
                <w:lang w:val="en-US"/>
              </w:rPr>
              <w:t xml:space="preserve">of water couch at sites </w:t>
            </w:r>
            <w:r w:rsidRPr="00A576F8">
              <w:t xml:space="preserve">in </w:t>
            </w:r>
            <w:r>
              <w:t>October 2015 and March 2016</w:t>
            </w:r>
            <w:r w:rsidRPr="00A576F8">
              <w:t xml:space="preserve"> sampling periods.</w:t>
            </w:r>
          </w:p>
        </w:tc>
      </w:tr>
      <w:tr w:rsidR="00E809F1" w:rsidRPr="002B0EA3" w:rsidTr="00CC18AA">
        <w:trPr>
          <w:trHeight w:val="422"/>
        </w:trPr>
        <w:tc>
          <w:tcPr>
            <w:tcW w:w="2543" w:type="pct"/>
            <w:shd w:val="clear" w:color="auto" w:fill="auto"/>
            <w:noWrap/>
          </w:tcPr>
          <w:p w:rsidR="00E809F1" w:rsidRPr="00CC18AA" w:rsidRDefault="00E809F1" w:rsidP="00CC18AA">
            <w:pPr>
              <w:pStyle w:val="Caption"/>
              <w:spacing w:before="0" w:after="0"/>
              <w:jc w:val="left"/>
              <w:rPr>
                <w:highlight w:val="yellow"/>
                <w:lang w:val="en-US"/>
              </w:rPr>
            </w:pPr>
          </w:p>
          <w:p w:rsidR="00533BC2" w:rsidRPr="00CC18AA" w:rsidRDefault="00533BC2" w:rsidP="00533BC2">
            <w:pPr>
              <w:rPr>
                <w:highlight w:val="yellow"/>
                <w:lang w:val="en-US"/>
              </w:rPr>
            </w:pPr>
          </w:p>
        </w:tc>
        <w:tc>
          <w:tcPr>
            <w:tcW w:w="2457" w:type="pct"/>
            <w:shd w:val="clear" w:color="auto" w:fill="auto"/>
            <w:noWrap/>
          </w:tcPr>
          <w:p w:rsidR="00E809F1" w:rsidRPr="00CC18AA" w:rsidRDefault="00E809F1" w:rsidP="00CC18AA">
            <w:pPr>
              <w:pStyle w:val="Caption"/>
              <w:spacing w:before="0" w:after="0"/>
              <w:jc w:val="left"/>
              <w:rPr>
                <w:highlight w:val="yellow"/>
              </w:rPr>
            </w:pPr>
          </w:p>
        </w:tc>
      </w:tr>
      <w:tr w:rsidR="00E809F1" w:rsidRPr="002B0EA3" w:rsidTr="00CC18AA">
        <w:trPr>
          <w:trHeight w:val="4347"/>
        </w:trPr>
        <w:tc>
          <w:tcPr>
            <w:tcW w:w="2543" w:type="pct"/>
            <w:shd w:val="clear" w:color="auto" w:fill="auto"/>
            <w:noWrap/>
          </w:tcPr>
          <w:p w:rsidR="00E809F1" w:rsidRDefault="004176FF" w:rsidP="00CC18AA">
            <w:pPr>
              <w:pStyle w:val="Caption"/>
              <w:keepNext/>
              <w:spacing w:before="0" w:after="0"/>
              <w:jc w:val="left"/>
            </w:pPr>
            <w:r w:rsidRPr="008F5E11">
              <w:rPr>
                <w:noProof/>
                <w:lang w:eastAsia="en-AU"/>
              </w:rPr>
              <w:drawing>
                <wp:inline distT="0" distB="0" distL="0" distR="0">
                  <wp:extent cx="3028950" cy="2705100"/>
                  <wp:effectExtent l="0" t="0" r="0" b="0"/>
                  <wp:docPr id="80"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8">
                            <a:extLst>
                              <a:ext uri="{28A0092B-C50C-407E-A947-70E740481C1C}">
                                <a14:useLocalDpi xmlns:a14="http://schemas.microsoft.com/office/drawing/2010/main"/>
                              </a:ext>
                            </a:extLst>
                          </a:blip>
                          <a:srcRect/>
                          <a:stretch>
                            <a:fillRect/>
                          </a:stretch>
                        </pic:blipFill>
                        <pic:spPr bwMode="auto">
                          <a:xfrm>
                            <a:off x="0" y="0"/>
                            <a:ext cx="3028950" cy="2705100"/>
                          </a:xfrm>
                          <a:prstGeom prst="rect">
                            <a:avLst/>
                          </a:prstGeom>
                          <a:noFill/>
                          <a:ln>
                            <a:noFill/>
                          </a:ln>
                        </pic:spPr>
                      </pic:pic>
                    </a:graphicData>
                  </a:graphic>
                </wp:inline>
              </w:drawing>
            </w:r>
          </w:p>
          <w:p w:rsidR="00E809F1" w:rsidRDefault="00E809F1" w:rsidP="00CC18AA">
            <w:pPr>
              <w:pStyle w:val="Caption"/>
              <w:jc w:val="left"/>
            </w:pPr>
            <w:bookmarkStart w:id="111" w:name="_Ref455570296"/>
            <w:r>
              <w:t xml:space="preserve">Figure </w:t>
            </w:r>
            <w:fldSimple w:instr=" STYLEREF 6 \s ">
              <w:r w:rsidR="00673DAF">
                <w:rPr>
                  <w:noProof/>
                </w:rPr>
                <w:t>G</w:t>
              </w:r>
            </w:fldSimple>
            <w:r w:rsidR="00673DAF">
              <w:noBreakHyphen/>
            </w:r>
            <w:fldSimple w:instr=" SEQ Figure \* ARABIC \s 6 ">
              <w:r w:rsidR="00673DAF">
                <w:rPr>
                  <w:noProof/>
                </w:rPr>
                <w:t>15</w:t>
              </w:r>
            </w:fldSimple>
            <w:bookmarkEnd w:id="111"/>
            <w:r>
              <w:t xml:space="preserve"> Mean cover (%) of l</w:t>
            </w:r>
            <w:r w:rsidRPr="00A751F3">
              <w:t>ippia at dry and wet sites, regardless of time.</w:t>
            </w:r>
          </w:p>
          <w:p w:rsidR="00E809F1" w:rsidRPr="00CC18AA" w:rsidRDefault="00E809F1" w:rsidP="00CC18AA">
            <w:pPr>
              <w:jc w:val="left"/>
              <w:rPr>
                <w:b/>
                <w:highlight w:val="yellow"/>
                <w:lang w:val="en-US"/>
              </w:rPr>
            </w:pPr>
          </w:p>
        </w:tc>
        <w:tc>
          <w:tcPr>
            <w:tcW w:w="2457" w:type="pct"/>
            <w:shd w:val="clear" w:color="auto" w:fill="auto"/>
            <w:noWrap/>
          </w:tcPr>
          <w:p w:rsidR="001F07F2" w:rsidRDefault="004176FF" w:rsidP="00CC18AA">
            <w:pPr>
              <w:pStyle w:val="Caption"/>
              <w:keepNext/>
              <w:spacing w:before="0" w:after="0"/>
              <w:jc w:val="left"/>
            </w:pPr>
            <w:r w:rsidRPr="008F5E11">
              <w:rPr>
                <w:noProof/>
                <w:lang w:eastAsia="en-AU"/>
              </w:rPr>
              <w:drawing>
                <wp:inline distT="0" distB="0" distL="0" distR="0">
                  <wp:extent cx="3295650" cy="2705100"/>
                  <wp:effectExtent l="0" t="0" r="0" b="0"/>
                  <wp:docPr id="81"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3295650" cy="2705100"/>
                          </a:xfrm>
                          <a:prstGeom prst="rect">
                            <a:avLst/>
                          </a:prstGeom>
                          <a:noFill/>
                          <a:ln>
                            <a:noFill/>
                          </a:ln>
                        </pic:spPr>
                      </pic:pic>
                    </a:graphicData>
                  </a:graphic>
                </wp:inline>
              </w:drawing>
            </w:r>
          </w:p>
          <w:p w:rsidR="00E809F1" w:rsidRPr="00CC18AA" w:rsidRDefault="001F07F2" w:rsidP="00CC18AA">
            <w:pPr>
              <w:pStyle w:val="Caption"/>
              <w:jc w:val="left"/>
              <w:rPr>
                <w:highlight w:val="yellow"/>
              </w:rPr>
            </w:pPr>
            <w:bookmarkStart w:id="112" w:name="_Ref459889616"/>
            <w:r>
              <w:t xml:space="preserve">Figure </w:t>
            </w:r>
            <w:fldSimple w:instr=" STYLEREF 6 \s ">
              <w:r w:rsidR="00673DAF">
                <w:rPr>
                  <w:noProof/>
                </w:rPr>
                <w:t>G</w:t>
              </w:r>
            </w:fldSimple>
            <w:r w:rsidR="00673DAF">
              <w:noBreakHyphen/>
            </w:r>
            <w:fldSimple w:instr=" SEQ Figure \* ARABIC \s 6 ">
              <w:r w:rsidR="00673DAF">
                <w:rPr>
                  <w:noProof/>
                </w:rPr>
                <w:t>16</w:t>
              </w:r>
            </w:fldSimple>
            <w:bookmarkEnd w:id="112"/>
            <w:r>
              <w:t xml:space="preserve"> Mean cover (%) of lippia at sites that were wet in October 2015 and dry in March 2016</w:t>
            </w:r>
          </w:p>
          <w:p w:rsidR="00E809F1" w:rsidRPr="00CC18AA" w:rsidRDefault="00E809F1" w:rsidP="00CC18AA">
            <w:pPr>
              <w:spacing w:after="0" w:line="276" w:lineRule="auto"/>
              <w:jc w:val="left"/>
              <w:rPr>
                <w:rFonts w:cs="Arial"/>
                <w:szCs w:val="20"/>
                <w:highlight w:val="yellow"/>
              </w:rPr>
            </w:pPr>
          </w:p>
        </w:tc>
      </w:tr>
    </w:tbl>
    <w:p w:rsidR="00A77281" w:rsidRDefault="00A77281"/>
    <w:p w:rsidR="00A77281" w:rsidRDefault="00A77281"/>
    <w:p w:rsidR="00A77281" w:rsidRDefault="00A77281"/>
    <w:p w:rsidR="00A77281" w:rsidRDefault="00A77281"/>
    <w:p w:rsidR="009524AD" w:rsidRDefault="004176FF" w:rsidP="001F07F2">
      <w:pPr>
        <w:keepNext/>
        <w:spacing w:line="240" w:lineRule="auto"/>
        <w:jc w:val="center"/>
      </w:pPr>
      <w:r w:rsidRPr="008F5E11">
        <w:rPr>
          <w:noProof/>
          <w:lang w:eastAsia="en-AU"/>
        </w:rPr>
        <w:drawing>
          <wp:inline distT="0" distB="0" distL="0" distR="0">
            <wp:extent cx="5038725" cy="3781425"/>
            <wp:effectExtent l="19050" t="19050" r="28575" b="28575"/>
            <wp:docPr id="82" name="Picture 283" descr="N:\Projects\15ARM\2427 Gwydir LTIM Stage 2 - Year 2\Indicators\Indicators (Y2)\Vegetation diversity\LTIM Gingham Watercourse veg site pics 2015\Westholme Coolibah NW cn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N:\Projects\15ARM\2427 Gwydir LTIM Stage 2 - Year 2\Indicators\Indicators (Y2)\Vegetation diversity\LTIM Gingham Watercourse veg site pics 2015\Westholme Coolibah NW cnr.JPG"/>
                    <pic:cNvPicPr>
                      <a:picLocks noChangeAspect="1" noChangeArrowheads="1"/>
                    </pic:cNvPicPr>
                  </pic:nvPicPr>
                  <pic:blipFill>
                    <a:blip r:embed="rId140">
                      <a:extLst>
                        <a:ext uri="{28A0092B-C50C-407E-A947-70E740481C1C}">
                          <a14:useLocalDpi xmlns:a14="http://schemas.microsoft.com/office/drawing/2010/main"/>
                        </a:ext>
                      </a:extLst>
                    </a:blip>
                    <a:srcRect/>
                    <a:stretch>
                      <a:fillRect/>
                    </a:stretch>
                  </pic:blipFill>
                  <pic:spPr bwMode="auto">
                    <a:xfrm>
                      <a:off x="0" y="0"/>
                      <a:ext cx="5038725" cy="3781425"/>
                    </a:xfrm>
                    <a:prstGeom prst="rect">
                      <a:avLst/>
                    </a:prstGeom>
                    <a:noFill/>
                    <a:ln w="9525" cmpd="sng">
                      <a:solidFill>
                        <a:srgbClr val="7F7F7F"/>
                      </a:solidFill>
                      <a:miter lim="800000"/>
                      <a:headEnd/>
                      <a:tailEnd/>
                    </a:ln>
                    <a:effectLst/>
                  </pic:spPr>
                </pic:pic>
              </a:graphicData>
            </a:graphic>
          </wp:inline>
        </w:drawing>
      </w:r>
    </w:p>
    <w:p w:rsidR="005D145A" w:rsidRDefault="004176FF" w:rsidP="001F07F2">
      <w:pPr>
        <w:keepNext/>
        <w:spacing w:line="240" w:lineRule="auto"/>
        <w:jc w:val="center"/>
      </w:pPr>
      <w:r w:rsidRPr="008F5E11">
        <w:rPr>
          <w:noProof/>
          <w:lang w:eastAsia="en-AU"/>
        </w:rPr>
        <w:drawing>
          <wp:inline distT="0" distB="0" distL="0" distR="0">
            <wp:extent cx="5038725" cy="3781425"/>
            <wp:effectExtent l="19050" t="19050" r="28575" b="28575"/>
            <wp:docPr id="83" name="Picture 280" descr="N:\Projects\15ARM\2427 Gwydir LTIM Stage 2 - Year 2\Indicators\Indicators (Y2)\Vegetation diversity\LTIM Gingham Watercourse veg site pics 2015\Bunnor 1-3 NW cn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N:\Projects\15ARM\2427 Gwydir LTIM Stage 2 - Year 2\Indicators\Indicators (Y2)\Vegetation diversity\LTIM Gingham Watercourse veg site pics 2015\Bunnor 1-3 NW cnr.JPG"/>
                    <pic:cNvPicPr>
                      <a:picLocks noChangeAspect="1" noChangeArrowheads="1"/>
                    </pic:cNvPicPr>
                  </pic:nvPicPr>
                  <pic:blipFill>
                    <a:blip r:embed="rId141">
                      <a:extLst>
                        <a:ext uri="{28A0092B-C50C-407E-A947-70E740481C1C}">
                          <a14:useLocalDpi xmlns:a14="http://schemas.microsoft.com/office/drawing/2010/main"/>
                        </a:ext>
                      </a:extLst>
                    </a:blip>
                    <a:srcRect/>
                    <a:stretch>
                      <a:fillRect/>
                    </a:stretch>
                  </pic:blipFill>
                  <pic:spPr bwMode="auto">
                    <a:xfrm>
                      <a:off x="0" y="0"/>
                      <a:ext cx="5038725" cy="3781425"/>
                    </a:xfrm>
                    <a:prstGeom prst="rect">
                      <a:avLst/>
                    </a:prstGeom>
                    <a:noFill/>
                    <a:ln w="9525" cmpd="sng">
                      <a:solidFill>
                        <a:srgbClr val="7F7F7F"/>
                      </a:solidFill>
                      <a:miter lim="800000"/>
                      <a:headEnd/>
                      <a:tailEnd/>
                    </a:ln>
                    <a:effectLst/>
                  </pic:spPr>
                </pic:pic>
              </a:graphicData>
            </a:graphic>
          </wp:inline>
        </w:drawing>
      </w:r>
    </w:p>
    <w:p w:rsidR="00A77281" w:rsidRDefault="005D145A" w:rsidP="005D145A">
      <w:pPr>
        <w:pStyle w:val="Caption"/>
      </w:pPr>
      <w:bookmarkStart w:id="113" w:name="_Ref459284870"/>
      <w:r>
        <w:t xml:space="preserve">Figure </w:t>
      </w:r>
      <w:fldSimple w:instr=" STYLEREF 6 \s ">
        <w:r w:rsidR="00673DAF">
          <w:rPr>
            <w:noProof/>
          </w:rPr>
          <w:t>G</w:t>
        </w:r>
      </w:fldSimple>
      <w:r w:rsidR="00673DAF">
        <w:noBreakHyphen/>
      </w:r>
      <w:fldSimple w:instr=" SEQ Figure \* ARABIC \s 6 ">
        <w:r w:rsidR="00673DAF">
          <w:rPr>
            <w:noProof/>
          </w:rPr>
          <w:t>17</w:t>
        </w:r>
      </w:fldSimple>
      <w:bookmarkEnd w:id="113"/>
      <w:r>
        <w:t xml:space="preserve"> Vegetation diversity monitoring plots showing greater cover of </w:t>
      </w:r>
      <w:r w:rsidR="001F07F2">
        <w:t>lippia in a dry site (top foregr</w:t>
      </w:r>
      <w:r>
        <w:t>ound) compared to a wet site (bottom)</w:t>
      </w:r>
    </w:p>
    <w:tbl>
      <w:tblPr>
        <w:tblW w:w="5010" w:type="pct"/>
        <w:tblLayout w:type="fixed"/>
        <w:tblLook w:val="04A0" w:firstRow="1" w:lastRow="0" w:firstColumn="1" w:lastColumn="0" w:noHBand="0" w:noVBand="1"/>
      </w:tblPr>
      <w:tblGrid>
        <w:gridCol w:w="4677"/>
        <w:gridCol w:w="4541"/>
      </w:tblGrid>
      <w:tr w:rsidR="00E809F1" w:rsidRPr="002B0EA3" w:rsidTr="00CC18AA">
        <w:trPr>
          <w:trHeight w:val="508"/>
        </w:trPr>
        <w:tc>
          <w:tcPr>
            <w:tcW w:w="2537" w:type="pct"/>
            <w:shd w:val="clear" w:color="auto" w:fill="auto"/>
            <w:noWrap/>
          </w:tcPr>
          <w:p w:rsidR="00E809F1" w:rsidRPr="00CC18AA" w:rsidRDefault="00A77281" w:rsidP="00CC18AA">
            <w:pPr>
              <w:keepNext/>
              <w:spacing w:after="0" w:line="276" w:lineRule="auto"/>
              <w:jc w:val="left"/>
              <w:rPr>
                <w:sz w:val="18"/>
                <w:szCs w:val="18"/>
              </w:rPr>
            </w:pPr>
            <w:r>
              <w:br w:type="page"/>
            </w:r>
            <w:r w:rsidR="004176FF" w:rsidRPr="00CC18AA">
              <w:rPr>
                <w:noProof/>
                <w:sz w:val="18"/>
                <w:szCs w:val="18"/>
                <w:lang w:eastAsia="en-AU"/>
              </w:rPr>
              <w:drawing>
                <wp:inline distT="0" distB="0" distL="0" distR="0">
                  <wp:extent cx="3028950" cy="2971800"/>
                  <wp:effectExtent l="0" t="0" r="0" b="0"/>
                  <wp:docPr id="8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3028950" cy="2971800"/>
                          </a:xfrm>
                          <a:prstGeom prst="rect">
                            <a:avLst/>
                          </a:prstGeom>
                          <a:noFill/>
                          <a:ln>
                            <a:noFill/>
                          </a:ln>
                        </pic:spPr>
                      </pic:pic>
                    </a:graphicData>
                  </a:graphic>
                </wp:inline>
              </w:drawing>
            </w:r>
          </w:p>
          <w:p w:rsidR="00E809F1" w:rsidRPr="00CC18AA" w:rsidRDefault="00E809F1" w:rsidP="00CC18AA">
            <w:pPr>
              <w:pStyle w:val="Caption"/>
              <w:spacing w:before="0" w:after="0"/>
              <w:jc w:val="left"/>
              <w:rPr>
                <w:highlight w:val="yellow"/>
                <w:lang w:val="en-US"/>
              </w:rPr>
            </w:pPr>
            <w:bookmarkStart w:id="114" w:name="_Ref454732249"/>
            <w:r>
              <w:t xml:space="preserve">Figure </w:t>
            </w:r>
            <w:fldSimple w:instr=" STYLEREF 6 \s ">
              <w:r w:rsidR="00673DAF">
                <w:rPr>
                  <w:noProof/>
                </w:rPr>
                <w:t>G</w:t>
              </w:r>
            </w:fldSimple>
            <w:r w:rsidR="00673DAF">
              <w:noBreakHyphen/>
            </w:r>
            <w:fldSimple w:instr=" SEQ Figure \* ARABIC \s 6 ">
              <w:r w:rsidR="00673DAF">
                <w:rPr>
                  <w:noProof/>
                </w:rPr>
                <w:t>18</w:t>
              </w:r>
            </w:fldSimple>
            <w:bookmarkEnd w:id="114"/>
            <w:r>
              <w:rPr>
                <w:noProof/>
              </w:rPr>
              <w:t xml:space="preserve"> </w:t>
            </w:r>
            <w:r w:rsidRPr="00355D56">
              <w:t xml:space="preserve">Mean cover (%) </w:t>
            </w:r>
            <w:r w:rsidRPr="00CC18AA">
              <w:rPr>
                <w:lang w:val="en-US"/>
              </w:rPr>
              <w:t xml:space="preserve">of flat spike-sedge at sites </w:t>
            </w:r>
            <w:r w:rsidRPr="00355D56">
              <w:t>in October 2015 and March 2016 sampling periods.</w:t>
            </w:r>
          </w:p>
        </w:tc>
        <w:tc>
          <w:tcPr>
            <w:tcW w:w="2463" w:type="pct"/>
            <w:shd w:val="clear" w:color="auto" w:fill="auto"/>
            <w:noWrap/>
          </w:tcPr>
          <w:p w:rsidR="00E809F1" w:rsidRPr="00CC18AA" w:rsidRDefault="004176FF" w:rsidP="00CC18AA">
            <w:pPr>
              <w:keepNext/>
              <w:spacing w:after="0" w:line="276" w:lineRule="auto"/>
              <w:jc w:val="left"/>
              <w:rPr>
                <w:rFonts w:cs="Arial"/>
              </w:rPr>
            </w:pPr>
            <w:r w:rsidRPr="00CC18AA">
              <w:rPr>
                <w:rFonts w:cs="Arial"/>
                <w:noProof/>
                <w:lang w:eastAsia="en-AU"/>
              </w:rPr>
              <w:drawing>
                <wp:inline distT="0" distB="0" distL="0" distR="0">
                  <wp:extent cx="3152775" cy="2867025"/>
                  <wp:effectExtent l="0" t="0" r="9525" b="9525"/>
                  <wp:docPr id="85"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3152775" cy="2867025"/>
                          </a:xfrm>
                          <a:prstGeom prst="rect">
                            <a:avLst/>
                          </a:prstGeom>
                          <a:noFill/>
                          <a:ln>
                            <a:noFill/>
                          </a:ln>
                        </pic:spPr>
                      </pic:pic>
                    </a:graphicData>
                  </a:graphic>
                </wp:inline>
              </w:drawing>
            </w:r>
          </w:p>
          <w:p w:rsidR="00E809F1" w:rsidRPr="00CC18AA" w:rsidRDefault="00E809F1" w:rsidP="00CC18AA">
            <w:pPr>
              <w:pStyle w:val="Caption"/>
              <w:ind w:left="112" w:right="-127"/>
              <w:jc w:val="left"/>
              <w:rPr>
                <w:iCs/>
              </w:rPr>
            </w:pPr>
            <w:bookmarkStart w:id="115" w:name="_Ref455142743"/>
            <w:bookmarkStart w:id="116" w:name="_Ref455142738"/>
            <w:r>
              <w:t xml:space="preserve">Figure </w:t>
            </w:r>
            <w:fldSimple w:instr=" STYLEREF 6 \s ">
              <w:r w:rsidR="00673DAF">
                <w:rPr>
                  <w:noProof/>
                </w:rPr>
                <w:t>G</w:t>
              </w:r>
            </w:fldSimple>
            <w:r w:rsidR="00673DAF">
              <w:noBreakHyphen/>
            </w:r>
            <w:fldSimple w:instr=" SEQ Figure \* ARABIC \s 6 ">
              <w:r w:rsidR="00673DAF">
                <w:rPr>
                  <w:noProof/>
                </w:rPr>
                <w:t>19</w:t>
              </w:r>
            </w:fldSimple>
            <w:bookmarkEnd w:id="115"/>
            <w:r>
              <w:t xml:space="preserve"> </w:t>
            </w:r>
            <w:r w:rsidRPr="00355D56">
              <w:t xml:space="preserve">Mean cover (%) </w:t>
            </w:r>
            <w:r w:rsidRPr="00CC18AA">
              <w:rPr>
                <w:lang w:val="en-US"/>
              </w:rPr>
              <w:t xml:space="preserve">of flat spike-sedge </w:t>
            </w:r>
            <w:r w:rsidRPr="00CC18AA">
              <w:rPr>
                <w:iCs/>
              </w:rPr>
              <w:t>at sites that were wet in October 2015 and dry in March 2016.</w:t>
            </w:r>
            <w:bookmarkEnd w:id="116"/>
          </w:p>
        </w:tc>
      </w:tr>
    </w:tbl>
    <w:p w:rsidR="00E809F1" w:rsidRDefault="00E809F1" w:rsidP="00E809F1">
      <w:pPr>
        <w:spacing w:after="160" w:line="259" w:lineRule="auto"/>
        <w:jc w:val="left"/>
        <w:rPr>
          <w:highlight w:val="yellow"/>
        </w:rPr>
      </w:pPr>
      <w:bookmarkStart w:id="117" w:name="_Toc426839288"/>
    </w:p>
    <w:p w:rsidR="00E809F1" w:rsidRDefault="00E809F1" w:rsidP="00BF6C2B">
      <w:pPr>
        <w:pStyle w:val="Heading8"/>
      </w:pPr>
      <w:r w:rsidRPr="00F8325F">
        <w:t>Multi</w:t>
      </w:r>
      <w:r>
        <w:t>-</w:t>
      </w:r>
      <w:r w:rsidRPr="00F8325F">
        <w:t>year comparisons</w:t>
      </w:r>
    </w:p>
    <w:p w:rsidR="00E809F1" w:rsidRDefault="00E809F1" w:rsidP="00BF6C2B">
      <w:pPr>
        <w:pStyle w:val="Heading9"/>
      </w:pPr>
      <w:r>
        <w:t>Vegetation species richness</w:t>
      </w:r>
    </w:p>
    <w:p w:rsidR="00E809F1" w:rsidRDefault="00E809F1" w:rsidP="00E809F1">
      <w:r>
        <w:t xml:space="preserve">The binomial model </w:t>
      </w:r>
      <w:r w:rsidR="005D145A">
        <w:t>for</w:t>
      </w:r>
      <w:r>
        <w:t xml:space="preserve"> species richness data from both year 1 and 2 suggested that sampling time is having the greatest influence on species number (Pr&lt;0.001), with significantly higher mean richness in December 2014 (25.6 species), compared to March 201</w:t>
      </w:r>
      <w:r w:rsidR="004D71C6">
        <w:t>5</w:t>
      </w:r>
      <w:r>
        <w:t xml:space="preserve"> (17.1 species), October 2015 (15.2 species) and March 2016 (14.2 species)</w:t>
      </w:r>
      <w:r w:rsidR="007A4B16">
        <w:t>(</w:t>
      </w:r>
      <w:r w:rsidR="007A4B16">
        <w:fldChar w:fldCharType="begin"/>
      </w:r>
      <w:r w:rsidR="007A4B16">
        <w:instrText xml:space="preserve"> REF _Ref466361495 \h </w:instrText>
      </w:r>
      <w:r w:rsidR="007A4B16">
        <w:fldChar w:fldCharType="separate"/>
      </w:r>
      <w:r w:rsidR="005D5925">
        <w:t xml:space="preserve">Figure </w:t>
      </w:r>
      <w:r w:rsidR="005D5925">
        <w:rPr>
          <w:noProof/>
        </w:rPr>
        <w:t>G</w:t>
      </w:r>
      <w:r w:rsidR="005D5925">
        <w:noBreakHyphen/>
      </w:r>
      <w:r w:rsidR="005D5925">
        <w:rPr>
          <w:noProof/>
        </w:rPr>
        <w:t>20</w:t>
      </w:r>
      <w:r w:rsidR="007A4B16">
        <w:fldChar w:fldCharType="end"/>
      </w:r>
      <w:r w:rsidR="007A4B16">
        <w:t>)</w:t>
      </w:r>
      <w:r>
        <w:t>.</w:t>
      </w:r>
      <w:r w:rsidR="00A97349">
        <w:t xml:space="preserve"> </w:t>
      </w:r>
      <w:r>
        <w:t xml:space="preserve"> Similarly, </w:t>
      </w:r>
      <w:r w:rsidR="00605C43">
        <w:t>system</w:t>
      </w:r>
      <w:r>
        <w:t xml:space="preserve"> (Pr&lt;0.001) and vegetation community (Pr&lt;0.001) are also significantly influencing species richness data. </w:t>
      </w:r>
      <w:r w:rsidR="00A97349">
        <w:t xml:space="preserve"> </w:t>
      </w:r>
      <w:r>
        <w:t>Overall, the presence of water appears to be only having a weakly significant influence on species richness (P</w:t>
      </w:r>
      <w:r w:rsidR="00000657">
        <w:t>r&lt;0.05) with dry sites having a</w:t>
      </w:r>
      <w:r>
        <w:t xml:space="preserve"> mean of 18.1 species and wet sites a mean of 16.7 species.</w:t>
      </w:r>
    </w:p>
    <w:p w:rsidR="007A4B16" w:rsidRDefault="004176FF" w:rsidP="007A4B16">
      <w:pPr>
        <w:keepNext/>
        <w:spacing w:line="240" w:lineRule="auto"/>
      </w:pPr>
      <w:r w:rsidRPr="008F5E11">
        <w:rPr>
          <w:noProof/>
          <w:lang w:eastAsia="en-AU"/>
        </w:rPr>
        <w:drawing>
          <wp:inline distT="0" distB="0" distL="0" distR="0">
            <wp:extent cx="5372100" cy="2743200"/>
            <wp:effectExtent l="0" t="0" r="0" b="0"/>
            <wp:docPr id="86"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5372100" cy="2743200"/>
                    </a:xfrm>
                    <a:prstGeom prst="rect">
                      <a:avLst/>
                    </a:prstGeom>
                    <a:noFill/>
                    <a:ln>
                      <a:noFill/>
                    </a:ln>
                  </pic:spPr>
                </pic:pic>
              </a:graphicData>
            </a:graphic>
          </wp:inline>
        </w:drawing>
      </w:r>
    </w:p>
    <w:p w:rsidR="007A4B16" w:rsidRDefault="007A4B16" w:rsidP="007A4B16">
      <w:pPr>
        <w:pStyle w:val="Caption"/>
      </w:pPr>
      <w:bookmarkStart w:id="118" w:name="_Ref466361495"/>
      <w:r>
        <w:t xml:space="preserve">Figure </w:t>
      </w:r>
      <w:fldSimple w:instr=" STYLEREF 6 \s ">
        <w:r w:rsidR="00673DAF">
          <w:rPr>
            <w:noProof/>
          </w:rPr>
          <w:t>G</w:t>
        </w:r>
      </w:fldSimple>
      <w:r w:rsidR="00673DAF">
        <w:noBreakHyphen/>
      </w:r>
      <w:fldSimple w:instr=" SEQ Figure \* ARABIC \s 6 ">
        <w:r w:rsidR="00673DAF">
          <w:rPr>
            <w:noProof/>
          </w:rPr>
          <w:t>20</w:t>
        </w:r>
      </w:fldSimple>
      <w:bookmarkEnd w:id="118"/>
      <w:r>
        <w:t xml:space="preserve"> Mean number of species recorded during surveys in year 1 and 2 of the project.</w:t>
      </w:r>
    </w:p>
    <w:p w:rsidR="00E809F1" w:rsidRPr="00F8325F" w:rsidRDefault="00E809F1" w:rsidP="00BF6C2B">
      <w:pPr>
        <w:pStyle w:val="Heading9"/>
      </w:pPr>
      <w:r>
        <w:t>Vegetation community c</w:t>
      </w:r>
      <w:r w:rsidRPr="00F8325F">
        <w:t>omposition</w:t>
      </w:r>
    </w:p>
    <w:p w:rsidR="00E809F1" w:rsidRDefault="00E809F1" w:rsidP="00E809F1">
      <w:r>
        <w:t>Separation in the community composition data was observed when grouped by sampling time (including the four sampling times from years 1 and 2 of the project) and inundation (</w:t>
      </w:r>
      <w:r w:rsidR="00A97349">
        <w:fldChar w:fldCharType="begin"/>
      </w:r>
      <w:r w:rsidR="00A97349">
        <w:instrText xml:space="preserve"> REF _Ref453939006 \h </w:instrText>
      </w:r>
      <w:r w:rsidR="00A97349">
        <w:fldChar w:fldCharType="separate"/>
      </w:r>
      <w:r w:rsidR="005D5925">
        <w:t xml:space="preserve">Figure </w:t>
      </w:r>
      <w:r w:rsidR="005D5925">
        <w:rPr>
          <w:noProof/>
        </w:rPr>
        <w:t>G</w:t>
      </w:r>
      <w:r w:rsidR="005D5925">
        <w:noBreakHyphen/>
      </w:r>
      <w:r w:rsidR="005D5925">
        <w:rPr>
          <w:noProof/>
        </w:rPr>
        <w:t>21</w:t>
      </w:r>
      <w:r w:rsidR="00A97349">
        <w:fldChar w:fldCharType="end"/>
      </w:r>
      <w:r w:rsidR="00A97349">
        <w:t xml:space="preserve"> </w:t>
      </w:r>
      <w:r>
        <w:t xml:space="preserve">). </w:t>
      </w:r>
      <w:r w:rsidR="00A97349">
        <w:t xml:space="preserve"> </w:t>
      </w:r>
      <w:r>
        <w:t xml:space="preserve">The clustering of the wet sites suggests that the community composition of the sites is more similar than those in dry sites. </w:t>
      </w:r>
      <w:r w:rsidR="00A97349">
        <w:t xml:space="preserve"> </w:t>
      </w:r>
      <w:r>
        <w:t xml:space="preserve">A two way multivariate PERMANOVA model was run to assess the influence of sampling time and inundation. This model suggested that both sampling time (Pseudo-F=1.73, Pr&lt;0.05) and inundation (Pseudo-F=4.04, Pr&lt;0.005) were significantly influencing the data. A significant interaction was also apparent (Pseudo-F=3.65, Pr&lt;0.005). </w:t>
      </w:r>
      <w:r w:rsidR="00A97349">
        <w:t xml:space="preserve"> </w:t>
      </w:r>
      <w:r>
        <w:t>Pairwise comparisons suggest</w:t>
      </w:r>
      <w:r w:rsidR="005D145A">
        <w:t>s</w:t>
      </w:r>
      <w:r>
        <w:t xml:space="preserve"> that wet and dry plots were significantly different within all years, and that wet and dry plots were generally significantly different between years, except for dry plots in March and October 2015 (</w:t>
      </w:r>
      <w:r>
        <w:fldChar w:fldCharType="begin"/>
      </w:r>
      <w:r>
        <w:instrText xml:space="preserve"> REF _Ref453939033 \h </w:instrText>
      </w:r>
      <w:r>
        <w:fldChar w:fldCharType="separate"/>
      </w:r>
      <w:r w:rsidR="005D5925">
        <w:t xml:space="preserve">Table </w:t>
      </w:r>
      <w:r w:rsidR="005D5925">
        <w:rPr>
          <w:noProof/>
        </w:rPr>
        <w:t>G</w:t>
      </w:r>
      <w:r w:rsidR="005D5925">
        <w:noBreakHyphen/>
      </w:r>
      <w:r w:rsidR="005D5925">
        <w:rPr>
          <w:noProof/>
        </w:rPr>
        <w:t>3</w:t>
      </w:r>
      <w:r>
        <w:fldChar w:fldCharType="end"/>
      </w:r>
      <w:r>
        <w:t xml:space="preserve">). </w:t>
      </w:r>
      <w:r w:rsidR="00A97349">
        <w:t xml:space="preserve"> </w:t>
      </w:r>
      <w:r>
        <w:t xml:space="preserve">Similarly, significant differences were observed between vegetation communities (Pseudo-F=5.69, Pr&lt;0.005) with wet plots within water couch marsh grassland communities being significantly different to dry plots in these communities (T=2.21, Pr&lt;0.005). </w:t>
      </w:r>
      <w:r w:rsidR="00A97349">
        <w:t xml:space="preserve"> </w:t>
      </w:r>
      <w:r>
        <w:t>No differences were noted between wet and dry plots in other vegetation communities, nor was there a significant influence of wetland (Pr=0.106)</w:t>
      </w:r>
    </w:p>
    <w:p w:rsidR="008D5D72" w:rsidRDefault="008D5D72" w:rsidP="00E809F1"/>
    <w:p w:rsidR="00E809F1" w:rsidRDefault="004176FF" w:rsidP="00E809F1">
      <w:pPr>
        <w:keepNext/>
        <w:spacing w:after="160" w:line="259" w:lineRule="auto"/>
        <w:jc w:val="left"/>
      </w:pPr>
      <w:r w:rsidRPr="008F5E11">
        <w:rPr>
          <w:noProof/>
          <w:lang w:eastAsia="en-AU"/>
        </w:rPr>
        <w:drawing>
          <wp:inline distT="0" distB="0" distL="0" distR="0">
            <wp:extent cx="5048250" cy="3838575"/>
            <wp:effectExtent l="0" t="0" r="0" b="0"/>
            <wp:docPr id="87" name="Chart 2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E809F1" w:rsidRDefault="00E809F1" w:rsidP="00E809F1">
      <w:pPr>
        <w:pStyle w:val="Caption"/>
        <w:jc w:val="left"/>
      </w:pPr>
      <w:bookmarkStart w:id="119" w:name="_Ref453939006"/>
      <w:r>
        <w:t xml:space="preserve">Figure </w:t>
      </w:r>
      <w:fldSimple w:instr=" STYLEREF 6 \s ">
        <w:r w:rsidR="00673DAF">
          <w:rPr>
            <w:noProof/>
          </w:rPr>
          <w:t>G</w:t>
        </w:r>
      </w:fldSimple>
      <w:r w:rsidR="00673DAF">
        <w:noBreakHyphen/>
      </w:r>
      <w:fldSimple w:instr=" SEQ Figure \* ARABIC \s 6 ">
        <w:r w:rsidR="00673DAF">
          <w:rPr>
            <w:noProof/>
          </w:rPr>
          <w:t>21</w:t>
        </w:r>
      </w:fldSimple>
      <w:bookmarkEnd w:id="119"/>
      <w:r>
        <w:t xml:space="preserve"> </w:t>
      </w:r>
      <w:r w:rsidRPr="00A22433">
        <w:t xml:space="preserve">nMDS plot of </w:t>
      </w:r>
      <w:r>
        <w:t>vegetation</w:t>
      </w:r>
      <w:r w:rsidRPr="00A22433">
        <w:t xml:space="preserve"> </w:t>
      </w:r>
      <w:r>
        <w:t>composition</w:t>
      </w:r>
      <w:r w:rsidRPr="00A22433">
        <w:t xml:space="preserve"> data in year 1 and 2 of the project grouped by sampling time and </w:t>
      </w:r>
      <w:r>
        <w:t>inundation status (</w:t>
      </w:r>
      <w:r w:rsidRPr="00A22433">
        <w:t>wet or dry).</w:t>
      </w:r>
    </w:p>
    <w:p w:rsidR="00E809F1" w:rsidRDefault="002A4087" w:rsidP="00E809F1">
      <w:pPr>
        <w:spacing w:after="160" w:line="259" w:lineRule="auto"/>
        <w:jc w:val="left"/>
      </w:pPr>
      <w:r>
        <w:t xml:space="preserve"> </w:t>
      </w:r>
    </w:p>
    <w:p w:rsidR="008D5D72" w:rsidRDefault="008D5D72" w:rsidP="00E809F1">
      <w:pPr>
        <w:spacing w:after="160" w:line="259" w:lineRule="auto"/>
        <w:jc w:val="left"/>
      </w:pPr>
    </w:p>
    <w:p w:rsidR="008D5D72" w:rsidRDefault="008D5D72" w:rsidP="00E809F1">
      <w:pPr>
        <w:spacing w:after="160" w:line="259" w:lineRule="auto"/>
        <w:jc w:val="left"/>
      </w:pPr>
    </w:p>
    <w:p w:rsidR="008D5D72" w:rsidRDefault="008D5D72" w:rsidP="00E809F1">
      <w:pPr>
        <w:spacing w:after="160" w:line="259" w:lineRule="auto"/>
        <w:jc w:val="left"/>
      </w:pPr>
    </w:p>
    <w:p w:rsidR="008D5D72" w:rsidRDefault="008D5D72" w:rsidP="00E809F1">
      <w:pPr>
        <w:spacing w:after="160" w:line="259" w:lineRule="auto"/>
        <w:jc w:val="left"/>
      </w:pPr>
    </w:p>
    <w:p w:rsidR="00E809F1" w:rsidRDefault="00E809F1" w:rsidP="00E809F1">
      <w:pPr>
        <w:pStyle w:val="Caption"/>
        <w:keepNext/>
      </w:pPr>
      <w:bookmarkStart w:id="120" w:name="_Ref453939033"/>
      <w:r>
        <w:t xml:space="preserve">Table </w:t>
      </w:r>
      <w:fldSimple w:instr=" STYLEREF 6 \s ">
        <w:r w:rsidR="005D5925">
          <w:rPr>
            <w:noProof/>
          </w:rPr>
          <w:t>G</w:t>
        </w:r>
      </w:fldSimple>
      <w:r w:rsidR="005D4453">
        <w:noBreakHyphen/>
      </w:r>
      <w:fldSimple w:instr=" SEQ Table \* ARABIC \s 6 ">
        <w:r w:rsidR="005D5925">
          <w:rPr>
            <w:noProof/>
          </w:rPr>
          <w:t>3</w:t>
        </w:r>
      </w:fldSimple>
      <w:bookmarkEnd w:id="120"/>
      <w:r>
        <w:t xml:space="preserve"> </w:t>
      </w:r>
      <w:r w:rsidRPr="00633A6E">
        <w:t xml:space="preserve">Significant results for PERMANOVA pairwise tests based on sampling time and </w:t>
      </w:r>
      <w:r>
        <w:t>inundation status</w:t>
      </w:r>
      <w:r w:rsidRPr="00633A6E">
        <w:t>.</w:t>
      </w:r>
    </w:p>
    <w:tbl>
      <w:tblPr>
        <w:tblW w:w="5000" w:type="pct"/>
        <w:tblBorders>
          <w:top w:val="single" w:sz="2" w:space="0" w:color="000000"/>
          <w:bottom w:val="single" w:sz="2" w:space="0" w:color="000000"/>
          <w:insideH w:val="single" w:sz="2" w:space="0" w:color="000000"/>
          <w:insideV w:val="single" w:sz="2" w:space="0" w:color="000000"/>
        </w:tblBorders>
        <w:tblLook w:val="04A0" w:firstRow="1" w:lastRow="0" w:firstColumn="1" w:lastColumn="0" w:noHBand="0" w:noVBand="1"/>
      </w:tblPr>
      <w:tblGrid>
        <w:gridCol w:w="1539"/>
        <w:gridCol w:w="1684"/>
        <w:gridCol w:w="805"/>
        <w:gridCol w:w="807"/>
        <w:gridCol w:w="807"/>
        <w:gridCol w:w="808"/>
        <w:gridCol w:w="808"/>
        <w:gridCol w:w="606"/>
        <w:gridCol w:w="670"/>
        <w:gridCol w:w="666"/>
      </w:tblGrid>
      <w:tr w:rsidR="00CC18AA" w:rsidRPr="005D145A" w:rsidTr="00CC18AA">
        <w:trPr>
          <w:trHeight w:val="315"/>
        </w:trPr>
        <w:tc>
          <w:tcPr>
            <w:tcW w:w="836" w:type="pct"/>
            <w:shd w:val="clear" w:color="auto" w:fill="D9D9D9"/>
            <w:noWrap/>
            <w:vAlign w:val="center"/>
            <w:hideMark/>
          </w:tcPr>
          <w:p w:rsidR="00E809F1" w:rsidRPr="00CC18AA" w:rsidRDefault="00E809F1" w:rsidP="00CC18AA">
            <w:pPr>
              <w:spacing w:before="60" w:after="60"/>
              <w:jc w:val="left"/>
              <w:rPr>
                <w:rFonts w:cs="Arial"/>
                <w:color w:val="000000"/>
                <w:szCs w:val="20"/>
                <w:lang w:val="en-US"/>
              </w:rPr>
            </w:pPr>
            <w:r w:rsidRPr="00CC18AA">
              <w:rPr>
                <w:rFonts w:cs="Arial"/>
                <w:color w:val="000000"/>
                <w:szCs w:val="20"/>
                <w:lang w:val="en-US"/>
              </w:rPr>
              <w:t> Sampling time</w:t>
            </w:r>
          </w:p>
        </w:tc>
        <w:tc>
          <w:tcPr>
            <w:tcW w:w="915" w:type="pct"/>
            <w:shd w:val="clear" w:color="auto" w:fill="D9D9D9"/>
            <w:noWrap/>
            <w:vAlign w:val="center"/>
            <w:hideMark/>
          </w:tcPr>
          <w:p w:rsidR="00E809F1" w:rsidRPr="00CC18AA" w:rsidRDefault="00E809F1" w:rsidP="00CC18AA">
            <w:pPr>
              <w:spacing w:before="60" w:after="60"/>
              <w:jc w:val="left"/>
              <w:rPr>
                <w:rFonts w:cs="Arial"/>
                <w:color w:val="000000"/>
                <w:szCs w:val="20"/>
                <w:lang w:val="en-US"/>
              </w:rPr>
            </w:pPr>
            <w:r w:rsidRPr="00CC18AA">
              <w:rPr>
                <w:rFonts w:cs="Arial"/>
                <w:color w:val="000000"/>
                <w:szCs w:val="20"/>
                <w:lang w:val="en-US"/>
              </w:rPr>
              <w:t> </w:t>
            </w:r>
          </w:p>
        </w:tc>
        <w:tc>
          <w:tcPr>
            <w:tcW w:w="877" w:type="pct"/>
            <w:gridSpan w:val="2"/>
            <w:shd w:val="clear" w:color="auto" w:fill="D9D9D9"/>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Dec-14</w:t>
            </w:r>
          </w:p>
        </w:tc>
        <w:tc>
          <w:tcPr>
            <w:tcW w:w="877" w:type="pct"/>
            <w:gridSpan w:val="2"/>
            <w:shd w:val="clear" w:color="auto" w:fill="D9D9D9"/>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Mar-15</w:t>
            </w:r>
          </w:p>
        </w:tc>
        <w:tc>
          <w:tcPr>
            <w:tcW w:w="768" w:type="pct"/>
            <w:gridSpan w:val="2"/>
            <w:shd w:val="clear" w:color="auto" w:fill="D9D9D9"/>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Oct-15</w:t>
            </w:r>
          </w:p>
        </w:tc>
        <w:tc>
          <w:tcPr>
            <w:tcW w:w="727" w:type="pct"/>
            <w:gridSpan w:val="2"/>
            <w:shd w:val="clear" w:color="auto" w:fill="D9D9D9"/>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Mar-16</w:t>
            </w:r>
          </w:p>
        </w:tc>
      </w:tr>
      <w:tr w:rsidR="00CC18AA" w:rsidRPr="005D145A" w:rsidTr="00CC18AA">
        <w:trPr>
          <w:trHeight w:val="315"/>
        </w:trPr>
        <w:tc>
          <w:tcPr>
            <w:tcW w:w="836" w:type="pct"/>
            <w:shd w:val="clear" w:color="auto" w:fill="D9D9D9"/>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c>
          <w:tcPr>
            <w:tcW w:w="915" w:type="pct"/>
            <w:shd w:val="clear" w:color="auto" w:fill="D9D9D9"/>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Water presence</w:t>
            </w:r>
          </w:p>
        </w:tc>
        <w:tc>
          <w:tcPr>
            <w:tcW w:w="438" w:type="pct"/>
            <w:shd w:val="clear" w:color="auto" w:fill="D9D9D9"/>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Wet</w:t>
            </w:r>
          </w:p>
        </w:tc>
        <w:tc>
          <w:tcPr>
            <w:tcW w:w="439" w:type="pct"/>
            <w:shd w:val="clear" w:color="auto" w:fill="D9D9D9"/>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Dry</w:t>
            </w:r>
          </w:p>
        </w:tc>
        <w:tc>
          <w:tcPr>
            <w:tcW w:w="439" w:type="pct"/>
            <w:shd w:val="clear" w:color="auto" w:fill="D9D9D9"/>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Wet</w:t>
            </w:r>
          </w:p>
        </w:tc>
        <w:tc>
          <w:tcPr>
            <w:tcW w:w="439" w:type="pct"/>
            <w:shd w:val="clear" w:color="auto" w:fill="D9D9D9"/>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Dry</w:t>
            </w:r>
          </w:p>
        </w:tc>
        <w:tc>
          <w:tcPr>
            <w:tcW w:w="439" w:type="pct"/>
            <w:shd w:val="clear" w:color="auto" w:fill="D9D9D9"/>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Wet</w:t>
            </w:r>
          </w:p>
        </w:tc>
        <w:tc>
          <w:tcPr>
            <w:tcW w:w="329" w:type="pct"/>
            <w:shd w:val="clear" w:color="auto" w:fill="D9D9D9"/>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Dry</w:t>
            </w:r>
          </w:p>
        </w:tc>
        <w:tc>
          <w:tcPr>
            <w:tcW w:w="364" w:type="pct"/>
            <w:shd w:val="clear" w:color="auto" w:fill="D9D9D9"/>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Wet</w:t>
            </w:r>
          </w:p>
        </w:tc>
        <w:tc>
          <w:tcPr>
            <w:tcW w:w="363" w:type="pct"/>
            <w:shd w:val="clear" w:color="auto" w:fill="D9D9D9"/>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Dry</w:t>
            </w:r>
          </w:p>
        </w:tc>
      </w:tr>
      <w:tr w:rsidR="00CC18AA" w:rsidRPr="005D145A" w:rsidTr="00CC18AA">
        <w:trPr>
          <w:trHeight w:val="315"/>
        </w:trPr>
        <w:tc>
          <w:tcPr>
            <w:tcW w:w="836" w:type="pct"/>
            <w:vMerge w:val="restart"/>
            <w:shd w:val="clear" w:color="auto" w:fill="auto"/>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Dec-14</w:t>
            </w:r>
          </w:p>
        </w:tc>
        <w:tc>
          <w:tcPr>
            <w:tcW w:w="915" w:type="pct"/>
            <w:shd w:val="clear" w:color="auto" w:fill="auto"/>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Wet</w:t>
            </w:r>
          </w:p>
        </w:tc>
        <w:tc>
          <w:tcPr>
            <w:tcW w:w="438" w:type="pct"/>
            <w:shd w:val="clear" w:color="auto" w:fill="A6A6A6"/>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c>
          <w:tcPr>
            <w:tcW w:w="439" w:type="pct"/>
            <w:shd w:val="clear" w:color="auto" w:fill="A6A6A6"/>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c>
          <w:tcPr>
            <w:tcW w:w="439" w:type="pct"/>
            <w:shd w:val="clear" w:color="auto" w:fill="A6A6A6"/>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c>
          <w:tcPr>
            <w:tcW w:w="439" w:type="pct"/>
            <w:shd w:val="clear" w:color="auto" w:fill="A6A6A6"/>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c>
          <w:tcPr>
            <w:tcW w:w="439" w:type="pct"/>
            <w:shd w:val="clear" w:color="auto" w:fill="A6A6A6"/>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c>
          <w:tcPr>
            <w:tcW w:w="329" w:type="pct"/>
            <w:shd w:val="clear" w:color="auto" w:fill="A6A6A6"/>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c>
          <w:tcPr>
            <w:tcW w:w="364" w:type="pct"/>
            <w:shd w:val="clear" w:color="auto" w:fill="A6A6A6"/>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c>
          <w:tcPr>
            <w:tcW w:w="363" w:type="pct"/>
            <w:shd w:val="clear" w:color="auto" w:fill="A6A6A6"/>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r>
      <w:tr w:rsidR="00CC18AA" w:rsidRPr="005D145A" w:rsidTr="00CC18AA">
        <w:trPr>
          <w:trHeight w:val="315"/>
        </w:trPr>
        <w:tc>
          <w:tcPr>
            <w:tcW w:w="836" w:type="pct"/>
            <w:vMerge/>
            <w:shd w:val="clear" w:color="auto" w:fill="auto"/>
            <w:noWrap/>
            <w:vAlign w:val="center"/>
            <w:hideMark/>
          </w:tcPr>
          <w:p w:rsidR="00E809F1" w:rsidRPr="00CC18AA" w:rsidRDefault="00E809F1" w:rsidP="00CC18AA">
            <w:pPr>
              <w:spacing w:before="60" w:after="60"/>
              <w:jc w:val="left"/>
              <w:rPr>
                <w:rFonts w:cs="Arial"/>
                <w:color w:val="000000"/>
                <w:szCs w:val="20"/>
                <w:lang w:val="en-US"/>
              </w:rPr>
            </w:pPr>
          </w:p>
        </w:tc>
        <w:tc>
          <w:tcPr>
            <w:tcW w:w="915" w:type="pct"/>
            <w:shd w:val="clear" w:color="auto" w:fill="auto"/>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Dry</w:t>
            </w:r>
          </w:p>
        </w:tc>
        <w:tc>
          <w:tcPr>
            <w:tcW w:w="438" w:type="pct"/>
            <w:shd w:val="clear" w:color="auto" w:fill="auto"/>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0.005</w:t>
            </w:r>
          </w:p>
        </w:tc>
        <w:tc>
          <w:tcPr>
            <w:tcW w:w="439" w:type="pct"/>
            <w:shd w:val="clear" w:color="auto" w:fill="A6A6A6"/>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c>
          <w:tcPr>
            <w:tcW w:w="439" w:type="pct"/>
            <w:shd w:val="clear" w:color="auto" w:fill="A6A6A6"/>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c>
          <w:tcPr>
            <w:tcW w:w="439" w:type="pct"/>
            <w:shd w:val="clear" w:color="auto" w:fill="A6A6A6"/>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c>
          <w:tcPr>
            <w:tcW w:w="439" w:type="pct"/>
            <w:shd w:val="clear" w:color="auto" w:fill="A6A6A6"/>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c>
          <w:tcPr>
            <w:tcW w:w="329" w:type="pct"/>
            <w:shd w:val="clear" w:color="auto" w:fill="A6A6A6"/>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c>
          <w:tcPr>
            <w:tcW w:w="364" w:type="pct"/>
            <w:shd w:val="clear" w:color="auto" w:fill="A6A6A6"/>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c>
          <w:tcPr>
            <w:tcW w:w="363" w:type="pct"/>
            <w:shd w:val="clear" w:color="auto" w:fill="A6A6A6"/>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r>
      <w:tr w:rsidR="00CC18AA" w:rsidRPr="005D145A" w:rsidTr="00CC18AA">
        <w:trPr>
          <w:trHeight w:val="315"/>
        </w:trPr>
        <w:tc>
          <w:tcPr>
            <w:tcW w:w="836" w:type="pct"/>
            <w:vMerge w:val="restart"/>
            <w:shd w:val="clear" w:color="auto" w:fill="auto"/>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Mar-15</w:t>
            </w:r>
          </w:p>
        </w:tc>
        <w:tc>
          <w:tcPr>
            <w:tcW w:w="915" w:type="pct"/>
            <w:shd w:val="clear" w:color="auto" w:fill="auto"/>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Wet</w:t>
            </w:r>
          </w:p>
        </w:tc>
        <w:tc>
          <w:tcPr>
            <w:tcW w:w="438" w:type="pct"/>
            <w:shd w:val="clear" w:color="auto" w:fill="auto"/>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0.005</w:t>
            </w:r>
          </w:p>
        </w:tc>
        <w:tc>
          <w:tcPr>
            <w:tcW w:w="439" w:type="pct"/>
            <w:shd w:val="clear" w:color="auto" w:fill="auto"/>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0.005</w:t>
            </w:r>
          </w:p>
        </w:tc>
        <w:tc>
          <w:tcPr>
            <w:tcW w:w="439" w:type="pct"/>
            <w:shd w:val="clear" w:color="auto" w:fill="A6A6A6"/>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c>
          <w:tcPr>
            <w:tcW w:w="439" w:type="pct"/>
            <w:shd w:val="clear" w:color="auto" w:fill="A6A6A6"/>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c>
          <w:tcPr>
            <w:tcW w:w="439" w:type="pct"/>
            <w:shd w:val="clear" w:color="auto" w:fill="A6A6A6"/>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c>
          <w:tcPr>
            <w:tcW w:w="329" w:type="pct"/>
            <w:shd w:val="clear" w:color="auto" w:fill="A6A6A6"/>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c>
          <w:tcPr>
            <w:tcW w:w="364" w:type="pct"/>
            <w:shd w:val="clear" w:color="auto" w:fill="A6A6A6"/>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c>
          <w:tcPr>
            <w:tcW w:w="363" w:type="pct"/>
            <w:shd w:val="clear" w:color="auto" w:fill="A6A6A6"/>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r>
      <w:tr w:rsidR="00CC18AA" w:rsidRPr="005D145A" w:rsidTr="00CC18AA">
        <w:trPr>
          <w:trHeight w:val="315"/>
        </w:trPr>
        <w:tc>
          <w:tcPr>
            <w:tcW w:w="836" w:type="pct"/>
            <w:vMerge/>
            <w:shd w:val="clear" w:color="auto" w:fill="auto"/>
            <w:noWrap/>
            <w:vAlign w:val="center"/>
            <w:hideMark/>
          </w:tcPr>
          <w:p w:rsidR="00E809F1" w:rsidRPr="00CC18AA" w:rsidRDefault="00E809F1" w:rsidP="00CC18AA">
            <w:pPr>
              <w:spacing w:before="60" w:after="60"/>
              <w:jc w:val="left"/>
              <w:rPr>
                <w:rFonts w:cs="Arial"/>
                <w:color w:val="000000"/>
                <w:szCs w:val="20"/>
                <w:lang w:val="en-US"/>
              </w:rPr>
            </w:pPr>
          </w:p>
        </w:tc>
        <w:tc>
          <w:tcPr>
            <w:tcW w:w="915" w:type="pct"/>
            <w:shd w:val="clear" w:color="auto" w:fill="auto"/>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Dry</w:t>
            </w:r>
          </w:p>
        </w:tc>
        <w:tc>
          <w:tcPr>
            <w:tcW w:w="438" w:type="pct"/>
            <w:shd w:val="clear" w:color="auto" w:fill="auto"/>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0.05</w:t>
            </w:r>
          </w:p>
        </w:tc>
        <w:tc>
          <w:tcPr>
            <w:tcW w:w="439" w:type="pct"/>
            <w:shd w:val="clear" w:color="auto" w:fill="auto"/>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0.005</w:t>
            </w:r>
          </w:p>
        </w:tc>
        <w:tc>
          <w:tcPr>
            <w:tcW w:w="439" w:type="pct"/>
            <w:shd w:val="clear" w:color="auto" w:fill="auto"/>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0.005</w:t>
            </w:r>
          </w:p>
        </w:tc>
        <w:tc>
          <w:tcPr>
            <w:tcW w:w="439" w:type="pct"/>
            <w:shd w:val="clear" w:color="auto" w:fill="A6A6A6"/>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c>
          <w:tcPr>
            <w:tcW w:w="439" w:type="pct"/>
            <w:shd w:val="clear" w:color="auto" w:fill="A6A6A6"/>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c>
          <w:tcPr>
            <w:tcW w:w="329" w:type="pct"/>
            <w:shd w:val="clear" w:color="auto" w:fill="A6A6A6"/>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c>
          <w:tcPr>
            <w:tcW w:w="364" w:type="pct"/>
            <w:shd w:val="clear" w:color="auto" w:fill="A6A6A6"/>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c>
          <w:tcPr>
            <w:tcW w:w="363" w:type="pct"/>
            <w:shd w:val="clear" w:color="auto" w:fill="A6A6A6"/>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r>
      <w:tr w:rsidR="00CC18AA" w:rsidRPr="005D145A" w:rsidTr="00CC18AA">
        <w:trPr>
          <w:trHeight w:val="315"/>
        </w:trPr>
        <w:tc>
          <w:tcPr>
            <w:tcW w:w="836" w:type="pct"/>
            <w:vMerge w:val="restart"/>
            <w:shd w:val="clear" w:color="auto" w:fill="auto"/>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Oct-15</w:t>
            </w:r>
          </w:p>
        </w:tc>
        <w:tc>
          <w:tcPr>
            <w:tcW w:w="915" w:type="pct"/>
            <w:shd w:val="clear" w:color="auto" w:fill="auto"/>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Wet</w:t>
            </w:r>
          </w:p>
        </w:tc>
        <w:tc>
          <w:tcPr>
            <w:tcW w:w="438" w:type="pct"/>
            <w:shd w:val="clear" w:color="auto" w:fill="A6A6A6"/>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c>
          <w:tcPr>
            <w:tcW w:w="439" w:type="pct"/>
            <w:shd w:val="clear" w:color="auto" w:fill="A6A6A6"/>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c>
          <w:tcPr>
            <w:tcW w:w="439" w:type="pct"/>
            <w:shd w:val="clear" w:color="auto" w:fill="auto"/>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0.005</w:t>
            </w:r>
          </w:p>
        </w:tc>
        <w:tc>
          <w:tcPr>
            <w:tcW w:w="439" w:type="pct"/>
            <w:shd w:val="clear" w:color="auto" w:fill="auto"/>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0.005</w:t>
            </w:r>
          </w:p>
        </w:tc>
        <w:tc>
          <w:tcPr>
            <w:tcW w:w="439" w:type="pct"/>
            <w:shd w:val="clear" w:color="auto" w:fill="A6A6A6"/>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c>
          <w:tcPr>
            <w:tcW w:w="329" w:type="pct"/>
            <w:shd w:val="clear" w:color="auto" w:fill="A6A6A6"/>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c>
          <w:tcPr>
            <w:tcW w:w="364" w:type="pct"/>
            <w:shd w:val="clear" w:color="auto" w:fill="A6A6A6"/>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c>
          <w:tcPr>
            <w:tcW w:w="363" w:type="pct"/>
            <w:shd w:val="clear" w:color="auto" w:fill="A6A6A6"/>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r>
      <w:tr w:rsidR="00CC18AA" w:rsidRPr="005D145A" w:rsidTr="00CC18AA">
        <w:trPr>
          <w:trHeight w:val="315"/>
        </w:trPr>
        <w:tc>
          <w:tcPr>
            <w:tcW w:w="836" w:type="pct"/>
            <w:vMerge/>
            <w:shd w:val="clear" w:color="auto" w:fill="auto"/>
            <w:noWrap/>
            <w:vAlign w:val="center"/>
            <w:hideMark/>
          </w:tcPr>
          <w:p w:rsidR="00E809F1" w:rsidRPr="00CC18AA" w:rsidRDefault="00E809F1" w:rsidP="00CC18AA">
            <w:pPr>
              <w:spacing w:before="60" w:after="60"/>
              <w:jc w:val="left"/>
              <w:rPr>
                <w:rFonts w:cs="Arial"/>
                <w:color w:val="000000"/>
                <w:szCs w:val="20"/>
                <w:lang w:val="en-US"/>
              </w:rPr>
            </w:pPr>
          </w:p>
        </w:tc>
        <w:tc>
          <w:tcPr>
            <w:tcW w:w="915" w:type="pct"/>
            <w:shd w:val="clear" w:color="auto" w:fill="auto"/>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Dry</w:t>
            </w:r>
          </w:p>
        </w:tc>
        <w:tc>
          <w:tcPr>
            <w:tcW w:w="438" w:type="pct"/>
            <w:shd w:val="clear" w:color="auto" w:fill="A6A6A6"/>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c>
          <w:tcPr>
            <w:tcW w:w="439" w:type="pct"/>
            <w:shd w:val="clear" w:color="auto" w:fill="A6A6A6"/>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c>
          <w:tcPr>
            <w:tcW w:w="439" w:type="pct"/>
            <w:shd w:val="clear" w:color="auto" w:fill="auto"/>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0.005</w:t>
            </w:r>
          </w:p>
        </w:tc>
        <w:tc>
          <w:tcPr>
            <w:tcW w:w="439" w:type="pct"/>
            <w:shd w:val="clear" w:color="auto" w:fill="auto"/>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NS</w:t>
            </w:r>
          </w:p>
        </w:tc>
        <w:tc>
          <w:tcPr>
            <w:tcW w:w="439" w:type="pct"/>
            <w:shd w:val="clear" w:color="auto" w:fill="auto"/>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0.05</w:t>
            </w:r>
          </w:p>
        </w:tc>
        <w:tc>
          <w:tcPr>
            <w:tcW w:w="329" w:type="pct"/>
            <w:shd w:val="clear" w:color="auto" w:fill="A6A6A6"/>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c>
          <w:tcPr>
            <w:tcW w:w="364" w:type="pct"/>
            <w:shd w:val="clear" w:color="auto" w:fill="A6A6A6"/>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c>
          <w:tcPr>
            <w:tcW w:w="363" w:type="pct"/>
            <w:shd w:val="clear" w:color="auto" w:fill="A6A6A6"/>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r>
      <w:tr w:rsidR="00CC18AA" w:rsidRPr="005D145A" w:rsidTr="00CC18AA">
        <w:trPr>
          <w:trHeight w:val="315"/>
        </w:trPr>
        <w:tc>
          <w:tcPr>
            <w:tcW w:w="836" w:type="pct"/>
            <w:vMerge w:val="restart"/>
            <w:shd w:val="clear" w:color="auto" w:fill="auto"/>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Mar-16</w:t>
            </w:r>
          </w:p>
        </w:tc>
        <w:tc>
          <w:tcPr>
            <w:tcW w:w="915" w:type="pct"/>
            <w:shd w:val="clear" w:color="auto" w:fill="auto"/>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Wet</w:t>
            </w:r>
          </w:p>
        </w:tc>
        <w:tc>
          <w:tcPr>
            <w:tcW w:w="438" w:type="pct"/>
            <w:shd w:val="clear" w:color="auto" w:fill="A6A6A6"/>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c>
          <w:tcPr>
            <w:tcW w:w="439" w:type="pct"/>
            <w:shd w:val="clear" w:color="auto" w:fill="A6A6A6"/>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c>
          <w:tcPr>
            <w:tcW w:w="439" w:type="pct"/>
            <w:shd w:val="clear" w:color="auto" w:fill="A6A6A6"/>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c>
          <w:tcPr>
            <w:tcW w:w="439" w:type="pct"/>
            <w:shd w:val="clear" w:color="auto" w:fill="A6A6A6"/>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c>
          <w:tcPr>
            <w:tcW w:w="439" w:type="pct"/>
            <w:shd w:val="clear" w:color="auto" w:fill="A6A6A6"/>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c>
          <w:tcPr>
            <w:tcW w:w="329" w:type="pct"/>
            <w:shd w:val="clear" w:color="auto" w:fill="A6A6A6"/>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c>
          <w:tcPr>
            <w:tcW w:w="364" w:type="pct"/>
            <w:shd w:val="clear" w:color="auto" w:fill="A6A6A6"/>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c>
          <w:tcPr>
            <w:tcW w:w="363" w:type="pct"/>
            <w:shd w:val="clear" w:color="auto" w:fill="A6A6A6"/>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r>
      <w:tr w:rsidR="00CC18AA" w:rsidRPr="005D145A" w:rsidTr="00CC18AA">
        <w:trPr>
          <w:trHeight w:val="315"/>
        </w:trPr>
        <w:tc>
          <w:tcPr>
            <w:tcW w:w="836" w:type="pct"/>
            <w:vMerge/>
            <w:shd w:val="clear" w:color="auto" w:fill="auto"/>
            <w:noWrap/>
            <w:vAlign w:val="center"/>
            <w:hideMark/>
          </w:tcPr>
          <w:p w:rsidR="00E809F1" w:rsidRPr="00CC18AA" w:rsidRDefault="00E809F1" w:rsidP="00CC18AA">
            <w:pPr>
              <w:spacing w:before="60" w:after="60"/>
              <w:jc w:val="left"/>
              <w:rPr>
                <w:rFonts w:cs="Arial"/>
                <w:color w:val="000000"/>
                <w:szCs w:val="20"/>
                <w:lang w:val="en-US"/>
              </w:rPr>
            </w:pPr>
          </w:p>
        </w:tc>
        <w:tc>
          <w:tcPr>
            <w:tcW w:w="915" w:type="pct"/>
            <w:shd w:val="clear" w:color="auto" w:fill="auto"/>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Dry</w:t>
            </w:r>
          </w:p>
        </w:tc>
        <w:tc>
          <w:tcPr>
            <w:tcW w:w="438" w:type="pct"/>
            <w:shd w:val="clear" w:color="auto" w:fill="A6A6A6"/>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c>
          <w:tcPr>
            <w:tcW w:w="439" w:type="pct"/>
            <w:shd w:val="clear" w:color="auto" w:fill="A6A6A6"/>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c>
          <w:tcPr>
            <w:tcW w:w="439" w:type="pct"/>
            <w:shd w:val="clear" w:color="auto" w:fill="A6A6A6"/>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c>
          <w:tcPr>
            <w:tcW w:w="439" w:type="pct"/>
            <w:shd w:val="clear" w:color="auto" w:fill="A6A6A6"/>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c>
          <w:tcPr>
            <w:tcW w:w="439" w:type="pct"/>
            <w:shd w:val="clear" w:color="auto" w:fill="auto"/>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0.005</w:t>
            </w:r>
          </w:p>
        </w:tc>
        <w:tc>
          <w:tcPr>
            <w:tcW w:w="329" w:type="pct"/>
            <w:shd w:val="clear" w:color="auto" w:fill="auto"/>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0.05</w:t>
            </w:r>
          </w:p>
        </w:tc>
        <w:tc>
          <w:tcPr>
            <w:tcW w:w="364" w:type="pct"/>
            <w:shd w:val="clear" w:color="auto" w:fill="A6A6A6"/>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c>
          <w:tcPr>
            <w:tcW w:w="363" w:type="pct"/>
            <w:shd w:val="clear" w:color="auto" w:fill="A6A6A6"/>
            <w:noWrap/>
            <w:vAlign w:val="center"/>
            <w:hideMark/>
          </w:tcPr>
          <w:p w:rsidR="00E809F1" w:rsidRPr="00CC18AA" w:rsidRDefault="00E809F1" w:rsidP="00CC18AA">
            <w:pPr>
              <w:spacing w:before="60" w:after="60"/>
              <w:jc w:val="center"/>
              <w:rPr>
                <w:rFonts w:cs="Arial"/>
                <w:color w:val="000000"/>
                <w:szCs w:val="20"/>
                <w:lang w:val="en-US"/>
              </w:rPr>
            </w:pPr>
            <w:r w:rsidRPr="00CC18AA">
              <w:rPr>
                <w:rFonts w:cs="Arial"/>
                <w:color w:val="000000"/>
                <w:szCs w:val="20"/>
                <w:lang w:val="en-US"/>
              </w:rPr>
              <w:t> </w:t>
            </w:r>
          </w:p>
        </w:tc>
      </w:tr>
    </w:tbl>
    <w:p w:rsidR="00E809F1" w:rsidRPr="00F8325F" w:rsidRDefault="00E809F1" w:rsidP="00E809F1">
      <w:pPr>
        <w:spacing w:after="160" w:line="259" w:lineRule="auto"/>
        <w:jc w:val="left"/>
      </w:pPr>
    </w:p>
    <w:p w:rsidR="00E809F1" w:rsidRPr="00F219ED" w:rsidRDefault="00E809F1" w:rsidP="006E559A">
      <w:pPr>
        <w:pStyle w:val="Heading7"/>
      </w:pPr>
      <w:r w:rsidRPr="00F219ED">
        <w:t>Discussion</w:t>
      </w:r>
      <w:bookmarkEnd w:id="117"/>
    </w:p>
    <w:p w:rsidR="00E809F1" w:rsidRPr="002B0EA3" w:rsidRDefault="00E809F1" w:rsidP="00E809F1">
      <w:pPr>
        <w:rPr>
          <w:highlight w:val="yellow"/>
        </w:rPr>
      </w:pPr>
      <w:r w:rsidRPr="00F219ED">
        <w:t xml:space="preserve">Species richness was relatively low across all sites </w:t>
      </w:r>
      <w:r>
        <w:t xml:space="preserve">during 2015-16 </w:t>
      </w:r>
      <w:r w:rsidRPr="00F219ED">
        <w:t>compared to surveys carried out in the previous water year</w:t>
      </w:r>
      <w:r w:rsidRPr="00D707B9">
        <w:t xml:space="preserve">. </w:t>
      </w:r>
      <w:r w:rsidR="00A97349">
        <w:t xml:space="preserve"> </w:t>
      </w:r>
      <w:r w:rsidRPr="00D707B9">
        <w:t>Vegetation monitoring undertaken in the 2014-15 year showed sites in the</w:t>
      </w:r>
      <w:r w:rsidRPr="00393A1C">
        <w:t xml:space="preserve"> </w:t>
      </w:r>
      <w:r w:rsidR="005D145A">
        <w:t xml:space="preserve">lower </w:t>
      </w:r>
      <w:r w:rsidRPr="00393A1C">
        <w:t xml:space="preserve">Gwydir </w:t>
      </w:r>
      <w:r w:rsidR="005D145A">
        <w:t xml:space="preserve">wetland </w:t>
      </w:r>
      <w:r w:rsidRPr="00393A1C">
        <w:t xml:space="preserve">had </w:t>
      </w:r>
      <w:r>
        <w:t xml:space="preserve">a slightly </w:t>
      </w:r>
      <w:r w:rsidRPr="00393A1C">
        <w:t xml:space="preserve">lower richness than in the Gingham watercourse with </w:t>
      </w:r>
      <w:r>
        <w:t>a mean</w:t>
      </w:r>
      <w:r w:rsidRPr="00393A1C">
        <w:t xml:space="preserve"> richness of between 15 and 39 species (</w:t>
      </w:r>
      <w:r>
        <w:t>Commonwealth of Australia</w:t>
      </w:r>
      <w:r w:rsidRPr="00393A1C">
        <w:t xml:space="preserve"> 2015)</w:t>
      </w:r>
      <w:r>
        <w:t>.</w:t>
      </w:r>
      <w:r w:rsidR="00A97349">
        <w:t xml:space="preserve"> </w:t>
      </w:r>
      <w:r>
        <w:t xml:space="preserve"> In contrast, vegetation monitoring during the 2015-16 season found that the Gingham water</w:t>
      </w:r>
      <w:r w:rsidR="005D145A">
        <w:t>course</w:t>
      </w:r>
      <w:r>
        <w:t xml:space="preserve"> had significantly higher species richness than both the </w:t>
      </w:r>
      <w:r w:rsidR="001C3C04">
        <w:t>lower</w:t>
      </w:r>
      <w:r>
        <w:t xml:space="preserve"> Gwydir and Mallowa </w:t>
      </w:r>
      <w:r w:rsidR="005D145A">
        <w:t>wetlands</w:t>
      </w:r>
      <w:r>
        <w:t xml:space="preserve">, which may be a result of the wet plots in the Gingham early in the 2015-16 season leading to strong plant growth and higher species richness throughout the season. </w:t>
      </w:r>
      <w:r w:rsidR="00A97349">
        <w:t xml:space="preserve"> </w:t>
      </w:r>
      <w:r>
        <w:t>Similarly, t</w:t>
      </w:r>
      <w:r w:rsidRPr="00393A1C">
        <w:t xml:space="preserve">he </w:t>
      </w:r>
      <w:r>
        <w:t>slight increase</w:t>
      </w:r>
      <w:r w:rsidRPr="00393A1C">
        <w:t xml:space="preserve"> in overall species richness during the 2015-16 </w:t>
      </w:r>
      <w:r>
        <w:t>water year</w:t>
      </w:r>
      <w:r w:rsidRPr="00393A1C">
        <w:t xml:space="preserve"> is likely the result of drying </w:t>
      </w:r>
      <w:r>
        <w:t>of the Gingham watercourse, allowing for terrestrial plant species to encroach on the previously inundated wetland</w:t>
      </w:r>
      <w:r w:rsidRPr="00393A1C">
        <w:t xml:space="preserve">. </w:t>
      </w:r>
      <w:r w:rsidR="00A97349">
        <w:t xml:space="preserve"> </w:t>
      </w:r>
      <w:r w:rsidRPr="00F7411F">
        <w:t xml:space="preserve">Bare ground cover was shown to be significantly different between plots in the </w:t>
      </w:r>
      <w:r w:rsidR="005D145A">
        <w:t xml:space="preserve">lower </w:t>
      </w:r>
      <w:r w:rsidRPr="00F7411F">
        <w:t xml:space="preserve">Gwydir </w:t>
      </w:r>
      <w:r w:rsidR="005D145A">
        <w:t>wetlands</w:t>
      </w:r>
      <w:r>
        <w:t xml:space="preserve"> </w:t>
      </w:r>
      <w:r w:rsidRPr="00F7411F">
        <w:t>and Gingham</w:t>
      </w:r>
      <w:r>
        <w:t xml:space="preserve"> </w:t>
      </w:r>
      <w:r w:rsidR="001C3C04">
        <w:t>watercourse</w:t>
      </w:r>
      <w:r w:rsidRPr="00F7411F">
        <w:t xml:space="preserve"> in 2014-15, with total vegetation cover increasing throughout the season; a trend </w:t>
      </w:r>
      <w:r w:rsidR="005D145A">
        <w:t>that</w:t>
      </w:r>
      <w:r w:rsidRPr="00F7411F">
        <w:t xml:space="preserve"> was also apparent in the 2015-16 water year</w:t>
      </w:r>
      <w:r w:rsidRPr="005D6DB6">
        <w:t xml:space="preserve">. </w:t>
      </w:r>
      <w:r w:rsidR="00A97349">
        <w:t xml:space="preserve"> </w:t>
      </w:r>
      <w:r w:rsidRPr="005D6DB6">
        <w:t>In addition, total vegetation cover percentage in plots across all sites in 2015-16 appeared to increase with drying through the season, especially at sites that were inundated early in the season.</w:t>
      </w:r>
    </w:p>
    <w:p w:rsidR="00E809F1" w:rsidRPr="006306BB" w:rsidRDefault="00E809F1" w:rsidP="00E809F1">
      <w:r>
        <w:t xml:space="preserve">Four </w:t>
      </w:r>
      <w:r w:rsidRPr="001F7D76">
        <w:t>vegetation community types surveyed for this project</w:t>
      </w:r>
      <w:r>
        <w:t xml:space="preserve"> were inundated during the 2015-16 water year</w:t>
      </w:r>
      <w:r w:rsidRPr="001F7D76">
        <w:t xml:space="preserve">. </w:t>
      </w:r>
      <w:r w:rsidR="00A97349">
        <w:t xml:space="preserve"> </w:t>
      </w:r>
      <w:r w:rsidRPr="001F7D76">
        <w:t>Generally, wetland drying following</w:t>
      </w:r>
      <w:r>
        <w:t xml:space="preserve"> </w:t>
      </w:r>
      <w:r w:rsidRPr="001F7D76">
        <w:t>inundation</w:t>
      </w:r>
      <w:r>
        <w:t xml:space="preserve"> tended to result in a marginal reduction in species richness but a significant increase in</w:t>
      </w:r>
      <w:r w:rsidRPr="001F7D76">
        <w:t xml:space="preserve"> </w:t>
      </w:r>
      <w:r>
        <w:t>ground cover percentage.</w:t>
      </w:r>
      <w:r w:rsidR="00A97349">
        <w:t xml:space="preserve"> </w:t>
      </w:r>
      <w:r>
        <w:t xml:space="preserve"> This increase in ground cover percentage is likely to have resulted from a shift in func</w:t>
      </w:r>
      <w:r w:rsidR="005D145A">
        <w:t>tional group composition, with a</w:t>
      </w:r>
      <w:r>
        <w:t xml:space="preserve">mphibious </w:t>
      </w:r>
      <w:r w:rsidR="005D145A">
        <w:t>r</w:t>
      </w:r>
      <w:r>
        <w:t>esponder species richne</w:t>
      </w:r>
      <w:r w:rsidR="005D145A">
        <w:t>ss declining and the number of t</w:t>
      </w:r>
      <w:r>
        <w:t xml:space="preserve">errestrial dry species increasing, </w:t>
      </w:r>
      <w:r w:rsidR="00B264ED">
        <w:t xml:space="preserve">as conditions became favourable for them in </w:t>
      </w:r>
      <w:r>
        <w:t xml:space="preserve">areas that were previously inundated. </w:t>
      </w:r>
      <w:r w:rsidR="00A97349">
        <w:t xml:space="preserve"> </w:t>
      </w:r>
      <w:r>
        <w:t>One exception to this trend is t</w:t>
      </w:r>
      <w:r w:rsidRPr="00197867">
        <w:t xml:space="preserve">he </w:t>
      </w:r>
      <w:r>
        <w:t>c</w:t>
      </w:r>
      <w:r w:rsidRPr="00197867">
        <w:t xml:space="preserve">oolibah – </w:t>
      </w:r>
      <w:r>
        <w:t>river c</w:t>
      </w:r>
      <w:r w:rsidRPr="00197867">
        <w:t xml:space="preserve">ooba – </w:t>
      </w:r>
      <w:r>
        <w:t>l</w:t>
      </w:r>
      <w:r w:rsidRPr="00197867">
        <w:t>ignum vegetation community</w:t>
      </w:r>
      <w:r>
        <w:t xml:space="preserve"> in the Mallowa</w:t>
      </w:r>
      <w:r w:rsidR="005D145A">
        <w:t xml:space="preserve"> wetlands</w:t>
      </w:r>
      <w:r>
        <w:t xml:space="preserve">, which showed a marginal increase in species richness, accompanied by a large increase in vegetation cover. </w:t>
      </w:r>
      <w:r w:rsidR="00A97349">
        <w:t xml:space="preserve"> </w:t>
      </w:r>
      <w:r>
        <w:t>O</w:t>
      </w:r>
      <w:r w:rsidRPr="00197867">
        <w:t>ne</w:t>
      </w:r>
      <w:r>
        <w:t xml:space="preserve"> </w:t>
      </w:r>
      <w:r w:rsidRPr="00197867">
        <w:t>plot</w:t>
      </w:r>
      <w:r>
        <w:t xml:space="preserve"> that was inundated by environmental water between survey times</w:t>
      </w:r>
      <w:r w:rsidRPr="00197867">
        <w:t xml:space="preserve"> in the Mallowa </w:t>
      </w:r>
      <w:r w:rsidR="005D145A">
        <w:t>wetlands</w:t>
      </w:r>
      <w:r w:rsidRPr="00197867">
        <w:t xml:space="preserve"> had 38 species recorded; much higher than the </w:t>
      </w:r>
      <w:r>
        <w:t>mean</w:t>
      </w:r>
      <w:r w:rsidRPr="00197867">
        <w:t xml:space="preserve"> of the other plots in this community </w:t>
      </w:r>
      <w:r>
        <w:t xml:space="preserve">that were surveyed following inundation </w:t>
      </w:r>
      <w:r w:rsidRPr="00197867">
        <w:t>(</w:t>
      </w:r>
      <w:r>
        <w:t>mean</w:t>
      </w:r>
      <w:r w:rsidRPr="00197867">
        <w:t xml:space="preserve"> of 17+/-5.39 species).</w:t>
      </w:r>
      <w:r w:rsidR="00A97349">
        <w:t xml:space="preserve"> </w:t>
      </w:r>
      <w:r>
        <w:t xml:space="preserve"> </w:t>
      </w:r>
      <w:r w:rsidRPr="00115ADB">
        <w:t>In this vegetation community, inundation appears to have stimulated the growth of understory species, p</w:t>
      </w:r>
      <w:r w:rsidR="005D145A">
        <w:t>articularly those belonging to t</w:t>
      </w:r>
      <w:r w:rsidRPr="00115ADB">
        <w:t xml:space="preserve">errestrial damp and </w:t>
      </w:r>
      <w:r w:rsidR="005D145A">
        <w:t>terrestrial dry</w:t>
      </w:r>
      <w:r w:rsidRPr="00115ADB">
        <w:t xml:space="preserve"> functional groups.</w:t>
      </w:r>
      <w:r>
        <w:t xml:space="preserve"> </w:t>
      </w:r>
    </w:p>
    <w:p w:rsidR="00E809F1" w:rsidRPr="002B0EA3" w:rsidRDefault="00FC31CF" w:rsidP="00E809F1">
      <w:pPr>
        <w:rPr>
          <w:highlight w:val="yellow"/>
        </w:rPr>
      </w:pPr>
      <w:r>
        <w:t>Similarly,</w:t>
      </w:r>
      <w:r w:rsidR="00E809F1">
        <w:t xml:space="preserve"> to the 2014-15 water year, t</w:t>
      </w:r>
      <w:r w:rsidR="00E809F1" w:rsidRPr="007476C2">
        <w:t xml:space="preserve">he influence of </w:t>
      </w:r>
      <w:r w:rsidR="00E809F1">
        <w:t>wetting</w:t>
      </w:r>
      <w:r w:rsidR="00E809F1" w:rsidRPr="007476C2">
        <w:t xml:space="preserve"> was also observed in the cover of vegetation species recorded in each plot</w:t>
      </w:r>
      <w:r w:rsidR="00E809F1">
        <w:t xml:space="preserve"> during 2015-16</w:t>
      </w:r>
      <w:r w:rsidR="00E809F1" w:rsidRPr="007476C2">
        <w:t xml:space="preserve">. </w:t>
      </w:r>
      <w:r w:rsidR="00A97349">
        <w:t xml:space="preserve"> </w:t>
      </w:r>
      <w:r w:rsidR="00E809F1" w:rsidRPr="007476C2">
        <w:t xml:space="preserve">The weed species </w:t>
      </w:r>
      <w:r w:rsidR="00E809F1">
        <w:t>l</w:t>
      </w:r>
      <w:r w:rsidR="00E809F1" w:rsidRPr="007476C2">
        <w:t>ippia which exploits areas of bare ground during moist or dry conditions showed a</w:t>
      </w:r>
      <w:r w:rsidR="00E809F1">
        <w:t>n</w:t>
      </w:r>
      <w:r w:rsidR="00E809F1" w:rsidRPr="007476C2">
        <w:t xml:space="preserve"> increase in coverage in dry plots that were wet at the start of the season</w:t>
      </w:r>
      <w:r w:rsidR="00E809F1">
        <w:t xml:space="preserve">. </w:t>
      </w:r>
      <w:r w:rsidR="00A97349">
        <w:t xml:space="preserve"> </w:t>
      </w:r>
      <w:r w:rsidR="00E809F1">
        <w:t>Conversely, lippia cover showed a reduction at plots that were wet at the end of the season, specifically Valletta plots in the Mallowa watercourse where lippia cover dropped from 7.3% to 1.3%</w:t>
      </w:r>
      <w:r w:rsidR="00E809F1" w:rsidRPr="007476C2">
        <w:t>.</w:t>
      </w:r>
      <w:r w:rsidR="00E809F1">
        <w:t xml:space="preserve">  </w:t>
      </w:r>
      <w:r w:rsidR="00E809F1" w:rsidRPr="007476C2">
        <w:t>By contrast, native wetland species such as water couch and flat spike-rush displayed greater coverage in wet plots</w:t>
      </w:r>
      <w:r w:rsidR="00E809F1">
        <w:t xml:space="preserve"> as o</w:t>
      </w:r>
      <w:r w:rsidR="00E809F1" w:rsidRPr="007476C2">
        <w:t>p</w:t>
      </w:r>
      <w:r w:rsidR="00E809F1">
        <w:t>p</w:t>
      </w:r>
      <w:r w:rsidR="00E809F1" w:rsidRPr="007476C2">
        <w:t>osed to dry plots</w:t>
      </w:r>
      <w:r w:rsidR="00E809F1">
        <w:t>; this trend was also evident between sampling times, with both species showing higher covers towards the end of the season</w:t>
      </w:r>
      <w:r w:rsidR="00E809F1" w:rsidRPr="00001CFF">
        <w:t>.</w:t>
      </w:r>
      <w:r w:rsidR="00A97349">
        <w:t xml:space="preserve"> </w:t>
      </w:r>
      <w:r w:rsidR="00E809F1" w:rsidRPr="00001CFF">
        <w:t xml:space="preserve"> </w:t>
      </w:r>
      <w:r w:rsidR="00E809F1">
        <w:t>Despite this increase in these native species, as the extent of flooding decreased across the floodplain, lippia appeared to quickly colonise previously inundated bare ground and increase its cover. This is a typical response of this species in wetland habitats (Mawhinney, 2003).</w:t>
      </w:r>
      <w:r w:rsidR="00E809F1" w:rsidRPr="0004038B">
        <w:t xml:space="preserve"> </w:t>
      </w:r>
      <w:r w:rsidR="00A97349">
        <w:t xml:space="preserve"> </w:t>
      </w:r>
      <w:r w:rsidR="005D145A">
        <w:t>D</w:t>
      </w:r>
      <w:r w:rsidR="00E809F1">
        <w:t>espite the reductions noted above, overall lippia cover has been consistent for the duration of the project, with as little as 1.3% difference in mean cover between the 2014-15, and 2015-16 water years.</w:t>
      </w:r>
    </w:p>
    <w:p w:rsidR="00E809F1" w:rsidRPr="00A709E0" w:rsidRDefault="00E809F1" w:rsidP="006E559A">
      <w:pPr>
        <w:pStyle w:val="Heading7"/>
      </w:pPr>
      <w:bookmarkStart w:id="121" w:name="_Toc426839289"/>
      <w:r w:rsidRPr="00A709E0">
        <w:t>Conclusion</w:t>
      </w:r>
      <w:bookmarkEnd w:id="121"/>
    </w:p>
    <w:p w:rsidR="00E809F1" w:rsidRPr="002B0EA3" w:rsidRDefault="00E809F1" w:rsidP="00E809F1">
      <w:pPr>
        <w:rPr>
          <w:highlight w:val="yellow"/>
        </w:rPr>
      </w:pPr>
      <w:r>
        <w:t>Inundation of sites within</w:t>
      </w:r>
      <w:r w:rsidRPr="00A709E0">
        <w:t xml:space="preserve"> the </w:t>
      </w:r>
      <w:r>
        <w:t xml:space="preserve">Gwydir, </w:t>
      </w:r>
      <w:r w:rsidRPr="00A709E0">
        <w:t xml:space="preserve">Gingham, and Mallowa </w:t>
      </w:r>
      <w:r w:rsidR="00605C43">
        <w:t>system</w:t>
      </w:r>
      <w:r>
        <w:t>s</w:t>
      </w:r>
      <w:r w:rsidRPr="00A709E0">
        <w:t xml:space="preserve"> during the 2015-16 water year influenced </w:t>
      </w:r>
      <w:r w:rsidR="00D35294">
        <w:t xml:space="preserve">three of the </w:t>
      </w:r>
      <w:r w:rsidRPr="00A709E0">
        <w:t>four</w:t>
      </w:r>
      <w:r w:rsidR="00F32154">
        <w:t xml:space="preserve"> w</w:t>
      </w:r>
      <w:r w:rsidRPr="00A709E0">
        <w:t xml:space="preserve">ater dependent vegetation communities surveyed. </w:t>
      </w:r>
      <w:r w:rsidR="00A97349">
        <w:t xml:space="preserve"> </w:t>
      </w:r>
      <w:r w:rsidRPr="00154607">
        <w:t xml:space="preserve">The presence of water </w:t>
      </w:r>
      <w:r>
        <w:t xml:space="preserve">as a result of rainfall </w:t>
      </w:r>
      <w:r w:rsidRPr="00154607">
        <w:t>early in the season in the Gingham watercourse influence</w:t>
      </w:r>
      <w:r>
        <w:t>d</w:t>
      </w:r>
      <w:r w:rsidRPr="00154607">
        <w:t xml:space="preserve"> vegetation cover and species richness, </w:t>
      </w:r>
      <w:r>
        <w:t xml:space="preserve">with inundation </w:t>
      </w:r>
      <w:r w:rsidRPr="007B30CA">
        <w:t>tend</w:t>
      </w:r>
      <w:r>
        <w:t>ing</w:t>
      </w:r>
      <w:r w:rsidRPr="007B30CA">
        <w:t xml:space="preserve"> to favour wetland species</w:t>
      </w:r>
      <w:r>
        <w:t xml:space="preserve"> due to their ability to respond to </w:t>
      </w:r>
      <w:r w:rsidRPr="007B30CA">
        <w:t>inundation</w:t>
      </w:r>
      <w:r>
        <w:t>, resulting in</w:t>
      </w:r>
      <w:r w:rsidRPr="007B30CA">
        <w:t xml:space="preserve"> increas</w:t>
      </w:r>
      <w:r>
        <w:t>ed vegetation</w:t>
      </w:r>
      <w:r w:rsidRPr="007B30CA">
        <w:t xml:space="preserve"> cover. </w:t>
      </w:r>
      <w:r w:rsidR="00A97349">
        <w:t xml:space="preserve"> </w:t>
      </w:r>
      <w:r>
        <w:t>Environmental water d</w:t>
      </w:r>
      <w:r w:rsidR="00D9351E">
        <w:t>elivered to the Mallowa system</w:t>
      </w:r>
      <w:r>
        <w:t xml:space="preserve"> between survey times also increased vegetation cover. </w:t>
      </w:r>
      <w:r w:rsidR="00A97349">
        <w:t xml:space="preserve"> </w:t>
      </w:r>
      <w:r>
        <w:t>Similar to year 1 findings, the mean cover of w</w:t>
      </w:r>
      <w:r w:rsidRPr="007B30CA">
        <w:t xml:space="preserve">ater couch and </w:t>
      </w:r>
      <w:r>
        <w:t>flat</w:t>
      </w:r>
      <w:r w:rsidRPr="007B30CA">
        <w:t xml:space="preserve"> spike-rush increased to an extent where they appeared to out compete </w:t>
      </w:r>
      <w:r>
        <w:t>l</w:t>
      </w:r>
      <w:r w:rsidRPr="007B30CA">
        <w:t>ippia and reduce its coverage at sites that were wet.</w:t>
      </w:r>
      <w:r>
        <w:t xml:space="preserve"> In general,</w:t>
      </w:r>
      <w:r w:rsidRPr="00154607">
        <w:t xml:space="preserve"> </w:t>
      </w:r>
      <w:r w:rsidRPr="00A218B0">
        <w:t>mean vegetation cover across all sites increased significantly between sampling periods, which is an encouraging sign for the health of these wetland communities.</w:t>
      </w:r>
      <w:r>
        <w:t xml:space="preserve"> </w:t>
      </w:r>
    </w:p>
    <w:p w:rsidR="00E809F1" w:rsidRPr="00C26096" w:rsidRDefault="00E809F1" w:rsidP="006E559A">
      <w:pPr>
        <w:pStyle w:val="Heading7"/>
      </w:pPr>
      <w:bookmarkStart w:id="122" w:name="_Toc426839290"/>
      <w:r w:rsidRPr="00C26096">
        <w:t>References</w:t>
      </w:r>
      <w:bookmarkEnd w:id="122"/>
    </w:p>
    <w:p w:rsidR="00E809F1" w:rsidRPr="00C26096" w:rsidRDefault="00E809F1" w:rsidP="00E809F1">
      <w:pPr>
        <w:rPr>
          <w:szCs w:val="20"/>
          <w:lang w:eastAsia="en-AU"/>
        </w:rPr>
      </w:pPr>
      <w:r w:rsidRPr="00C26096">
        <w:rPr>
          <w:szCs w:val="20"/>
        </w:rPr>
        <w:t>Bowen</w:t>
      </w:r>
      <w:r w:rsidR="004F68E6">
        <w:rPr>
          <w:szCs w:val="20"/>
        </w:rPr>
        <w:t>,</w:t>
      </w:r>
      <w:r w:rsidRPr="00C26096">
        <w:rPr>
          <w:szCs w:val="20"/>
        </w:rPr>
        <w:t xml:space="preserve"> S. </w:t>
      </w:r>
      <w:r w:rsidR="009F0217">
        <w:rPr>
          <w:szCs w:val="20"/>
        </w:rPr>
        <w:t>&amp;</w:t>
      </w:r>
      <w:r w:rsidRPr="00C26096">
        <w:rPr>
          <w:szCs w:val="20"/>
        </w:rPr>
        <w:t xml:space="preserve"> Simpson, S.</w:t>
      </w:r>
      <w:r w:rsidR="004F68E6">
        <w:rPr>
          <w:szCs w:val="20"/>
        </w:rPr>
        <w:t>L. 2010.</w:t>
      </w:r>
      <w:r w:rsidRPr="00C26096">
        <w:rPr>
          <w:szCs w:val="20"/>
        </w:rPr>
        <w:t xml:space="preserve"> </w:t>
      </w:r>
      <w:r w:rsidRPr="004F68E6">
        <w:rPr>
          <w:i/>
          <w:szCs w:val="20"/>
          <w:lang w:eastAsia="en-AU"/>
        </w:rPr>
        <w:t>Changes in Extent and Condition of the Vegetation Communities of the Gwydir Wetlands and Floodplain 1996-2008</w:t>
      </w:r>
      <w:r w:rsidRPr="00C26096">
        <w:rPr>
          <w:szCs w:val="20"/>
          <w:lang w:eastAsia="en-AU"/>
        </w:rPr>
        <w:t>: Final Report NSW Wetland Recovery Program. NSW Department of Envir</w:t>
      </w:r>
      <w:r w:rsidR="004F68E6">
        <w:rPr>
          <w:szCs w:val="20"/>
          <w:lang w:eastAsia="en-AU"/>
        </w:rPr>
        <w:t>onment Climate Change and Water,</w:t>
      </w:r>
      <w:r w:rsidRPr="00C26096">
        <w:rPr>
          <w:szCs w:val="20"/>
          <w:lang w:eastAsia="en-AU"/>
        </w:rPr>
        <w:t xml:space="preserve"> Sydney</w:t>
      </w:r>
    </w:p>
    <w:p w:rsidR="00E809F1" w:rsidRPr="00C26096" w:rsidRDefault="004F68E6" w:rsidP="00E809F1">
      <w:pPr>
        <w:rPr>
          <w:szCs w:val="20"/>
        </w:rPr>
      </w:pPr>
      <w:r>
        <w:rPr>
          <w:szCs w:val="20"/>
        </w:rPr>
        <w:t xml:space="preserve">Brock, M.A. </w:t>
      </w:r>
      <w:r w:rsidR="009F0217">
        <w:rPr>
          <w:szCs w:val="20"/>
        </w:rPr>
        <w:t>&amp;</w:t>
      </w:r>
      <w:r>
        <w:rPr>
          <w:szCs w:val="20"/>
        </w:rPr>
        <w:t xml:space="preserve"> Casanova, M.T. </w:t>
      </w:r>
      <w:r w:rsidR="00E809F1" w:rsidRPr="00C26096">
        <w:rPr>
          <w:szCs w:val="20"/>
        </w:rPr>
        <w:t>1997</w:t>
      </w:r>
      <w:r>
        <w:rPr>
          <w:szCs w:val="20"/>
        </w:rPr>
        <w:t>.</w:t>
      </w:r>
      <w:r w:rsidR="00E809F1" w:rsidRPr="00C26096">
        <w:rPr>
          <w:szCs w:val="20"/>
        </w:rPr>
        <w:t xml:space="preserve"> Plant life at the edge of wetlands: ecological responses to wetting and drying patterns. </w:t>
      </w:r>
      <w:r w:rsidR="00E809F1" w:rsidRPr="004F68E6">
        <w:rPr>
          <w:szCs w:val="20"/>
        </w:rPr>
        <w:t xml:space="preserve">In </w:t>
      </w:r>
      <w:r w:rsidR="00E809F1" w:rsidRPr="004F68E6">
        <w:rPr>
          <w:i/>
          <w:szCs w:val="20"/>
        </w:rPr>
        <w:t>Frontiers of Ecology; Building the Links</w:t>
      </w:r>
      <w:r w:rsidR="00E809F1" w:rsidRPr="00C26096">
        <w:rPr>
          <w:szCs w:val="20"/>
        </w:rPr>
        <w:t xml:space="preserve">. </w:t>
      </w:r>
      <w:r w:rsidR="00E809F1" w:rsidRPr="00C26096">
        <w:rPr>
          <w:i/>
          <w:szCs w:val="20"/>
        </w:rPr>
        <w:t>Edited by</w:t>
      </w:r>
      <w:r w:rsidR="00E809F1" w:rsidRPr="00C26096">
        <w:rPr>
          <w:szCs w:val="20"/>
        </w:rPr>
        <w:t xml:space="preserve"> N.</w:t>
      </w:r>
      <w:r>
        <w:rPr>
          <w:szCs w:val="20"/>
        </w:rPr>
        <w:t xml:space="preserve"> </w:t>
      </w:r>
      <w:r w:rsidR="00E809F1" w:rsidRPr="00C26096">
        <w:rPr>
          <w:szCs w:val="20"/>
        </w:rPr>
        <w:t xml:space="preserve">Klomp and Lunt. Elsevier Science, Oxford. </w:t>
      </w:r>
      <w:r>
        <w:rPr>
          <w:szCs w:val="20"/>
        </w:rPr>
        <w:t>p</w:t>
      </w:r>
      <w:r w:rsidR="00E809F1" w:rsidRPr="00C26096">
        <w:rPr>
          <w:szCs w:val="20"/>
        </w:rPr>
        <w:t>p. 181-192</w:t>
      </w:r>
    </w:p>
    <w:p w:rsidR="00E809F1" w:rsidRPr="00C26096" w:rsidRDefault="004F68E6" w:rsidP="00E809F1">
      <w:pPr>
        <w:rPr>
          <w:szCs w:val="20"/>
        </w:rPr>
      </w:pPr>
      <w:r>
        <w:rPr>
          <w:szCs w:val="20"/>
        </w:rPr>
        <w:t>Commonwealth of Australia. 2014a.</w:t>
      </w:r>
      <w:r w:rsidR="00E809F1" w:rsidRPr="00C26096">
        <w:rPr>
          <w:szCs w:val="20"/>
        </w:rPr>
        <w:t xml:space="preserve"> </w:t>
      </w:r>
      <w:r w:rsidR="00E809F1" w:rsidRPr="004F68E6">
        <w:rPr>
          <w:i/>
          <w:szCs w:val="20"/>
        </w:rPr>
        <w:t>Commonwealth environmental water use optio</w:t>
      </w:r>
      <w:r w:rsidRPr="004F68E6">
        <w:rPr>
          <w:i/>
          <w:szCs w:val="20"/>
        </w:rPr>
        <w:t>ns 2014-15: Gwydir River Valley</w:t>
      </w:r>
      <w:r>
        <w:rPr>
          <w:szCs w:val="20"/>
        </w:rPr>
        <w:t>.</w:t>
      </w:r>
      <w:r w:rsidR="00E809F1" w:rsidRPr="00C26096">
        <w:rPr>
          <w:szCs w:val="20"/>
        </w:rPr>
        <w:t xml:space="preserve"> Commonwealth of Australia.</w:t>
      </w:r>
    </w:p>
    <w:p w:rsidR="004F68E6" w:rsidRPr="003B535A" w:rsidRDefault="004F68E6" w:rsidP="004F68E6">
      <w:r>
        <w:t>Commonwealth of Australia. 2014b.</w:t>
      </w:r>
      <w:r w:rsidRPr="004335CD">
        <w:t xml:space="preserve"> </w:t>
      </w:r>
      <w:r w:rsidRPr="00F51322">
        <w:rPr>
          <w:i/>
        </w:rPr>
        <w:t>Commonwealth Environmental Water Office Long Term Intervention Monitoring Project Gwydir River System Selected Area</w:t>
      </w:r>
      <w:r>
        <w:rPr>
          <w:i/>
        </w:rPr>
        <w:t>.</w:t>
      </w:r>
      <w:r>
        <w:t xml:space="preserve"> Commonwealth of Australia.</w:t>
      </w:r>
    </w:p>
    <w:p w:rsidR="004F68E6" w:rsidRDefault="004F68E6" w:rsidP="004F68E6">
      <w:r>
        <w:t xml:space="preserve">Commonwealth of Australia. 2015. </w:t>
      </w:r>
      <w:r w:rsidRPr="008A7199">
        <w:rPr>
          <w:i/>
        </w:rPr>
        <w:t>Commonwealth Environmental Water Office Long Term intervention Monitoring Project Gwydir River System Selected Area – 2014-15 Evaluation Report</w:t>
      </w:r>
      <w:r>
        <w:t>. Commonwealth of Australia.</w:t>
      </w:r>
    </w:p>
    <w:p w:rsidR="00E809F1" w:rsidRPr="00C26096" w:rsidRDefault="00E809F1" w:rsidP="00E809F1">
      <w:pPr>
        <w:rPr>
          <w:szCs w:val="20"/>
        </w:rPr>
      </w:pPr>
      <w:r w:rsidRPr="00C26096">
        <w:rPr>
          <w:szCs w:val="20"/>
        </w:rPr>
        <w:t>Hale</w:t>
      </w:r>
      <w:r w:rsidR="004F68E6">
        <w:rPr>
          <w:szCs w:val="20"/>
        </w:rPr>
        <w:t>,</w:t>
      </w:r>
      <w:r w:rsidRPr="00C26096">
        <w:rPr>
          <w:szCs w:val="20"/>
        </w:rPr>
        <w:t xml:space="preserve"> J., Stoffels</w:t>
      </w:r>
      <w:r w:rsidR="004F68E6">
        <w:rPr>
          <w:szCs w:val="20"/>
        </w:rPr>
        <w:t>,</w:t>
      </w:r>
      <w:r w:rsidRPr="00C26096">
        <w:rPr>
          <w:szCs w:val="20"/>
        </w:rPr>
        <w:t xml:space="preserve"> R., Butcher</w:t>
      </w:r>
      <w:r w:rsidR="004F68E6">
        <w:rPr>
          <w:szCs w:val="20"/>
        </w:rPr>
        <w:t>,</w:t>
      </w:r>
      <w:r w:rsidRPr="00C26096">
        <w:rPr>
          <w:szCs w:val="20"/>
        </w:rPr>
        <w:t xml:space="preserve"> R., Shackleton</w:t>
      </w:r>
      <w:r w:rsidR="004F68E6">
        <w:rPr>
          <w:szCs w:val="20"/>
        </w:rPr>
        <w:t>,</w:t>
      </w:r>
      <w:r w:rsidRPr="00C26096">
        <w:rPr>
          <w:szCs w:val="20"/>
        </w:rPr>
        <w:t xml:space="preserve"> M., Brooks</w:t>
      </w:r>
      <w:r w:rsidR="004F68E6">
        <w:rPr>
          <w:szCs w:val="20"/>
        </w:rPr>
        <w:t>,</w:t>
      </w:r>
      <w:r w:rsidRPr="00C26096">
        <w:rPr>
          <w:szCs w:val="20"/>
        </w:rPr>
        <w:t xml:space="preserve"> S. &amp; Gawne</w:t>
      </w:r>
      <w:r w:rsidR="004F68E6">
        <w:rPr>
          <w:szCs w:val="20"/>
        </w:rPr>
        <w:t>, B. 2013</w:t>
      </w:r>
      <w:r w:rsidRPr="004F68E6">
        <w:rPr>
          <w:i/>
          <w:szCs w:val="20"/>
        </w:rPr>
        <w:t>. Commonwealth Environmental Water Office Long Term Intervention Monitoring Project – Standard Methods</w:t>
      </w:r>
      <w:r w:rsidRPr="00C26096">
        <w:rPr>
          <w:szCs w:val="20"/>
        </w:rPr>
        <w:t>. Final Report prepared for the Commonwealth Environmental Water Office by The Murray Darling Freshwater Research Centre.</w:t>
      </w:r>
    </w:p>
    <w:p w:rsidR="00E809F1" w:rsidRDefault="009F0217" w:rsidP="00E809F1">
      <w:r>
        <w:t>Mawhinney, W.</w:t>
      </w:r>
      <w:r w:rsidR="004F68E6">
        <w:t>A. 2003</w:t>
      </w:r>
      <w:r w:rsidR="00E809F1">
        <w:t xml:space="preserve">. Restoring Biodiversity in the Gwydir Wetlands through environmental flows. </w:t>
      </w:r>
      <w:r w:rsidR="00E809F1" w:rsidRPr="0004038B">
        <w:rPr>
          <w:i/>
        </w:rPr>
        <w:t>Water Science and Technology</w:t>
      </w:r>
      <w:r w:rsidR="00E809F1">
        <w:rPr>
          <w:i/>
        </w:rPr>
        <w:t xml:space="preserve">, </w:t>
      </w:r>
      <w:r w:rsidR="00E809F1" w:rsidRPr="004F68E6">
        <w:rPr>
          <w:i/>
        </w:rPr>
        <w:t>48</w:t>
      </w:r>
      <w:r w:rsidR="00E809F1">
        <w:t>(7), 73-81.</w:t>
      </w:r>
    </w:p>
    <w:p w:rsidR="00B264ED" w:rsidRDefault="00B264ED" w:rsidP="00E809F1">
      <w:r>
        <w:t xml:space="preserve">Venables W.N. and Ripley B.D. 2002. </w:t>
      </w:r>
      <w:r w:rsidRPr="00B264ED">
        <w:rPr>
          <w:i/>
        </w:rPr>
        <w:t>Modern Applied Statistics with s, 4</w:t>
      </w:r>
      <w:r w:rsidRPr="00B264ED">
        <w:rPr>
          <w:i/>
          <w:vertAlign w:val="superscript"/>
        </w:rPr>
        <w:t>th</w:t>
      </w:r>
      <w:r w:rsidRPr="00B264ED">
        <w:rPr>
          <w:i/>
        </w:rPr>
        <w:t xml:space="preserve"> edition.</w:t>
      </w:r>
      <w:r>
        <w:t xml:space="preserve"> Springer, New York.</w:t>
      </w:r>
    </w:p>
    <w:p w:rsidR="00E809F1" w:rsidRDefault="00E809F1" w:rsidP="00E809F1">
      <w:pPr>
        <w:sectPr w:rsidR="00E809F1" w:rsidSect="004F411E">
          <w:headerReference w:type="even" r:id="rId146"/>
          <w:headerReference w:type="default" r:id="rId147"/>
          <w:footerReference w:type="default" r:id="rId148"/>
          <w:headerReference w:type="first" r:id="rId149"/>
          <w:type w:val="nextColumn"/>
          <w:pgSz w:w="11899" w:h="16838"/>
          <w:pgMar w:top="1508" w:right="1219" w:bottom="1457" w:left="1480" w:header="811" w:footer="305" w:gutter="0"/>
          <w:pgNumType w:chapStyle="6"/>
          <w:cols w:space="708"/>
          <w:docGrid w:linePitch="360"/>
        </w:sectPr>
      </w:pPr>
      <w:r>
        <w:t>Wilson, G.G., Bickel, T.O., Berney, P.J. &amp; Sisson, J.</w:t>
      </w:r>
      <w:r w:rsidR="004F68E6">
        <w:t>L. 2009</w:t>
      </w:r>
      <w:r>
        <w:t xml:space="preserve">. </w:t>
      </w:r>
      <w:r w:rsidRPr="004F68E6">
        <w:rPr>
          <w:i/>
        </w:rPr>
        <w:t xml:space="preserve">Managing environmental flows in an agricultural landscape: the </w:t>
      </w:r>
      <w:r w:rsidR="001C3C04" w:rsidRPr="004F68E6">
        <w:rPr>
          <w:i/>
        </w:rPr>
        <w:t>lower</w:t>
      </w:r>
      <w:r w:rsidRPr="004F68E6">
        <w:rPr>
          <w:i/>
        </w:rPr>
        <w:t xml:space="preserve"> Gwydir floodplain. </w:t>
      </w:r>
      <w:r>
        <w:t xml:space="preserve">Final Report to the Australian Government Department of the Environment, Water, Heritage and the Arts. University of New England and Cotton Catchment Communities Cooperative Research Centre, Armidale, New South Wales. </w:t>
      </w:r>
    </w:p>
    <w:p w:rsidR="00E809F1" w:rsidRDefault="00E809F1" w:rsidP="00BF6C2B">
      <w:pPr>
        <w:pStyle w:val="Heading6"/>
      </w:pPr>
      <w:bookmarkStart w:id="123" w:name="_Ref458695528"/>
      <w:r w:rsidRPr="00051750">
        <w:t>Small</w:t>
      </w:r>
      <w:r>
        <w:t>-bodied fish and frogs</w:t>
      </w:r>
      <w:bookmarkEnd w:id="123"/>
    </w:p>
    <w:p w:rsidR="00E809F1" w:rsidRDefault="00E809F1" w:rsidP="00BF6C2B">
      <w:pPr>
        <w:pStyle w:val="Heading7"/>
      </w:pPr>
      <w:r w:rsidRPr="00BF6C2B">
        <w:t>Introduction</w:t>
      </w:r>
    </w:p>
    <w:p w:rsidR="00E809F1" w:rsidRDefault="00E809F1" w:rsidP="00E809F1">
      <w:r>
        <w:t>Small</w:t>
      </w:r>
      <w:r w:rsidR="005B2830">
        <w:t>-bodied</w:t>
      </w:r>
      <w:r>
        <w:t xml:space="preserve"> fish</w:t>
      </w:r>
      <w:r w:rsidR="005B2830">
        <w:t xml:space="preserve"> (small fish)</w:t>
      </w:r>
      <w:r>
        <w:t xml:space="preserve"> and frogs are critical components of the wetland food web, providing a link between micro- and macroinvertebrates</w:t>
      </w:r>
      <w:r w:rsidR="005B2830">
        <w:t>,</w:t>
      </w:r>
      <w:r>
        <w:t xml:space="preserve"> and higher level preda</w:t>
      </w:r>
      <w:r w:rsidR="005B2830">
        <w:t>tors such as larger fish, birds</w:t>
      </w:r>
      <w:r>
        <w:t xml:space="preserve"> and snakes.  Small fish and frogs are able to disperse in relatively shallow water, so can be among the first aquatic vertebrates to colonise areas that have become recently inundated. </w:t>
      </w:r>
    </w:p>
    <w:p w:rsidR="00E809F1" w:rsidRDefault="00603289" w:rsidP="00E809F1">
      <w:r>
        <w:t>In wetlands of the Gwydir r</w:t>
      </w:r>
      <w:r w:rsidR="00E809F1">
        <w:t xml:space="preserve">iver </w:t>
      </w:r>
      <w:r>
        <w:t xml:space="preserve">system </w:t>
      </w:r>
      <w:r w:rsidR="00E809F1">
        <w:t>Selected Area</w:t>
      </w:r>
      <w:r w:rsidR="005B2830">
        <w:t xml:space="preserve"> (Gwydir Selected Area)</w:t>
      </w:r>
      <w:r w:rsidR="00E809F1">
        <w:t xml:space="preserve">, environmental flows </w:t>
      </w:r>
      <w:r w:rsidR="005B2830">
        <w:t xml:space="preserve">can </w:t>
      </w:r>
      <w:r w:rsidR="00E809F1">
        <w:t xml:space="preserve">result in </w:t>
      </w:r>
      <w:r w:rsidR="005B2830">
        <w:t>small</w:t>
      </w:r>
      <w:r w:rsidR="00E809F1">
        <w:t xml:space="preserve"> rises in water level that extend the edge of the river across the floodplain to eventually join up with previously isolated wetlands. </w:t>
      </w:r>
      <w:r w:rsidR="00A97349">
        <w:t xml:space="preserve"> </w:t>
      </w:r>
      <w:r w:rsidR="00E809F1">
        <w:t xml:space="preserve">This connection allows wetland fish to radiate from the wetland, or to enter it from the river. </w:t>
      </w:r>
      <w:r w:rsidR="00A97349">
        <w:t xml:space="preserve"> </w:t>
      </w:r>
      <w:r w:rsidR="00E809F1">
        <w:t xml:space="preserve">In this way, small fish and frogs are </w:t>
      </w:r>
      <w:r w:rsidR="005B2830">
        <w:t>often</w:t>
      </w:r>
      <w:r w:rsidR="00E809F1">
        <w:t xml:space="preserve"> able to exploit environmental flows before large bodied fish.     </w:t>
      </w:r>
    </w:p>
    <w:p w:rsidR="00E809F1" w:rsidRDefault="00E809F1" w:rsidP="00E809F1">
      <w:r>
        <w:t xml:space="preserve">Frogs and small fish monitoring was added to the initial LTIM program in 2015-16 to supplement the current suite of indicators surveyed in the Gwydir </w:t>
      </w:r>
      <w:r w:rsidR="005B2830">
        <w:t xml:space="preserve">Selected Area. </w:t>
      </w:r>
      <w:r w:rsidR="00A97349">
        <w:t xml:space="preserve"> </w:t>
      </w:r>
      <w:r w:rsidR="005B2830">
        <w:t>The aim</w:t>
      </w:r>
      <w:r>
        <w:t xml:space="preserve"> of this component </w:t>
      </w:r>
      <w:r w:rsidR="005B2830">
        <w:t>is</w:t>
      </w:r>
      <w:r>
        <w:t xml:space="preserve"> to survey wetlands in the </w:t>
      </w:r>
      <w:r w:rsidR="005B2830">
        <w:t>Selected Area for small</w:t>
      </w:r>
      <w:r>
        <w:t xml:space="preserve"> fish and frogs</w:t>
      </w:r>
      <w:r w:rsidR="005B2830">
        <w:t xml:space="preserve"> in relation to </w:t>
      </w:r>
      <w:r>
        <w:t>environmental flows.</w:t>
      </w:r>
    </w:p>
    <w:p w:rsidR="00E809F1" w:rsidRPr="004335CD" w:rsidRDefault="005B2830" w:rsidP="00E809F1">
      <w:r>
        <w:t>In the long-</w:t>
      </w:r>
      <w:r w:rsidR="00E809F1">
        <w:t xml:space="preserve">term, the data collected could indicate whether communities increase in diversity in the years when environmental water is delivered to the Selected Area. </w:t>
      </w:r>
      <w:r w:rsidR="00A97349">
        <w:t xml:space="preserve"> </w:t>
      </w:r>
      <w:r w:rsidR="00E809F1" w:rsidRPr="004335CD">
        <w:t xml:space="preserve">Several specific questions were addressed through the monitoring of </w:t>
      </w:r>
      <w:r w:rsidR="00E809F1">
        <w:t>frogs and small fish</w:t>
      </w:r>
      <w:r w:rsidR="00E809F1" w:rsidRPr="004335CD">
        <w:t xml:space="preserve"> </w:t>
      </w:r>
      <w:r w:rsidR="00E809F1">
        <w:t>during the 2015-16 water year</w:t>
      </w:r>
      <w:r w:rsidR="00E809F1" w:rsidRPr="004335CD">
        <w:t xml:space="preserve"> in the </w:t>
      </w:r>
      <w:r w:rsidR="00E809F1">
        <w:t xml:space="preserve">Gingham and </w:t>
      </w:r>
      <w:r w:rsidR="001C3C04">
        <w:t>lower</w:t>
      </w:r>
      <w:r w:rsidR="00E809F1">
        <w:t xml:space="preserve"> </w:t>
      </w:r>
      <w:r w:rsidR="00E809F1" w:rsidRPr="004335CD">
        <w:t xml:space="preserve">Gwydir </w:t>
      </w:r>
      <w:r w:rsidR="00E809F1">
        <w:t>w</w:t>
      </w:r>
      <w:r w:rsidR="00E809F1" w:rsidRPr="004335CD">
        <w:t>etlands:</w:t>
      </w:r>
    </w:p>
    <w:p w:rsidR="00E809F1" w:rsidRPr="00960FAA" w:rsidRDefault="00E809F1" w:rsidP="005E1E2E">
      <w:pPr>
        <w:pStyle w:val="Bullets1"/>
        <w:numPr>
          <w:ilvl w:val="0"/>
          <w:numId w:val="10"/>
        </w:numPr>
        <w:ind w:left="1134" w:hanging="567"/>
      </w:pPr>
      <w:r w:rsidRPr="00960FAA">
        <w:t xml:space="preserve">What did Commonwealth environmental water contribute to </w:t>
      </w:r>
      <w:r>
        <w:t>frog</w:t>
      </w:r>
      <w:r w:rsidRPr="00960FAA">
        <w:t xml:space="preserve"> </w:t>
      </w:r>
      <w:r w:rsidR="005B2830">
        <w:t>and small-</w:t>
      </w:r>
      <w:r>
        <w:t xml:space="preserve">bodied fish </w:t>
      </w:r>
      <w:r w:rsidRPr="00960FAA">
        <w:t>populations?</w:t>
      </w:r>
    </w:p>
    <w:p w:rsidR="00E809F1" w:rsidRPr="00960FAA" w:rsidRDefault="00E809F1" w:rsidP="005E1E2E">
      <w:pPr>
        <w:pStyle w:val="Bullets1"/>
        <w:numPr>
          <w:ilvl w:val="0"/>
          <w:numId w:val="10"/>
        </w:numPr>
        <w:ind w:left="1134" w:hanging="567"/>
      </w:pPr>
      <w:r w:rsidRPr="00960FAA">
        <w:t xml:space="preserve">What did Commonwealth environmental water contribute to </w:t>
      </w:r>
      <w:r>
        <w:t>frog</w:t>
      </w:r>
      <w:r w:rsidRPr="00960FAA">
        <w:t xml:space="preserve"> </w:t>
      </w:r>
      <w:r>
        <w:t>and small</w:t>
      </w:r>
      <w:r w:rsidR="005B2830">
        <w:t>-</w:t>
      </w:r>
      <w:r>
        <w:t xml:space="preserve">bodied fish </w:t>
      </w:r>
      <w:r w:rsidRPr="00960FAA">
        <w:t>species diversity?</w:t>
      </w:r>
    </w:p>
    <w:p w:rsidR="00E809F1" w:rsidRPr="001E7DF5" w:rsidRDefault="00E809F1" w:rsidP="00051750">
      <w:pPr>
        <w:pStyle w:val="Heading8"/>
      </w:pPr>
      <w:r>
        <w:t>Environmental watering in 2015-16</w:t>
      </w:r>
    </w:p>
    <w:p w:rsidR="00E809F1" w:rsidRDefault="000A32AE" w:rsidP="00E809F1">
      <w:r w:rsidRPr="003126AB">
        <w:t xml:space="preserve">During 2015-16 environmental water was delivered to several of the </w:t>
      </w:r>
      <w:r w:rsidR="001C3C04">
        <w:t>lower</w:t>
      </w:r>
      <w:r w:rsidRPr="003126AB">
        <w:t xml:space="preserve"> Gwydir River channels (</w:t>
      </w:r>
      <w:r>
        <w:fldChar w:fldCharType="begin"/>
      </w:r>
      <w:r>
        <w:instrText xml:space="preserve"> REF _Ref457987841 \r \h </w:instrText>
      </w:r>
      <w:r>
        <w:fldChar w:fldCharType="separate"/>
      </w:r>
      <w:r w:rsidR="005D5925">
        <w:t>Appendix A</w:t>
      </w:r>
      <w:r>
        <w:fldChar w:fldCharType="end"/>
      </w:r>
      <w:r w:rsidRPr="003126AB">
        <w:t xml:space="preserve">). </w:t>
      </w:r>
      <w:r w:rsidR="00A97349">
        <w:t xml:space="preserve"> </w:t>
      </w:r>
      <w:r w:rsidRPr="003126AB">
        <w:t xml:space="preserve">In November 2015, a flow event occurred down the Mehi River and supplementary water licences owned by the CEWO were triggered. </w:t>
      </w:r>
      <w:r w:rsidR="00A97349">
        <w:t xml:space="preserve"> </w:t>
      </w:r>
      <w:r w:rsidRPr="003126AB">
        <w:t xml:space="preserve">A total of 1300 ML were accounted for with 964 ML of this water flowing down the Mehi River, and 336 ML directed down Mallowa Creek.  Through January 2016, flows were delivered into the Mallowa Creek system to inundate fringing wetlands. </w:t>
      </w:r>
      <w:r w:rsidR="00A97349">
        <w:t xml:space="preserve"> </w:t>
      </w:r>
      <w:r w:rsidRPr="003126AB">
        <w:t xml:space="preserve">Flows were also delivered into the </w:t>
      </w:r>
      <w:r w:rsidR="001C3C04">
        <w:t>lower</w:t>
      </w:r>
      <w:r w:rsidRPr="003126AB">
        <w:t xml:space="preserve"> Gwydir River and Gingham </w:t>
      </w:r>
      <w:r w:rsidR="001C3C04">
        <w:t>watercourse</w:t>
      </w:r>
      <w:r w:rsidRPr="003126AB">
        <w:t xml:space="preserve"> in February 2016, to replace flows that were abstracted in a supplementary flow event. </w:t>
      </w:r>
      <w:r>
        <w:t xml:space="preserve"> Due to critically low flows experienced in the lower Gwydir system in March and April 2016, water was delivered down the lower Gwydir, Gingham, Mehi and Carole channels as part of a dry river flow action in early April. </w:t>
      </w:r>
      <w:r w:rsidR="00A97349">
        <w:t xml:space="preserve"> </w:t>
      </w:r>
      <w:r>
        <w:t>This followed a period of 30-40 days of nil flows conditions across the catchment.</w:t>
      </w:r>
      <w:r w:rsidR="00E809F1">
        <w:t xml:space="preserve">  </w:t>
      </w:r>
    </w:p>
    <w:p w:rsidR="00E809F1" w:rsidRDefault="00E809F1" w:rsidP="00E809F1">
      <w:pPr>
        <w:rPr>
          <w:noProof/>
          <w:lang w:val="en-US"/>
        </w:rPr>
      </w:pPr>
      <w:r>
        <w:t xml:space="preserve">The December-February environmental flow release, coupled with approximately 98 mm of rain between 24 December and 5 February (measured at Moree Aero Station 053115), caused an increase </w:t>
      </w:r>
      <w:r w:rsidR="005B2830">
        <w:t>in</w:t>
      </w:r>
      <w:r>
        <w:t xml:space="preserve"> water level in the Gwydir River at Millewa between </w:t>
      </w:r>
      <w:r w:rsidRPr="00A97349">
        <w:t>1 and 14</w:t>
      </w:r>
      <w:r>
        <w:t xml:space="preserve"> February 2016 (</w:t>
      </w:r>
      <w:r w:rsidR="00B23C45">
        <w:fldChar w:fldCharType="begin"/>
      </w:r>
      <w:r w:rsidR="00B23C45">
        <w:instrText xml:space="preserve"> REF _Ref457987841 \r \h </w:instrText>
      </w:r>
      <w:r w:rsidR="00B23C45">
        <w:fldChar w:fldCharType="separate"/>
      </w:r>
      <w:r w:rsidR="005D5925">
        <w:t>Appendix A</w:t>
      </w:r>
      <w:r w:rsidR="00B23C45">
        <w:fldChar w:fldCharType="end"/>
      </w:r>
      <w:r>
        <w:t xml:space="preserve">). </w:t>
      </w:r>
      <w:r w:rsidR="00A97349">
        <w:t xml:space="preserve"> </w:t>
      </w:r>
      <w:r>
        <w:t>Flow peaked at the Millewa gauging station with river heights of 1.5 m on 3 February and 1.9 m on 8 February (</w:t>
      </w:r>
      <w:r w:rsidR="00645BC8">
        <w:fldChar w:fldCharType="begin"/>
      </w:r>
      <w:r w:rsidR="00645BC8">
        <w:instrText xml:space="preserve"> REF _Ref457994152 \h </w:instrText>
      </w:r>
      <w:r w:rsidR="00645BC8">
        <w:fldChar w:fldCharType="separate"/>
      </w:r>
      <w:r w:rsidR="005D5925">
        <w:t xml:space="preserve">Figure </w:t>
      </w:r>
      <w:r w:rsidR="005D5925">
        <w:rPr>
          <w:noProof/>
        </w:rPr>
        <w:t>H</w:t>
      </w:r>
      <w:r w:rsidR="005D5925">
        <w:noBreakHyphen/>
      </w:r>
      <w:r w:rsidR="005D5925">
        <w:rPr>
          <w:noProof/>
        </w:rPr>
        <w:t>1</w:t>
      </w:r>
      <w:r w:rsidR="00645BC8">
        <w:fldChar w:fldCharType="end"/>
      </w:r>
      <w:r>
        <w:t xml:space="preserve">). </w:t>
      </w:r>
      <w:r w:rsidR="00A97349">
        <w:t xml:space="preserve"> </w:t>
      </w:r>
      <w:r>
        <w:t xml:space="preserve">The increase in water level filled a drainage channel that runs roughly east to west from the lower Gwydir River, and north of the three dams on Old Dromana (Eastern, Middle, and Western Dam). </w:t>
      </w:r>
      <w:r w:rsidR="00A97349">
        <w:t xml:space="preserve"> </w:t>
      </w:r>
      <w:r>
        <w:t xml:space="preserve">The drainage channel comes off the Gwydir River approximately 2.5 km south of eastern dam. </w:t>
      </w:r>
      <w:r w:rsidR="00A97349">
        <w:t xml:space="preserve"> </w:t>
      </w:r>
      <w:r>
        <w:t>Along the channel, Middle Dam is at 6.6 km and Western Dam is at 7 km</w:t>
      </w:r>
      <w:r w:rsidR="005B2830">
        <w:t xml:space="preserve"> from the Gwydir </w:t>
      </w:r>
      <w:r w:rsidR="00561C43">
        <w:t>River</w:t>
      </w:r>
      <w:r>
        <w:t xml:space="preserve">. </w:t>
      </w:r>
      <w:r w:rsidR="00A97349">
        <w:t xml:space="preserve"> </w:t>
      </w:r>
      <w:r>
        <w:t>With the drainage channel filled, all three dams became hydrologically connected.</w:t>
      </w:r>
      <w:r w:rsidRPr="004D6AB5">
        <w:rPr>
          <w:noProof/>
          <w:lang w:val="en-US"/>
        </w:rPr>
        <w:t xml:space="preserve"> </w:t>
      </w:r>
    </w:p>
    <w:p w:rsidR="00E809F1" w:rsidRPr="004D6AB5" w:rsidRDefault="00E809F1" w:rsidP="00E809F1">
      <w:r>
        <w:rPr>
          <w:noProof/>
          <w:lang w:val="en-US"/>
        </w:rPr>
        <w:t>Water level in Gingham Waterhole was approximately 0.65 m during the survey in December and fell to 0.25 m on 2 January 2016</w:t>
      </w:r>
      <w:r w:rsidR="00A97349">
        <w:rPr>
          <w:noProof/>
          <w:lang w:val="en-US"/>
        </w:rPr>
        <w:t xml:space="preserve"> (</w:t>
      </w:r>
      <w:r w:rsidR="00A97349">
        <w:rPr>
          <w:noProof/>
          <w:lang w:val="en-US"/>
        </w:rPr>
        <w:fldChar w:fldCharType="begin"/>
      </w:r>
      <w:r w:rsidR="00A97349">
        <w:rPr>
          <w:noProof/>
          <w:lang w:val="en-US"/>
        </w:rPr>
        <w:instrText xml:space="preserve"> REF _Ref459889855 \h </w:instrText>
      </w:r>
      <w:r w:rsidR="00A97349">
        <w:rPr>
          <w:noProof/>
          <w:lang w:val="en-US"/>
        </w:rPr>
      </w:r>
      <w:r w:rsidR="00A97349">
        <w:rPr>
          <w:noProof/>
          <w:lang w:val="en-US"/>
        </w:rPr>
        <w:fldChar w:fldCharType="separate"/>
      </w:r>
      <w:r w:rsidR="005D5925">
        <w:t xml:space="preserve">Figure </w:t>
      </w:r>
      <w:r w:rsidR="005D5925">
        <w:rPr>
          <w:noProof/>
        </w:rPr>
        <w:t>H</w:t>
      </w:r>
      <w:r w:rsidR="005D5925">
        <w:noBreakHyphen/>
      </w:r>
      <w:r w:rsidR="005D5925">
        <w:rPr>
          <w:noProof/>
        </w:rPr>
        <w:t>2</w:t>
      </w:r>
      <w:r w:rsidR="00A97349">
        <w:rPr>
          <w:noProof/>
          <w:lang w:val="en-US"/>
        </w:rPr>
        <w:fldChar w:fldCharType="end"/>
      </w:r>
      <w:r w:rsidR="00A97349">
        <w:rPr>
          <w:noProof/>
          <w:lang w:val="en-US"/>
        </w:rPr>
        <w:t>)</w:t>
      </w:r>
      <w:r>
        <w:rPr>
          <w:noProof/>
          <w:lang w:val="en-US"/>
        </w:rPr>
        <w:t xml:space="preserve">. </w:t>
      </w:r>
      <w:r w:rsidR="00A97349">
        <w:rPr>
          <w:noProof/>
          <w:lang w:val="en-US"/>
        </w:rPr>
        <w:t xml:space="preserve"> </w:t>
      </w:r>
      <w:r>
        <w:rPr>
          <w:noProof/>
          <w:lang w:val="en-US"/>
        </w:rPr>
        <w:t>Environmental water reached the wetland on 2 January 2016 and increased the water level to 0.73 m.</w:t>
      </w:r>
      <w:r w:rsidRPr="008C1D23">
        <w:rPr>
          <w:noProof/>
          <w:lang w:eastAsia="en-AU"/>
        </w:rPr>
        <w:t xml:space="preserve"> </w:t>
      </w:r>
    </w:p>
    <w:p w:rsidR="00E809F1" w:rsidRDefault="004176FF" w:rsidP="00E809F1">
      <w:pPr>
        <w:keepNext/>
        <w:spacing w:line="240" w:lineRule="auto"/>
      </w:pPr>
      <w:r w:rsidRPr="008F5E11">
        <w:rPr>
          <w:noProof/>
          <w:lang w:eastAsia="en-AU"/>
        </w:rPr>
        <w:drawing>
          <wp:inline distT="0" distB="0" distL="0" distR="0">
            <wp:extent cx="5852795" cy="3434715"/>
            <wp:effectExtent l="0" t="0" r="14605" b="13335"/>
            <wp:docPr id="88" name="Chart 2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E809F1" w:rsidRDefault="00E809F1" w:rsidP="00426200">
      <w:pPr>
        <w:pStyle w:val="Caption"/>
        <w:spacing w:after="240"/>
      </w:pPr>
      <w:bookmarkStart w:id="124" w:name="_Ref457994152"/>
      <w:r>
        <w:t xml:space="preserve">Figure </w:t>
      </w:r>
      <w:fldSimple w:instr=" STYLEREF 6 \s ">
        <w:r w:rsidR="00673DAF">
          <w:rPr>
            <w:noProof/>
          </w:rPr>
          <w:t>H</w:t>
        </w:r>
      </w:fldSimple>
      <w:r w:rsidR="00673DAF">
        <w:noBreakHyphen/>
      </w:r>
      <w:fldSimple w:instr=" SEQ Figure \* ARABIC \s 6 ">
        <w:r w:rsidR="00673DAF">
          <w:rPr>
            <w:noProof/>
          </w:rPr>
          <w:t>1</w:t>
        </w:r>
      </w:fldSimple>
      <w:bookmarkEnd w:id="124"/>
      <w:r>
        <w:t xml:space="preserve"> </w:t>
      </w:r>
      <w:r w:rsidRPr="0089198D">
        <w:t xml:space="preserve">River height at gauging stations on the </w:t>
      </w:r>
      <w:r w:rsidR="001C3C04">
        <w:t>lower</w:t>
      </w:r>
      <w:r w:rsidRPr="0089198D">
        <w:t xml:space="preserve"> Gwydir River.</w:t>
      </w:r>
    </w:p>
    <w:p w:rsidR="00E23B8D" w:rsidRDefault="004176FF" w:rsidP="00E23B8D">
      <w:pPr>
        <w:pStyle w:val="Caption"/>
        <w:keepNext/>
      </w:pPr>
      <w:r w:rsidRPr="008F5E11">
        <w:rPr>
          <w:noProof/>
          <w:lang w:eastAsia="en-AU"/>
        </w:rPr>
        <w:drawing>
          <wp:inline distT="0" distB="0" distL="0" distR="0">
            <wp:extent cx="5838825" cy="3531870"/>
            <wp:effectExtent l="0" t="0" r="9525" b="11430"/>
            <wp:docPr id="89" name="Chart 2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E809F1" w:rsidRDefault="00E23B8D" w:rsidP="00E23B8D">
      <w:pPr>
        <w:pStyle w:val="Caption"/>
      </w:pPr>
      <w:bookmarkStart w:id="125" w:name="_Ref459889855"/>
      <w:r>
        <w:t xml:space="preserve">Figure </w:t>
      </w:r>
      <w:fldSimple w:instr=" STYLEREF 6 \s ">
        <w:r w:rsidR="00673DAF">
          <w:rPr>
            <w:noProof/>
          </w:rPr>
          <w:t>H</w:t>
        </w:r>
      </w:fldSimple>
      <w:r w:rsidR="00673DAF">
        <w:noBreakHyphen/>
      </w:r>
      <w:fldSimple w:instr=" SEQ Figure \* ARABIC \s 6 ">
        <w:r w:rsidR="00673DAF">
          <w:rPr>
            <w:noProof/>
          </w:rPr>
          <w:t>2</w:t>
        </w:r>
      </w:fldSimple>
      <w:bookmarkEnd w:id="125"/>
      <w:r>
        <w:t xml:space="preserve"> Water level at gauging stations along the Gingham watercourse.</w:t>
      </w:r>
    </w:p>
    <w:p w:rsidR="00E809F1" w:rsidRDefault="00E809F1" w:rsidP="00051750">
      <w:pPr>
        <w:pStyle w:val="Heading7"/>
      </w:pPr>
      <w:r w:rsidRPr="00051750">
        <w:t>Methods</w:t>
      </w:r>
    </w:p>
    <w:p w:rsidR="00E809F1" w:rsidRDefault="00E809F1" w:rsidP="00051750">
      <w:pPr>
        <w:pStyle w:val="Heading8"/>
      </w:pPr>
      <w:r w:rsidRPr="00051750">
        <w:t>Survey</w:t>
      </w:r>
      <w:r>
        <w:t xml:space="preserve"> sites and timing</w:t>
      </w:r>
    </w:p>
    <w:p w:rsidR="00E809F1" w:rsidRDefault="00E809F1" w:rsidP="00E809F1">
      <w:r>
        <w:t xml:space="preserve">Six sites with differing hydrological regimes, different levels of connectivity </w:t>
      </w:r>
      <w:r w:rsidR="00BC3D22">
        <w:t>with environmental water</w:t>
      </w:r>
      <w:r>
        <w:t xml:space="preserve">, and different vegetation types, were sampled for frogs and fish. </w:t>
      </w:r>
      <w:r w:rsidR="00A97349">
        <w:t xml:space="preserve"> </w:t>
      </w:r>
      <w:r>
        <w:t xml:space="preserve">Sampling occurred from 7 to 9 December 2015, and from 10 to 13 February 2016. </w:t>
      </w:r>
      <w:r w:rsidR="00A97349">
        <w:t xml:space="preserve"> </w:t>
      </w:r>
      <w:r>
        <w:t xml:space="preserve">These survey dates occurred prior to the December-January flow release, and immediately after the January-February release. </w:t>
      </w:r>
      <w:r w:rsidR="00A97349">
        <w:t xml:space="preserve"> </w:t>
      </w:r>
      <w:r>
        <w:t xml:space="preserve">A third survey of one site, Gingham </w:t>
      </w:r>
      <w:r w:rsidR="00BC3D22">
        <w:t>watercourse</w:t>
      </w:r>
      <w:r>
        <w:t xml:space="preserve">, occurred on 22 April during a field day demonstration of fyke </w:t>
      </w:r>
      <w:r w:rsidR="00A97349">
        <w:t xml:space="preserve">netting by Dr Mark Southwell.  </w:t>
      </w:r>
      <w:r>
        <w:t>This survey occurred during a third environmental release that started on 15 April and continued until late May 2016.</w:t>
      </w:r>
    </w:p>
    <w:p w:rsidR="00E809F1" w:rsidRDefault="00E809F1" w:rsidP="00E809F1">
      <w:r>
        <w:t xml:space="preserve">The Gwydir River at Allambie Bridge was sampled to provide an indication of river channel </w:t>
      </w:r>
      <w:r w:rsidR="00BC3D22">
        <w:t xml:space="preserve">small </w:t>
      </w:r>
      <w:r>
        <w:t>fish and frog communities.</w:t>
      </w:r>
      <w:r w:rsidR="00A97349">
        <w:t xml:space="preserve"> </w:t>
      </w:r>
      <w:r>
        <w:t xml:space="preserve"> This site contained very little aquatic vegetation, but had abundant woody debris in the channel. </w:t>
      </w:r>
      <w:r w:rsidR="00A97349">
        <w:t xml:space="preserve"> </w:t>
      </w:r>
      <w:r>
        <w:t>The riparian zone was sparsely vegetated with ironbark, and t</w:t>
      </w:r>
      <w:r w:rsidR="00323FA0">
        <w:t>he bank was steep and rose to 5 </w:t>
      </w:r>
      <w:r>
        <w:t xml:space="preserve">m above the bed. Lateral bars of sand and mud were present on both sides of the river, and the water was shallow throughout the site. </w:t>
      </w:r>
    </w:p>
    <w:p w:rsidR="00E809F1" w:rsidRPr="00171C89" w:rsidRDefault="00E809F1" w:rsidP="00E809F1">
      <w:r>
        <w:t>Three dams were sampled on the Gwydir wetlands within the southern Gwydir Wetlands State Conservation Area</w:t>
      </w:r>
      <w:r w:rsidR="00A9502F">
        <w:t xml:space="preserve"> (</w:t>
      </w:r>
      <w:r w:rsidR="00E66DF3">
        <w:fldChar w:fldCharType="begin"/>
      </w:r>
      <w:r w:rsidR="00E66DF3">
        <w:instrText xml:space="preserve"> REF _Ref458006278 \h </w:instrText>
      </w:r>
      <w:r w:rsidR="00E66DF3">
        <w:fldChar w:fldCharType="separate"/>
      </w:r>
      <w:r w:rsidR="005D5925">
        <w:t xml:space="preserve">Figure </w:t>
      </w:r>
      <w:r w:rsidR="005D5925">
        <w:rPr>
          <w:noProof/>
        </w:rPr>
        <w:t>H</w:t>
      </w:r>
      <w:r w:rsidR="005D5925">
        <w:noBreakHyphen/>
      </w:r>
      <w:r w:rsidR="005D5925">
        <w:rPr>
          <w:noProof/>
        </w:rPr>
        <w:t>3</w:t>
      </w:r>
      <w:r w:rsidR="00E66DF3">
        <w:fldChar w:fldCharType="end"/>
      </w:r>
      <w:r w:rsidR="00A9502F">
        <w:t>)</w:t>
      </w:r>
      <w:r>
        <w:t>. These were the only accessible bodies of water available for the survey, and likely to act as refugia during periods between environmental water deliveries. Eastern Dam is on t</w:t>
      </w:r>
      <w:r w:rsidR="00BC3D22">
        <w:t>he northern edge of the Gwydir w</w:t>
      </w:r>
      <w:r>
        <w:t xml:space="preserve">etlands system that is fed by the </w:t>
      </w:r>
      <w:r w:rsidR="001C3C04">
        <w:t>lower</w:t>
      </w:r>
      <w:r>
        <w:t xml:space="preserve"> Gwydir River.  This dam was surrounded by dense stands of </w:t>
      </w:r>
      <w:r w:rsidRPr="00747ACA">
        <w:rPr>
          <w:i/>
        </w:rPr>
        <w:t>Typha</w:t>
      </w:r>
      <w:r>
        <w:rPr>
          <w:i/>
        </w:rPr>
        <w:t xml:space="preserve"> orientalis</w:t>
      </w:r>
      <w:r>
        <w:t xml:space="preserve">, which prevents ready access to the open water in the centre. Middle Dam and Western Dam are further from the wetland, but connected to it and Eastern Dam by a narrow artificial drainage channel.  A shallow basin of inundated </w:t>
      </w:r>
      <w:r w:rsidRPr="00747ACA">
        <w:rPr>
          <w:i/>
        </w:rPr>
        <w:t>Eleoc</w:t>
      </w:r>
      <w:r w:rsidR="00561C43">
        <w:rPr>
          <w:i/>
        </w:rPr>
        <w:t>h</w:t>
      </w:r>
      <w:r w:rsidRPr="00747ACA">
        <w:rPr>
          <w:i/>
        </w:rPr>
        <w:t>aris</w:t>
      </w:r>
      <w:r>
        <w:t xml:space="preserve"> sedgeland connected the main body of Eastern Dam with the drainage channel. This area formed the sampling focus for this site. Western Dam had an area of open water approximately 40 m diameter, with dense beds of </w:t>
      </w:r>
      <w:r w:rsidRPr="00747ACA">
        <w:rPr>
          <w:i/>
        </w:rPr>
        <w:t>Myriophylum</w:t>
      </w:r>
      <w:r w:rsidR="00323FA0">
        <w:rPr>
          <w:i/>
        </w:rPr>
        <w:t> </w:t>
      </w:r>
      <w:r>
        <w:t xml:space="preserve">spp. around the edges.  A small stand of </w:t>
      </w:r>
      <w:r>
        <w:rPr>
          <w:i/>
        </w:rPr>
        <w:t>T. orientalis</w:t>
      </w:r>
      <w:r>
        <w:t xml:space="preserve"> was present growing in the water along the north-eastern edge of the dam where the drainage channel enters.</w:t>
      </w:r>
      <w:r w:rsidR="00BC3D22">
        <w:t xml:space="preserve"> This dam was approximately 1.1 </w:t>
      </w:r>
      <w:r>
        <w:t xml:space="preserve">m deep during sampling. Middle Dam was shallower, with the entire surface covered with </w:t>
      </w:r>
      <w:r>
        <w:rPr>
          <w:i/>
        </w:rPr>
        <w:t>Myriophylum</w:t>
      </w:r>
      <w:r>
        <w:t xml:space="preserve"> spp., and half of the edge fringed with dense stands of </w:t>
      </w:r>
      <w:r w:rsidR="00A9502F">
        <w:rPr>
          <w:i/>
        </w:rPr>
        <w:t>T.</w:t>
      </w:r>
      <w:r>
        <w:rPr>
          <w:i/>
        </w:rPr>
        <w:t xml:space="preserve"> orientalis</w:t>
      </w:r>
      <w:r>
        <w:t>.</w:t>
      </w:r>
    </w:p>
    <w:p w:rsidR="00E809F1" w:rsidRDefault="00BC3D22" w:rsidP="00E809F1">
      <w:r>
        <w:t xml:space="preserve">Two wetlands along the </w:t>
      </w:r>
      <w:r w:rsidR="00E809F1">
        <w:t xml:space="preserve">Gingham </w:t>
      </w:r>
      <w:r w:rsidR="001C3C04">
        <w:t>watercourse</w:t>
      </w:r>
      <w:r w:rsidR="00E809F1">
        <w:t xml:space="preserve"> were also sampled</w:t>
      </w:r>
      <w:r w:rsidR="00E66DF3">
        <w:t xml:space="preserve"> (</w:t>
      </w:r>
      <w:r w:rsidR="00E66DF3">
        <w:fldChar w:fldCharType="begin"/>
      </w:r>
      <w:r w:rsidR="00E66DF3">
        <w:instrText xml:space="preserve"> REF _Ref458006278 \h </w:instrText>
      </w:r>
      <w:r w:rsidR="00E66DF3">
        <w:fldChar w:fldCharType="separate"/>
      </w:r>
      <w:r w:rsidR="005D5925">
        <w:t xml:space="preserve">Figure </w:t>
      </w:r>
      <w:r w:rsidR="005D5925">
        <w:rPr>
          <w:noProof/>
        </w:rPr>
        <w:t>H</w:t>
      </w:r>
      <w:r w:rsidR="005D5925">
        <w:noBreakHyphen/>
      </w:r>
      <w:r w:rsidR="005D5925">
        <w:rPr>
          <w:noProof/>
        </w:rPr>
        <w:t>3</w:t>
      </w:r>
      <w:r w:rsidR="00E66DF3">
        <w:fldChar w:fldCharType="end"/>
      </w:r>
      <w:r w:rsidR="00E66DF3">
        <w:t>)</w:t>
      </w:r>
      <w:r w:rsidR="00E809F1">
        <w:t xml:space="preserve">. </w:t>
      </w:r>
      <w:r w:rsidR="00A97349">
        <w:t xml:space="preserve"> </w:t>
      </w:r>
      <w:r w:rsidR="00E809F1">
        <w:t>Bunnor Bird Hide was the furthest upstream of these in the eastern side of the State Conservation Area, and Gingham Waterhole is a further 9 km downstream to the west.</w:t>
      </w:r>
      <w:r w:rsidR="00A97349">
        <w:t xml:space="preserve"> </w:t>
      </w:r>
      <w:r w:rsidR="00E809F1">
        <w:t xml:space="preserve"> Both of these sites had extensive stands of </w:t>
      </w:r>
      <w:r w:rsidR="00E809F1">
        <w:rPr>
          <w:i/>
        </w:rPr>
        <w:t>Typha orientalis</w:t>
      </w:r>
      <w:r w:rsidR="00E809F1">
        <w:t xml:space="preserve"> and large areas of open water.  </w:t>
      </w:r>
    </w:p>
    <w:p w:rsidR="00A9502F" w:rsidRDefault="004176FF" w:rsidP="00A9502F">
      <w:pPr>
        <w:keepNext/>
        <w:spacing w:line="240" w:lineRule="auto"/>
      </w:pPr>
      <w:r w:rsidRPr="008F5E11">
        <w:rPr>
          <w:noProof/>
          <w:lang w:eastAsia="en-AU"/>
        </w:rPr>
        <w:drawing>
          <wp:inline distT="0" distB="0" distL="0" distR="0">
            <wp:extent cx="5838825" cy="4133850"/>
            <wp:effectExtent l="0" t="0" r="9525" b="0"/>
            <wp:docPr id="9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2">
                      <a:extLst>
                        <a:ext uri="{28A0092B-C50C-407E-A947-70E740481C1C}">
                          <a14:useLocalDpi xmlns:a14="http://schemas.microsoft.com/office/drawing/2010/main"/>
                        </a:ext>
                      </a:extLst>
                    </a:blip>
                    <a:srcRect/>
                    <a:stretch>
                      <a:fillRect/>
                    </a:stretch>
                  </pic:blipFill>
                  <pic:spPr bwMode="auto">
                    <a:xfrm>
                      <a:off x="0" y="0"/>
                      <a:ext cx="5838825" cy="4133850"/>
                    </a:xfrm>
                    <a:prstGeom prst="rect">
                      <a:avLst/>
                    </a:prstGeom>
                    <a:noFill/>
                    <a:ln>
                      <a:noFill/>
                    </a:ln>
                  </pic:spPr>
                </pic:pic>
              </a:graphicData>
            </a:graphic>
          </wp:inline>
        </w:drawing>
      </w:r>
    </w:p>
    <w:p w:rsidR="00E809F1" w:rsidRDefault="00A9502F" w:rsidP="009524AD">
      <w:pPr>
        <w:pStyle w:val="Caption"/>
        <w:spacing w:before="0" w:after="360"/>
        <w:rPr>
          <w:b w:val="0"/>
          <w:color w:val="FF0000"/>
        </w:rPr>
      </w:pPr>
      <w:bookmarkStart w:id="126" w:name="_Ref458006278"/>
      <w:r>
        <w:t xml:space="preserve">Figure </w:t>
      </w:r>
      <w:fldSimple w:instr=" STYLEREF 6 \s ">
        <w:r w:rsidR="00673DAF">
          <w:rPr>
            <w:noProof/>
          </w:rPr>
          <w:t>H</w:t>
        </w:r>
      </w:fldSimple>
      <w:r w:rsidR="00673DAF">
        <w:noBreakHyphen/>
      </w:r>
      <w:fldSimple w:instr=" SEQ Figure \* ARABIC \s 6 ">
        <w:r w:rsidR="00673DAF">
          <w:rPr>
            <w:noProof/>
          </w:rPr>
          <w:t>3</w:t>
        </w:r>
      </w:fldSimple>
      <w:bookmarkEnd w:id="126"/>
      <w:r w:rsidR="00BC3D22">
        <w:t xml:space="preserve"> frog and small fish </w:t>
      </w:r>
      <w:r>
        <w:t>monitoring sites in the Gwydir river system Selected Area</w:t>
      </w:r>
    </w:p>
    <w:p w:rsidR="00E809F1" w:rsidRDefault="00E809F1" w:rsidP="00051750">
      <w:pPr>
        <w:pStyle w:val="Heading8"/>
      </w:pPr>
      <w:r>
        <w:t>Survey methods</w:t>
      </w:r>
    </w:p>
    <w:p w:rsidR="00E809F1" w:rsidRDefault="00E809F1" w:rsidP="00E809F1">
      <w:r>
        <w:t xml:space="preserve">Fish were collected using </w:t>
      </w:r>
      <w:r w:rsidR="00BC3D22">
        <w:t>s</w:t>
      </w:r>
      <w:r>
        <w:t xml:space="preserve">eine nets, fyke nets, bait traps, and sweep nets. </w:t>
      </w:r>
      <w:r w:rsidR="00A97349">
        <w:t xml:space="preserve"> </w:t>
      </w:r>
      <w:r>
        <w:t xml:space="preserve">Fish observed but </w:t>
      </w:r>
      <w:r w:rsidR="00BC3D22">
        <w:t xml:space="preserve">not collected were also counted, </w:t>
      </w:r>
      <w:r>
        <w:t>identified where possible</w:t>
      </w:r>
      <w:r w:rsidR="00BC3D22">
        <w:t xml:space="preserve"> and included in the analysis</w:t>
      </w:r>
      <w:r>
        <w:t xml:space="preserve">. </w:t>
      </w:r>
      <w:r w:rsidR="00A97349">
        <w:t xml:space="preserve"> </w:t>
      </w:r>
      <w:r>
        <w:t>Not all sites were suited for all methods (</w:t>
      </w:r>
      <w:r>
        <w:fldChar w:fldCharType="begin"/>
      </w:r>
      <w:r>
        <w:instrText xml:space="preserve"> REF _Ref437860181 \h </w:instrText>
      </w:r>
      <w:r>
        <w:fldChar w:fldCharType="separate"/>
      </w:r>
      <w:r w:rsidR="005D5925">
        <w:t xml:space="preserve">Table </w:t>
      </w:r>
      <w:r w:rsidR="005D5925">
        <w:rPr>
          <w:noProof/>
        </w:rPr>
        <w:t>H</w:t>
      </w:r>
      <w:r w:rsidR="005D5925">
        <w:noBreakHyphen/>
      </w:r>
      <w:r w:rsidR="005D5925">
        <w:rPr>
          <w:noProof/>
        </w:rPr>
        <w:t>1</w:t>
      </w:r>
      <w:r>
        <w:fldChar w:fldCharType="end"/>
      </w:r>
      <w:r>
        <w:t xml:space="preserve">).  Seine net samples were collected using an 8 m long net with a 1.6 m drop and 5 mm mesh.  The net was dragged through </w:t>
      </w:r>
      <w:r w:rsidR="00BC3D22">
        <w:t xml:space="preserve">the </w:t>
      </w:r>
      <w:r>
        <w:t xml:space="preserve">water for 15 m and pulled up onto the bank to collect fish.  This method was limited to sites where there was a clear edge and where woody debris and aquatic vegetation were absent from the area dragged.  Where woody debris or vegetation prevented dragging, samples were collected with a standard macroinvertebrate net with 250 </w:t>
      </w:r>
      <w:r w:rsidRPr="005877CA">
        <w:rPr>
          <w:rFonts w:ascii="Symbol" w:hAnsi="Symbol"/>
        </w:rPr>
        <w:t></w:t>
      </w:r>
      <w:r>
        <w:t>m-mesh swept through the water amongst habitat features</w:t>
      </w:r>
      <w:r w:rsidR="00AA1A46">
        <w:t xml:space="preserve"> over a 10m length of bank</w:t>
      </w:r>
      <w:r>
        <w:t>.</w:t>
      </w:r>
      <w:r w:rsidR="00A97349">
        <w:t xml:space="preserve"> </w:t>
      </w:r>
      <w:r>
        <w:t xml:space="preserve"> Bait traps were also deployed overnight at some sites.</w:t>
      </w:r>
      <w:r w:rsidR="00FE17F9">
        <w:t xml:space="preserve"> Where fish captures were large (&gt;</w:t>
      </w:r>
      <w:r w:rsidR="00A52CAF">
        <w:t>200</w:t>
      </w:r>
      <w:r w:rsidR="00FE17F9">
        <w:t xml:space="preserve"> individuals), total catches were estimated</w:t>
      </w:r>
      <w:r w:rsidR="00A52CAF">
        <w:t>.</w:t>
      </w:r>
    </w:p>
    <w:p w:rsidR="00E809F1" w:rsidRDefault="00E809F1" w:rsidP="00E809F1">
      <w:r>
        <w:t>Small fyke nets, consisting 10 mm-mesh and having a 5 m single wing and 60 cm diameter hoops, were deployed overnight at sites with sufficient standing water.  Nets were set with the tail end extending above the water so that air-breathing by-catch could be released the following morning (</w:t>
      </w:r>
      <w:r w:rsidR="00A97349">
        <w:fldChar w:fldCharType="begin"/>
      </w:r>
      <w:r w:rsidR="00A97349">
        <w:instrText xml:space="preserve"> REF _Ref459889899 \h </w:instrText>
      </w:r>
      <w:r w:rsidR="00A97349">
        <w:fldChar w:fldCharType="separate"/>
      </w:r>
      <w:r w:rsidR="005D5925">
        <w:t xml:space="preserve">Figure </w:t>
      </w:r>
      <w:r w:rsidR="005D5925">
        <w:rPr>
          <w:noProof/>
        </w:rPr>
        <w:t>H</w:t>
      </w:r>
      <w:r w:rsidR="005D5925">
        <w:noBreakHyphen/>
      </w:r>
      <w:r w:rsidR="005D5925">
        <w:rPr>
          <w:noProof/>
        </w:rPr>
        <w:t>4</w:t>
      </w:r>
      <w:r w:rsidR="00A97349">
        <w:fldChar w:fldCharType="end"/>
      </w:r>
      <w:r w:rsidR="00A97349">
        <w:t xml:space="preserve">).  </w:t>
      </w:r>
      <w:r>
        <w:t xml:space="preserve">Two fyke nets were set at both of the Gingham Wetland sites, but only one each at the Eastern and Western Dam sites.  No fyke nets were set at Middle Dam because there was too much aquatic vegetation and no open water, and none were set at Allambie Bridge because the water was too shallow. </w:t>
      </w:r>
    </w:p>
    <w:p w:rsidR="00E23B8D" w:rsidRDefault="00E23B8D" w:rsidP="00E23B8D">
      <w:r>
        <w:t xml:space="preserve">All fish surveys were conducted under ELAs Scientific Collection Permit Number P09/0038-2.1, issued by NSW Department of Primary Industries under Section 37 of the </w:t>
      </w:r>
      <w:r>
        <w:rPr>
          <w:i/>
        </w:rPr>
        <w:t>Fisheries Management Act 1994</w:t>
      </w:r>
      <w:r>
        <w:t>.</w:t>
      </w:r>
    </w:p>
    <w:p w:rsidR="00E809F1" w:rsidRDefault="00E809F1" w:rsidP="00E809F1">
      <w:r>
        <w:t>Adult frogs were surveyed after dark by two people searching wetland edges for 20 minutes with 400 lumen torches.  All frogs observed were identified and counted.  Prior to visual searches, a five minute period of static listening was used to identify which species were calling.  Call activity for each species was categorised by the number of individuals heard: fewer than 5 was assigned as low activity, 5-20 was assigned as medium activity, and more than 20 was assigned as high.</w:t>
      </w:r>
    </w:p>
    <w:p w:rsidR="00A97349" w:rsidRDefault="00A97349" w:rsidP="00E809F1">
      <w:r>
        <w:t xml:space="preserve">To complement the site biological data, physico-chemical parameters were measured for each site.  Temperature, dissolved oxygen (DO), electrical conductivity (EC) and pH were measured with </w:t>
      </w:r>
      <w:proofErr w:type="gramStart"/>
      <w:r>
        <w:t>a</w:t>
      </w:r>
      <w:proofErr w:type="gramEnd"/>
      <w:r>
        <w:t xml:space="preserve"> YSI-556 meter.  EC and pH were calibrated in the laboratory prior to the field survey, and DO was calibrated at the start of each field survey day. Turbidity was measured with a Hach 2100Q Turbidimeter and alkalinity was measured with a Hanna HI755 Freshwater Alkalinity Checker.</w:t>
      </w:r>
    </w:p>
    <w:p w:rsidR="00E23B8D" w:rsidRDefault="004176FF" w:rsidP="00E23B8D">
      <w:pPr>
        <w:keepNext/>
        <w:spacing w:line="240" w:lineRule="auto"/>
      </w:pPr>
      <w:r w:rsidRPr="008F5E11">
        <w:rPr>
          <w:noProof/>
          <w:lang w:eastAsia="en-AU"/>
        </w:rPr>
        <w:drawing>
          <wp:inline distT="0" distB="0" distL="0" distR="0">
            <wp:extent cx="5838825" cy="2914650"/>
            <wp:effectExtent l="19050" t="19050" r="28575" b="19050"/>
            <wp:docPr id="91" name="Picture 233" descr="N:\Projects\15ARM\2427 Gwydir LTIM Stage 2 - Year 2\Indicators\Indicators (Y2)\Frogs_small fish\Pics for report\Feb16 Checking fyke Bunnor 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N:\Projects\15ARM\2427 Gwydir LTIM Stage 2 - Year 2\Indicators\Indicators (Y2)\Frogs_small fish\Pics for report\Feb16 Checking fyke Bunnor PH.JPG"/>
                    <pic:cNvPicPr>
                      <a:picLocks noChangeAspect="1" noChangeArrowheads="1"/>
                    </pic:cNvPicPr>
                  </pic:nvPicPr>
                  <pic:blipFill>
                    <a:blip r:embed="rId153">
                      <a:extLst>
                        <a:ext uri="{28A0092B-C50C-407E-A947-70E740481C1C}">
                          <a14:useLocalDpi xmlns:a14="http://schemas.microsoft.com/office/drawing/2010/main"/>
                        </a:ext>
                      </a:extLst>
                    </a:blip>
                    <a:srcRect/>
                    <a:stretch>
                      <a:fillRect/>
                    </a:stretch>
                  </pic:blipFill>
                  <pic:spPr bwMode="auto">
                    <a:xfrm>
                      <a:off x="0" y="0"/>
                      <a:ext cx="5838825" cy="2914650"/>
                    </a:xfrm>
                    <a:prstGeom prst="rect">
                      <a:avLst/>
                    </a:prstGeom>
                    <a:noFill/>
                    <a:ln w="9525" cmpd="sng">
                      <a:solidFill>
                        <a:srgbClr val="7F7F7F"/>
                      </a:solidFill>
                      <a:miter lim="800000"/>
                      <a:headEnd/>
                      <a:tailEnd/>
                    </a:ln>
                    <a:effectLst/>
                  </pic:spPr>
                </pic:pic>
              </a:graphicData>
            </a:graphic>
          </wp:inline>
        </w:drawing>
      </w:r>
    </w:p>
    <w:p w:rsidR="00E23B8D" w:rsidRDefault="00E23B8D" w:rsidP="00A97349">
      <w:pPr>
        <w:pStyle w:val="Caption"/>
        <w:spacing w:after="360"/>
      </w:pPr>
      <w:bookmarkStart w:id="127" w:name="_Ref459889899"/>
      <w:r>
        <w:t xml:space="preserve">Figure </w:t>
      </w:r>
      <w:fldSimple w:instr=" STYLEREF 6 \s ">
        <w:r w:rsidR="00673DAF">
          <w:rPr>
            <w:noProof/>
          </w:rPr>
          <w:t>H</w:t>
        </w:r>
      </w:fldSimple>
      <w:r w:rsidR="00673DAF">
        <w:noBreakHyphen/>
      </w:r>
      <w:fldSimple w:instr=" SEQ Figure \* ARABIC \s 6 ">
        <w:r w:rsidR="00673DAF">
          <w:rPr>
            <w:noProof/>
          </w:rPr>
          <w:t>4</w:t>
        </w:r>
      </w:fldSimple>
      <w:bookmarkEnd w:id="127"/>
      <w:r>
        <w:t xml:space="preserve"> Checking fyke net at Bunnor Bird Hide</w:t>
      </w:r>
    </w:p>
    <w:p w:rsidR="00E809F1" w:rsidRDefault="00E809F1" w:rsidP="00E809F1">
      <w:pPr>
        <w:pStyle w:val="Caption"/>
        <w:keepNext/>
      </w:pPr>
      <w:bookmarkStart w:id="128" w:name="_Ref437860181"/>
      <w:bookmarkStart w:id="129" w:name="_Ref452983768"/>
      <w:r>
        <w:t xml:space="preserve">Table </w:t>
      </w:r>
      <w:fldSimple w:instr=" STYLEREF 6 \s ">
        <w:r w:rsidR="005D5925">
          <w:rPr>
            <w:noProof/>
          </w:rPr>
          <w:t>H</w:t>
        </w:r>
      </w:fldSimple>
      <w:r w:rsidR="005D4453">
        <w:noBreakHyphen/>
      </w:r>
      <w:fldSimple w:instr=" SEQ Table \* ARABIC \s 6 ">
        <w:r w:rsidR="005D5925">
          <w:rPr>
            <w:noProof/>
          </w:rPr>
          <w:t>1</w:t>
        </w:r>
      </w:fldSimple>
      <w:bookmarkEnd w:id="128"/>
      <w:r>
        <w:t>: Site locations and survey methods</w:t>
      </w:r>
      <w:bookmarkEnd w:id="129"/>
      <w:r w:rsidR="00AA1A46">
        <w:t>.</w:t>
      </w:r>
    </w:p>
    <w:tbl>
      <w:tblPr>
        <w:tblW w:w="5000" w:type="pct"/>
        <w:tblBorders>
          <w:top w:val="single" w:sz="2" w:space="0" w:color="000000"/>
          <w:bottom w:val="single" w:sz="2" w:space="0" w:color="000000"/>
          <w:insideH w:val="single" w:sz="2" w:space="0" w:color="000000"/>
          <w:insideV w:val="single" w:sz="2" w:space="0" w:color="000000"/>
        </w:tblBorders>
        <w:tblLayout w:type="fixed"/>
        <w:tblLook w:val="04A0" w:firstRow="1" w:lastRow="0" w:firstColumn="1" w:lastColumn="0" w:noHBand="0" w:noVBand="1"/>
      </w:tblPr>
      <w:tblGrid>
        <w:gridCol w:w="1418"/>
        <w:gridCol w:w="1225"/>
        <w:gridCol w:w="1327"/>
        <w:gridCol w:w="1419"/>
        <w:gridCol w:w="1864"/>
        <w:gridCol w:w="1947"/>
      </w:tblGrid>
      <w:tr w:rsidR="005F23F1" w:rsidRPr="0048411A" w:rsidTr="00CC18AA">
        <w:trPr>
          <w:trHeight w:val="562"/>
          <w:tblHeader/>
        </w:trPr>
        <w:tc>
          <w:tcPr>
            <w:tcW w:w="771" w:type="pct"/>
            <w:shd w:val="clear" w:color="auto" w:fill="D9D9D9"/>
            <w:noWrap/>
            <w:vAlign w:val="center"/>
            <w:hideMark/>
          </w:tcPr>
          <w:p w:rsidR="00E809F1" w:rsidRPr="0048411A" w:rsidRDefault="00E809F1" w:rsidP="00CC18AA">
            <w:pPr>
              <w:spacing w:before="60" w:after="60"/>
              <w:jc w:val="center"/>
            </w:pPr>
            <w:r w:rsidRPr="0048411A">
              <w:t>Site</w:t>
            </w:r>
          </w:p>
        </w:tc>
        <w:tc>
          <w:tcPr>
            <w:tcW w:w="666" w:type="pct"/>
            <w:shd w:val="clear" w:color="auto" w:fill="D9D9D9"/>
            <w:noWrap/>
            <w:vAlign w:val="center"/>
            <w:hideMark/>
          </w:tcPr>
          <w:p w:rsidR="00E809F1" w:rsidRPr="0048411A" w:rsidRDefault="00E809F1" w:rsidP="00CC18AA">
            <w:pPr>
              <w:spacing w:before="60" w:after="60"/>
              <w:jc w:val="center"/>
            </w:pPr>
            <w:r w:rsidRPr="0048411A">
              <w:t>Wetland System</w:t>
            </w:r>
          </w:p>
        </w:tc>
        <w:tc>
          <w:tcPr>
            <w:tcW w:w="721" w:type="pct"/>
            <w:shd w:val="clear" w:color="auto" w:fill="D9D9D9"/>
            <w:noWrap/>
            <w:vAlign w:val="bottom"/>
            <w:hideMark/>
          </w:tcPr>
          <w:p w:rsidR="00E809F1" w:rsidRPr="0048411A" w:rsidRDefault="00E809F1" w:rsidP="00CC18AA">
            <w:pPr>
              <w:spacing w:before="60" w:after="60"/>
              <w:jc w:val="center"/>
            </w:pPr>
            <w:r w:rsidRPr="0048411A">
              <w:t>Latitude (°S)</w:t>
            </w:r>
          </w:p>
        </w:tc>
        <w:tc>
          <w:tcPr>
            <w:tcW w:w="771" w:type="pct"/>
            <w:shd w:val="clear" w:color="auto" w:fill="D9D9D9"/>
            <w:noWrap/>
            <w:vAlign w:val="center"/>
            <w:hideMark/>
          </w:tcPr>
          <w:p w:rsidR="00E809F1" w:rsidRPr="0048411A" w:rsidRDefault="00E809F1" w:rsidP="00CC18AA">
            <w:pPr>
              <w:spacing w:before="60" w:after="60"/>
              <w:jc w:val="center"/>
            </w:pPr>
            <w:r w:rsidRPr="0048411A">
              <w:t>Longitude (°E)</w:t>
            </w:r>
          </w:p>
        </w:tc>
        <w:tc>
          <w:tcPr>
            <w:tcW w:w="1013" w:type="pct"/>
            <w:shd w:val="clear" w:color="auto" w:fill="D9D9D9"/>
            <w:noWrap/>
            <w:vAlign w:val="center"/>
            <w:hideMark/>
          </w:tcPr>
          <w:p w:rsidR="00E809F1" w:rsidRPr="0048411A" w:rsidRDefault="00E809F1" w:rsidP="00CC18AA">
            <w:pPr>
              <w:spacing w:before="60" w:after="60"/>
              <w:jc w:val="center"/>
            </w:pPr>
            <w:r w:rsidRPr="0048411A">
              <w:t>Fish methods</w:t>
            </w:r>
          </w:p>
        </w:tc>
        <w:tc>
          <w:tcPr>
            <w:tcW w:w="1058" w:type="pct"/>
            <w:shd w:val="clear" w:color="auto" w:fill="D9D9D9"/>
            <w:noWrap/>
            <w:vAlign w:val="center"/>
            <w:hideMark/>
          </w:tcPr>
          <w:p w:rsidR="00E809F1" w:rsidRPr="0048411A" w:rsidRDefault="00E809F1" w:rsidP="00CC18AA">
            <w:pPr>
              <w:spacing w:before="60" w:after="60"/>
              <w:jc w:val="center"/>
            </w:pPr>
            <w:r w:rsidRPr="0048411A">
              <w:t>Frog methods</w:t>
            </w:r>
          </w:p>
        </w:tc>
      </w:tr>
      <w:tr w:rsidR="005F23F1" w:rsidRPr="0048411A" w:rsidTr="00CC18AA">
        <w:trPr>
          <w:trHeight w:val="600"/>
        </w:trPr>
        <w:tc>
          <w:tcPr>
            <w:tcW w:w="771" w:type="pct"/>
            <w:shd w:val="clear" w:color="auto" w:fill="auto"/>
            <w:noWrap/>
            <w:vAlign w:val="center"/>
            <w:hideMark/>
          </w:tcPr>
          <w:p w:rsidR="00E809F1" w:rsidRPr="0048411A" w:rsidRDefault="00E809F1" w:rsidP="00CC18AA">
            <w:pPr>
              <w:spacing w:before="60" w:after="60"/>
            </w:pPr>
            <w:r w:rsidRPr="0048411A">
              <w:t>Eastern Dam</w:t>
            </w:r>
          </w:p>
        </w:tc>
        <w:tc>
          <w:tcPr>
            <w:tcW w:w="666" w:type="pct"/>
            <w:shd w:val="clear" w:color="auto" w:fill="auto"/>
            <w:noWrap/>
            <w:vAlign w:val="center"/>
            <w:hideMark/>
          </w:tcPr>
          <w:p w:rsidR="00E809F1" w:rsidRPr="0048411A" w:rsidRDefault="00E809F1" w:rsidP="00CC18AA">
            <w:pPr>
              <w:spacing w:before="60" w:after="60"/>
            </w:pPr>
            <w:r w:rsidRPr="0048411A">
              <w:t>Gwydir Wetland</w:t>
            </w:r>
          </w:p>
        </w:tc>
        <w:tc>
          <w:tcPr>
            <w:tcW w:w="721" w:type="pct"/>
            <w:shd w:val="clear" w:color="auto" w:fill="auto"/>
            <w:noWrap/>
            <w:vAlign w:val="center"/>
            <w:hideMark/>
          </w:tcPr>
          <w:p w:rsidR="00E809F1" w:rsidRPr="0048411A" w:rsidRDefault="00E809F1" w:rsidP="00CC18AA">
            <w:pPr>
              <w:spacing w:before="60" w:after="60"/>
            </w:pPr>
            <w:r>
              <w:t>2</w:t>
            </w:r>
            <w:r w:rsidRPr="0048411A">
              <w:t>9.34024</w:t>
            </w:r>
          </w:p>
        </w:tc>
        <w:tc>
          <w:tcPr>
            <w:tcW w:w="771" w:type="pct"/>
            <w:shd w:val="clear" w:color="auto" w:fill="auto"/>
            <w:noWrap/>
            <w:vAlign w:val="center"/>
            <w:hideMark/>
          </w:tcPr>
          <w:p w:rsidR="00E809F1" w:rsidRPr="0048411A" w:rsidRDefault="00E809F1" w:rsidP="00CC18AA">
            <w:pPr>
              <w:spacing w:before="60" w:after="60"/>
            </w:pPr>
            <w:r w:rsidRPr="0048411A">
              <w:t>149.32681</w:t>
            </w:r>
          </w:p>
        </w:tc>
        <w:tc>
          <w:tcPr>
            <w:tcW w:w="1013" w:type="pct"/>
            <w:shd w:val="clear" w:color="auto" w:fill="auto"/>
            <w:noWrap/>
            <w:vAlign w:val="center"/>
            <w:hideMark/>
          </w:tcPr>
          <w:p w:rsidR="00E809F1" w:rsidRPr="0048411A" w:rsidRDefault="00E809F1" w:rsidP="00CC18AA">
            <w:pPr>
              <w:spacing w:before="60" w:after="60"/>
            </w:pPr>
            <w:r w:rsidRPr="0048411A">
              <w:t>1 fyke, 3 bait, observation</w:t>
            </w:r>
          </w:p>
        </w:tc>
        <w:tc>
          <w:tcPr>
            <w:tcW w:w="1058" w:type="pct"/>
            <w:shd w:val="clear" w:color="auto" w:fill="auto"/>
            <w:noWrap/>
            <w:vAlign w:val="center"/>
            <w:hideMark/>
          </w:tcPr>
          <w:p w:rsidR="00E809F1" w:rsidRPr="0048411A" w:rsidRDefault="00E809F1" w:rsidP="00CC18AA">
            <w:pPr>
              <w:spacing w:before="60" w:after="60"/>
            </w:pPr>
            <w:r w:rsidRPr="0048411A">
              <w:t>Nocturnal listening, search</w:t>
            </w:r>
          </w:p>
        </w:tc>
      </w:tr>
      <w:tr w:rsidR="005F23F1" w:rsidRPr="0048411A" w:rsidTr="00CC18AA">
        <w:trPr>
          <w:trHeight w:val="600"/>
        </w:trPr>
        <w:tc>
          <w:tcPr>
            <w:tcW w:w="771" w:type="pct"/>
            <w:shd w:val="clear" w:color="auto" w:fill="auto"/>
            <w:noWrap/>
            <w:vAlign w:val="center"/>
            <w:hideMark/>
          </w:tcPr>
          <w:p w:rsidR="00E809F1" w:rsidRPr="0048411A" w:rsidRDefault="00E809F1" w:rsidP="00CC18AA">
            <w:pPr>
              <w:spacing w:before="60" w:after="60"/>
            </w:pPr>
            <w:r w:rsidRPr="0048411A">
              <w:t>Middle Dam</w:t>
            </w:r>
          </w:p>
        </w:tc>
        <w:tc>
          <w:tcPr>
            <w:tcW w:w="666" w:type="pct"/>
            <w:shd w:val="clear" w:color="auto" w:fill="auto"/>
            <w:noWrap/>
            <w:vAlign w:val="center"/>
            <w:hideMark/>
          </w:tcPr>
          <w:p w:rsidR="00E809F1" w:rsidRPr="0048411A" w:rsidRDefault="00E809F1" w:rsidP="00CC18AA">
            <w:pPr>
              <w:spacing w:before="60" w:after="60"/>
            </w:pPr>
            <w:r w:rsidRPr="0048411A">
              <w:t>Gwydir Wetland</w:t>
            </w:r>
          </w:p>
        </w:tc>
        <w:tc>
          <w:tcPr>
            <w:tcW w:w="721" w:type="pct"/>
            <w:shd w:val="clear" w:color="auto" w:fill="auto"/>
            <w:noWrap/>
            <w:vAlign w:val="center"/>
            <w:hideMark/>
          </w:tcPr>
          <w:p w:rsidR="00E809F1" w:rsidRPr="0048411A" w:rsidRDefault="00E809F1" w:rsidP="00CC18AA">
            <w:pPr>
              <w:spacing w:before="60" w:after="60"/>
            </w:pPr>
            <w:r w:rsidRPr="0048411A">
              <w:t>29.33169</w:t>
            </w:r>
          </w:p>
        </w:tc>
        <w:tc>
          <w:tcPr>
            <w:tcW w:w="771" w:type="pct"/>
            <w:shd w:val="clear" w:color="auto" w:fill="auto"/>
            <w:noWrap/>
            <w:vAlign w:val="center"/>
            <w:hideMark/>
          </w:tcPr>
          <w:p w:rsidR="00E809F1" w:rsidRPr="0048411A" w:rsidRDefault="00E809F1" w:rsidP="00CC18AA">
            <w:pPr>
              <w:spacing w:before="60" w:after="60"/>
            </w:pPr>
            <w:r w:rsidRPr="0048411A">
              <w:t>149.29606</w:t>
            </w:r>
          </w:p>
        </w:tc>
        <w:tc>
          <w:tcPr>
            <w:tcW w:w="1013" w:type="pct"/>
            <w:shd w:val="clear" w:color="auto" w:fill="auto"/>
            <w:noWrap/>
            <w:vAlign w:val="center"/>
            <w:hideMark/>
          </w:tcPr>
          <w:p w:rsidR="00E809F1" w:rsidRPr="0048411A" w:rsidRDefault="00E809F1" w:rsidP="00CC18AA">
            <w:pPr>
              <w:spacing w:before="60" w:after="60"/>
            </w:pPr>
            <w:r w:rsidRPr="0048411A">
              <w:t>observation</w:t>
            </w:r>
          </w:p>
        </w:tc>
        <w:tc>
          <w:tcPr>
            <w:tcW w:w="1058" w:type="pct"/>
            <w:shd w:val="clear" w:color="auto" w:fill="auto"/>
            <w:noWrap/>
            <w:vAlign w:val="center"/>
            <w:hideMark/>
          </w:tcPr>
          <w:p w:rsidR="00E809F1" w:rsidRPr="0048411A" w:rsidRDefault="00E809F1" w:rsidP="00CC18AA">
            <w:pPr>
              <w:spacing w:before="60" w:after="60"/>
            </w:pPr>
            <w:r w:rsidRPr="0048411A">
              <w:t>Nocturnal listening, search</w:t>
            </w:r>
          </w:p>
        </w:tc>
      </w:tr>
      <w:tr w:rsidR="005F23F1" w:rsidRPr="0048411A" w:rsidTr="00CC18AA">
        <w:trPr>
          <w:trHeight w:val="727"/>
        </w:trPr>
        <w:tc>
          <w:tcPr>
            <w:tcW w:w="771" w:type="pct"/>
            <w:shd w:val="clear" w:color="auto" w:fill="auto"/>
            <w:noWrap/>
            <w:vAlign w:val="center"/>
            <w:hideMark/>
          </w:tcPr>
          <w:p w:rsidR="00E809F1" w:rsidRPr="0048411A" w:rsidRDefault="00E809F1" w:rsidP="00CC18AA">
            <w:pPr>
              <w:spacing w:before="60" w:after="60"/>
            </w:pPr>
            <w:r w:rsidRPr="0048411A">
              <w:t>Western Dam</w:t>
            </w:r>
          </w:p>
        </w:tc>
        <w:tc>
          <w:tcPr>
            <w:tcW w:w="666" w:type="pct"/>
            <w:shd w:val="clear" w:color="auto" w:fill="auto"/>
            <w:noWrap/>
            <w:vAlign w:val="center"/>
            <w:hideMark/>
          </w:tcPr>
          <w:p w:rsidR="00E809F1" w:rsidRPr="0048411A" w:rsidRDefault="00E809F1" w:rsidP="00CC18AA">
            <w:pPr>
              <w:spacing w:before="60" w:after="60"/>
            </w:pPr>
            <w:r w:rsidRPr="0048411A">
              <w:t>Gwydir Wetland</w:t>
            </w:r>
          </w:p>
        </w:tc>
        <w:tc>
          <w:tcPr>
            <w:tcW w:w="721" w:type="pct"/>
            <w:shd w:val="clear" w:color="auto" w:fill="auto"/>
            <w:noWrap/>
            <w:vAlign w:val="center"/>
            <w:hideMark/>
          </w:tcPr>
          <w:p w:rsidR="00E809F1" w:rsidRPr="001A2E59" w:rsidRDefault="00E809F1" w:rsidP="00CC18AA">
            <w:pPr>
              <w:spacing w:before="60" w:after="60"/>
            </w:pPr>
            <w:r w:rsidRPr="001A2E59">
              <w:t>29.33102</w:t>
            </w:r>
          </w:p>
        </w:tc>
        <w:tc>
          <w:tcPr>
            <w:tcW w:w="771" w:type="pct"/>
            <w:shd w:val="clear" w:color="auto" w:fill="auto"/>
            <w:noWrap/>
            <w:vAlign w:val="center"/>
            <w:hideMark/>
          </w:tcPr>
          <w:p w:rsidR="00E809F1" w:rsidRPr="001A2E59" w:rsidRDefault="00E809F1" w:rsidP="00CC18AA">
            <w:pPr>
              <w:spacing w:before="60" w:after="60"/>
            </w:pPr>
            <w:r w:rsidRPr="001A2E59">
              <w:t>149.29164</w:t>
            </w:r>
          </w:p>
        </w:tc>
        <w:tc>
          <w:tcPr>
            <w:tcW w:w="1013" w:type="pct"/>
            <w:shd w:val="clear" w:color="auto" w:fill="auto"/>
            <w:noWrap/>
            <w:vAlign w:val="center"/>
            <w:hideMark/>
          </w:tcPr>
          <w:p w:rsidR="00E809F1" w:rsidRPr="0048411A" w:rsidRDefault="00E809F1" w:rsidP="00CC18AA">
            <w:pPr>
              <w:spacing w:before="60" w:after="60"/>
            </w:pPr>
            <w:r w:rsidRPr="0048411A">
              <w:t>1 fyke, sweep, Seine, observation</w:t>
            </w:r>
          </w:p>
        </w:tc>
        <w:tc>
          <w:tcPr>
            <w:tcW w:w="1058" w:type="pct"/>
            <w:shd w:val="clear" w:color="auto" w:fill="auto"/>
            <w:noWrap/>
            <w:vAlign w:val="center"/>
            <w:hideMark/>
          </w:tcPr>
          <w:p w:rsidR="00E809F1" w:rsidRPr="0048411A" w:rsidRDefault="00E809F1" w:rsidP="00CC18AA">
            <w:pPr>
              <w:spacing w:before="60" w:after="60"/>
            </w:pPr>
            <w:r w:rsidRPr="0048411A">
              <w:t>Nocturnal listening, search</w:t>
            </w:r>
          </w:p>
        </w:tc>
      </w:tr>
      <w:tr w:rsidR="005F23F1" w:rsidRPr="0048411A" w:rsidTr="00CC18AA">
        <w:trPr>
          <w:trHeight w:val="600"/>
        </w:trPr>
        <w:tc>
          <w:tcPr>
            <w:tcW w:w="771" w:type="pct"/>
            <w:shd w:val="clear" w:color="auto" w:fill="auto"/>
            <w:noWrap/>
            <w:vAlign w:val="center"/>
            <w:hideMark/>
          </w:tcPr>
          <w:p w:rsidR="00E809F1" w:rsidRPr="0048411A" w:rsidRDefault="00E809F1" w:rsidP="00CC18AA">
            <w:pPr>
              <w:spacing w:before="60" w:after="60"/>
            </w:pPr>
            <w:r w:rsidRPr="0048411A">
              <w:t>Allambie Bridge</w:t>
            </w:r>
          </w:p>
        </w:tc>
        <w:tc>
          <w:tcPr>
            <w:tcW w:w="666" w:type="pct"/>
            <w:shd w:val="clear" w:color="auto" w:fill="auto"/>
            <w:noWrap/>
            <w:vAlign w:val="center"/>
            <w:hideMark/>
          </w:tcPr>
          <w:p w:rsidR="00E809F1" w:rsidRPr="0048411A" w:rsidRDefault="00E809F1" w:rsidP="00CC18AA">
            <w:pPr>
              <w:spacing w:before="60" w:after="60"/>
            </w:pPr>
            <w:r w:rsidRPr="0048411A">
              <w:t>Gwydir Wetland</w:t>
            </w:r>
          </w:p>
        </w:tc>
        <w:tc>
          <w:tcPr>
            <w:tcW w:w="721" w:type="pct"/>
            <w:shd w:val="clear" w:color="auto" w:fill="auto"/>
            <w:noWrap/>
            <w:vAlign w:val="center"/>
            <w:hideMark/>
          </w:tcPr>
          <w:p w:rsidR="00E809F1" w:rsidRPr="0048411A" w:rsidRDefault="00E809F1" w:rsidP="00CC18AA">
            <w:pPr>
              <w:spacing w:before="60" w:after="60"/>
            </w:pPr>
            <w:r w:rsidRPr="0048411A">
              <w:t>29.34537</w:t>
            </w:r>
          </w:p>
        </w:tc>
        <w:tc>
          <w:tcPr>
            <w:tcW w:w="771" w:type="pct"/>
            <w:shd w:val="clear" w:color="auto" w:fill="auto"/>
            <w:noWrap/>
            <w:vAlign w:val="center"/>
            <w:hideMark/>
          </w:tcPr>
          <w:p w:rsidR="00E809F1" w:rsidRPr="0048411A" w:rsidRDefault="00E809F1" w:rsidP="00CC18AA">
            <w:pPr>
              <w:spacing w:before="60" w:after="60"/>
            </w:pPr>
            <w:r w:rsidRPr="0048411A">
              <w:t>149.43085</w:t>
            </w:r>
          </w:p>
        </w:tc>
        <w:tc>
          <w:tcPr>
            <w:tcW w:w="1013" w:type="pct"/>
            <w:shd w:val="clear" w:color="auto" w:fill="auto"/>
            <w:noWrap/>
            <w:vAlign w:val="center"/>
            <w:hideMark/>
          </w:tcPr>
          <w:p w:rsidR="00E809F1" w:rsidRPr="0048411A" w:rsidRDefault="00E809F1" w:rsidP="00CC18AA">
            <w:pPr>
              <w:spacing w:before="60" w:after="60"/>
            </w:pPr>
            <w:r w:rsidRPr="0048411A">
              <w:t>observation, sweep</w:t>
            </w:r>
          </w:p>
        </w:tc>
        <w:tc>
          <w:tcPr>
            <w:tcW w:w="1058" w:type="pct"/>
            <w:shd w:val="clear" w:color="auto" w:fill="auto"/>
            <w:noWrap/>
            <w:vAlign w:val="center"/>
            <w:hideMark/>
          </w:tcPr>
          <w:p w:rsidR="00E809F1" w:rsidRPr="0048411A" w:rsidRDefault="00E809F1" w:rsidP="00CC18AA">
            <w:pPr>
              <w:spacing w:before="60" w:after="60"/>
            </w:pPr>
            <w:r w:rsidRPr="0048411A">
              <w:t>Nocturnal listening, search</w:t>
            </w:r>
          </w:p>
        </w:tc>
      </w:tr>
      <w:tr w:rsidR="005F23F1" w:rsidRPr="0048411A" w:rsidTr="00CC18AA">
        <w:trPr>
          <w:trHeight w:val="600"/>
        </w:trPr>
        <w:tc>
          <w:tcPr>
            <w:tcW w:w="771" w:type="pct"/>
            <w:shd w:val="clear" w:color="auto" w:fill="auto"/>
            <w:noWrap/>
            <w:vAlign w:val="center"/>
            <w:hideMark/>
          </w:tcPr>
          <w:p w:rsidR="00E809F1" w:rsidRPr="0048411A" w:rsidRDefault="00E809F1" w:rsidP="00CC18AA">
            <w:pPr>
              <w:spacing w:before="60" w:after="60"/>
            </w:pPr>
            <w:r w:rsidRPr="0048411A">
              <w:t>Bird Hide</w:t>
            </w:r>
          </w:p>
        </w:tc>
        <w:tc>
          <w:tcPr>
            <w:tcW w:w="666" w:type="pct"/>
            <w:shd w:val="clear" w:color="auto" w:fill="auto"/>
            <w:noWrap/>
            <w:vAlign w:val="center"/>
            <w:hideMark/>
          </w:tcPr>
          <w:p w:rsidR="00E809F1" w:rsidRPr="0048411A" w:rsidRDefault="00E809F1" w:rsidP="00CC18AA">
            <w:pPr>
              <w:spacing w:before="60" w:after="60"/>
            </w:pPr>
            <w:r w:rsidRPr="0048411A">
              <w:t>Gingham Wetland</w:t>
            </w:r>
          </w:p>
        </w:tc>
        <w:tc>
          <w:tcPr>
            <w:tcW w:w="721" w:type="pct"/>
            <w:shd w:val="clear" w:color="auto" w:fill="auto"/>
            <w:noWrap/>
            <w:vAlign w:val="center"/>
            <w:hideMark/>
          </w:tcPr>
          <w:p w:rsidR="00E809F1" w:rsidRPr="0048411A" w:rsidRDefault="00E809F1" w:rsidP="00CC18AA">
            <w:pPr>
              <w:spacing w:before="60" w:after="60"/>
            </w:pPr>
            <w:r w:rsidRPr="0048411A">
              <w:t>29.27597</w:t>
            </w:r>
          </w:p>
        </w:tc>
        <w:tc>
          <w:tcPr>
            <w:tcW w:w="771" w:type="pct"/>
            <w:shd w:val="clear" w:color="auto" w:fill="auto"/>
            <w:noWrap/>
            <w:vAlign w:val="center"/>
            <w:hideMark/>
          </w:tcPr>
          <w:p w:rsidR="00E809F1" w:rsidRPr="0048411A" w:rsidRDefault="00E809F1" w:rsidP="00CC18AA">
            <w:pPr>
              <w:spacing w:before="60" w:after="60"/>
            </w:pPr>
            <w:r w:rsidRPr="0048411A">
              <w:t>149.38193</w:t>
            </w:r>
          </w:p>
        </w:tc>
        <w:tc>
          <w:tcPr>
            <w:tcW w:w="1013" w:type="pct"/>
            <w:shd w:val="clear" w:color="auto" w:fill="auto"/>
            <w:noWrap/>
            <w:vAlign w:val="center"/>
            <w:hideMark/>
          </w:tcPr>
          <w:p w:rsidR="00E809F1" w:rsidRPr="0048411A" w:rsidRDefault="00E809F1" w:rsidP="00CC18AA">
            <w:pPr>
              <w:spacing w:before="60" w:after="60"/>
            </w:pPr>
            <w:r w:rsidRPr="0048411A">
              <w:t>2 fyke, Seine, observation</w:t>
            </w:r>
          </w:p>
        </w:tc>
        <w:tc>
          <w:tcPr>
            <w:tcW w:w="1058" w:type="pct"/>
            <w:shd w:val="clear" w:color="auto" w:fill="auto"/>
            <w:noWrap/>
            <w:vAlign w:val="center"/>
            <w:hideMark/>
          </w:tcPr>
          <w:p w:rsidR="00E809F1" w:rsidRPr="0048411A" w:rsidRDefault="00E809F1" w:rsidP="00CC18AA">
            <w:pPr>
              <w:spacing w:before="60" w:after="60"/>
            </w:pPr>
            <w:r w:rsidRPr="0048411A">
              <w:t>Nocturnal listening, search</w:t>
            </w:r>
          </w:p>
        </w:tc>
      </w:tr>
      <w:tr w:rsidR="005F23F1" w:rsidRPr="0048411A" w:rsidTr="00CC18AA">
        <w:trPr>
          <w:trHeight w:val="600"/>
        </w:trPr>
        <w:tc>
          <w:tcPr>
            <w:tcW w:w="771" w:type="pct"/>
            <w:shd w:val="clear" w:color="auto" w:fill="auto"/>
            <w:noWrap/>
            <w:vAlign w:val="center"/>
            <w:hideMark/>
          </w:tcPr>
          <w:p w:rsidR="00E809F1" w:rsidRPr="0048411A" w:rsidRDefault="00E809F1" w:rsidP="00CC18AA">
            <w:pPr>
              <w:spacing w:before="60" w:after="60"/>
            </w:pPr>
            <w:r w:rsidRPr="0048411A">
              <w:t>Gingham</w:t>
            </w:r>
          </w:p>
        </w:tc>
        <w:tc>
          <w:tcPr>
            <w:tcW w:w="666" w:type="pct"/>
            <w:shd w:val="clear" w:color="auto" w:fill="auto"/>
            <w:noWrap/>
            <w:vAlign w:val="center"/>
            <w:hideMark/>
          </w:tcPr>
          <w:p w:rsidR="00E809F1" w:rsidRPr="0048411A" w:rsidRDefault="00E809F1" w:rsidP="00CC18AA">
            <w:pPr>
              <w:spacing w:before="60" w:after="60"/>
            </w:pPr>
            <w:r w:rsidRPr="0048411A">
              <w:t>Gingham Wetland</w:t>
            </w:r>
          </w:p>
        </w:tc>
        <w:tc>
          <w:tcPr>
            <w:tcW w:w="721" w:type="pct"/>
            <w:shd w:val="clear" w:color="auto" w:fill="auto"/>
            <w:noWrap/>
            <w:vAlign w:val="center"/>
            <w:hideMark/>
          </w:tcPr>
          <w:p w:rsidR="00E809F1" w:rsidRPr="0048411A" w:rsidRDefault="00E809F1" w:rsidP="00CC18AA">
            <w:pPr>
              <w:spacing w:before="60" w:after="60"/>
            </w:pPr>
            <w:r w:rsidRPr="0048411A">
              <w:t>29.24330</w:t>
            </w:r>
          </w:p>
        </w:tc>
        <w:tc>
          <w:tcPr>
            <w:tcW w:w="771" w:type="pct"/>
            <w:shd w:val="clear" w:color="auto" w:fill="auto"/>
            <w:noWrap/>
            <w:vAlign w:val="center"/>
            <w:hideMark/>
          </w:tcPr>
          <w:p w:rsidR="00E809F1" w:rsidRPr="0048411A" w:rsidRDefault="00E809F1" w:rsidP="00CC18AA">
            <w:pPr>
              <w:spacing w:before="60" w:after="60"/>
            </w:pPr>
            <w:r w:rsidRPr="0048411A">
              <w:t>149.30242</w:t>
            </w:r>
          </w:p>
        </w:tc>
        <w:tc>
          <w:tcPr>
            <w:tcW w:w="1013" w:type="pct"/>
            <w:shd w:val="clear" w:color="auto" w:fill="auto"/>
            <w:noWrap/>
            <w:vAlign w:val="center"/>
            <w:hideMark/>
          </w:tcPr>
          <w:p w:rsidR="00E809F1" w:rsidRPr="0048411A" w:rsidRDefault="00E809F1" w:rsidP="00CC18AA">
            <w:pPr>
              <w:spacing w:before="60" w:after="60"/>
            </w:pPr>
            <w:r w:rsidRPr="0048411A">
              <w:t>2 fyke, Seine, observation</w:t>
            </w:r>
          </w:p>
        </w:tc>
        <w:tc>
          <w:tcPr>
            <w:tcW w:w="1058" w:type="pct"/>
            <w:shd w:val="clear" w:color="auto" w:fill="auto"/>
            <w:noWrap/>
            <w:vAlign w:val="center"/>
            <w:hideMark/>
          </w:tcPr>
          <w:p w:rsidR="00E809F1" w:rsidRPr="0048411A" w:rsidRDefault="00E809F1" w:rsidP="00CC18AA">
            <w:pPr>
              <w:spacing w:before="60" w:after="60"/>
            </w:pPr>
            <w:r w:rsidRPr="0048411A">
              <w:t>Nocturnal listening, search</w:t>
            </w:r>
          </w:p>
        </w:tc>
      </w:tr>
    </w:tbl>
    <w:p w:rsidR="00E809F1" w:rsidRDefault="00E809F1" w:rsidP="00051750">
      <w:pPr>
        <w:pStyle w:val="Heading7"/>
      </w:pPr>
      <w:r w:rsidRPr="00051750">
        <w:t>Results</w:t>
      </w:r>
    </w:p>
    <w:p w:rsidR="00E809F1" w:rsidRDefault="00E809F1" w:rsidP="00051750">
      <w:pPr>
        <w:pStyle w:val="Heading8"/>
      </w:pPr>
      <w:r>
        <w:t>Physico-</w:t>
      </w:r>
      <w:r w:rsidRPr="00051750">
        <w:t>chemistry</w:t>
      </w:r>
    </w:p>
    <w:p w:rsidR="00E809F1" w:rsidRDefault="00E809F1" w:rsidP="00E809F1">
      <w:r>
        <w:t xml:space="preserve">Water </w:t>
      </w:r>
      <w:r w:rsidR="00AA1A46">
        <w:t xml:space="preserve">temperature </w:t>
      </w:r>
      <w:r>
        <w:t xml:space="preserve">was cooler </w:t>
      </w:r>
      <w:r w:rsidR="00AA1A46">
        <w:t xml:space="preserve">at all sites </w:t>
      </w:r>
      <w:r>
        <w:t>in December except for Bunnor Bird Hide, where the February temperature was 9</w:t>
      </w:r>
      <w:r w:rsidRPr="00204583">
        <w:t>°</w:t>
      </w:r>
      <w:r>
        <w:t>C lower (</w:t>
      </w:r>
      <w:r>
        <w:fldChar w:fldCharType="begin"/>
      </w:r>
      <w:r>
        <w:instrText xml:space="preserve"> REF _Ref452984003 \h </w:instrText>
      </w:r>
      <w:r>
        <w:fldChar w:fldCharType="separate"/>
      </w:r>
      <w:r w:rsidR="005D5925">
        <w:t xml:space="preserve">Table </w:t>
      </w:r>
      <w:r w:rsidR="005D5925">
        <w:rPr>
          <w:noProof/>
        </w:rPr>
        <w:t>H</w:t>
      </w:r>
      <w:r w:rsidR="005D5925">
        <w:noBreakHyphen/>
      </w:r>
      <w:r w:rsidR="005D5925">
        <w:rPr>
          <w:noProof/>
        </w:rPr>
        <w:t>2</w:t>
      </w:r>
      <w:r>
        <w:fldChar w:fldCharType="end"/>
      </w:r>
      <w:r>
        <w:t xml:space="preserve">).  Electrical conductivity was higher at all sites in December than February. December EC was between 0.52 mS/cm and 0.82 mS/cm, while in February it was between 0.32 mS/cm and 0.69 mS/cm. </w:t>
      </w:r>
    </w:p>
    <w:p w:rsidR="00E809F1" w:rsidRDefault="00AA1A46" w:rsidP="00E809F1">
      <w:r>
        <w:t>DO</w:t>
      </w:r>
      <w:r w:rsidR="00E809F1">
        <w:t xml:space="preserve"> concentration (% saturation) was higher in December than in February at the f</w:t>
      </w:r>
      <w:r w:rsidR="00323FA0">
        <w:t>ive wetland sites, exceeding 80</w:t>
      </w:r>
      <w:r w:rsidR="00E809F1">
        <w:t>% saturation (</w:t>
      </w:r>
      <w:r w:rsidR="00E809F1">
        <w:fldChar w:fldCharType="begin"/>
      </w:r>
      <w:r w:rsidR="00E809F1">
        <w:instrText xml:space="preserve"> REF _Ref452984003 \h </w:instrText>
      </w:r>
      <w:r w:rsidR="00E809F1">
        <w:fldChar w:fldCharType="separate"/>
      </w:r>
      <w:r w:rsidR="005D5925">
        <w:t xml:space="preserve">Table </w:t>
      </w:r>
      <w:r w:rsidR="005D5925">
        <w:rPr>
          <w:noProof/>
        </w:rPr>
        <w:t>H</w:t>
      </w:r>
      <w:r w:rsidR="005D5925">
        <w:noBreakHyphen/>
      </w:r>
      <w:r w:rsidR="005D5925">
        <w:rPr>
          <w:noProof/>
        </w:rPr>
        <w:t>2</w:t>
      </w:r>
      <w:r w:rsidR="00E809F1">
        <w:fldChar w:fldCharType="end"/>
      </w:r>
      <w:r w:rsidR="00E809F1">
        <w:t xml:space="preserve">). </w:t>
      </w:r>
      <w:r w:rsidR="00A97349">
        <w:t xml:space="preserve"> </w:t>
      </w:r>
      <w:r w:rsidR="00E809F1">
        <w:t xml:space="preserve">The exception was the Gwydir River at Allambie Bridge, </w:t>
      </w:r>
      <w:r w:rsidR="00323FA0">
        <w:t>where December DO was just 21.8</w:t>
      </w:r>
      <w:r w:rsidR="00E809F1">
        <w:t xml:space="preserve">% saturation. </w:t>
      </w:r>
      <w:r w:rsidR="00A97349">
        <w:t xml:space="preserve"> </w:t>
      </w:r>
      <w:r w:rsidR="00E809F1">
        <w:t>Allambie Bridge DO concentration differed to that of other sites in Februar</w:t>
      </w:r>
      <w:r w:rsidR="00323FA0">
        <w:t>y, increasing four-fold to 86.2</w:t>
      </w:r>
      <w:r w:rsidR="00E809F1">
        <w:t>% saturation while all other sites showed a decline (</w:t>
      </w:r>
      <w:r w:rsidR="00E809F1">
        <w:fldChar w:fldCharType="begin"/>
      </w:r>
      <w:r w:rsidR="00E809F1">
        <w:instrText xml:space="preserve"> REF _Ref452984003 \h </w:instrText>
      </w:r>
      <w:r w:rsidR="00E809F1">
        <w:fldChar w:fldCharType="separate"/>
      </w:r>
      <w:r w:rsidR="005D5925">
        <w:t xml:space="preserve">Table </w:t>
      </w:r>
      <w:r w:rsidR="005D5925">
        <w:rPr>
          <w:noProof/>
        </w:rPr>
        <w:t>H</w:t>
      </w:r>
      <w:r w:rsidR="005D5925">
        <w:noBreakHyphen/>
      </w:r>
      <w:r w:rsidR="005D5925">
        <w:rPr>
          <w:noProof/>
        </w:rPr>
        <w:t>2</w:t>
      </w:r>
      <w:r w:rsidR="00E809F1">
        <w:fldChar w:fldCharType="end"/>
      </w:r>
      <w:r w:rsidR="00E809F1">
        <w:t>).  Despite the water being warm, DO concentration at Bunnor was super-saturated when measured in December 20</w:t>
      </w:r>
      <w:r w:rsidR="00323FA0">
        <w:t>15, but had fallen to just 18.2</w:t>
      </w:r>
      <w:r w:rsidR="00E809F1">
        <w:t>% when measured in February.</w:t>
      </w:r>
    </w:p>
    <w:p w:rsidR="00E809F1" w:rsidRDefault="00E809F1" w:rsidP="00E809F1">
      <w:r>
        <w:t>No pH measurements were taken in December 2015 because of a malfunctioning meter, but in February, pH was between 7.28 and 7.88 (</w:t>
      </w:r>
      <w:r>
        <w:fldChar w:fldCharType="begin"/>
      </w:r>
      <w:r>
        <w:instrText xml:space="preserve"> REF _Ref452984003 \h </w:instrText>
      </w:r>
      <w:r>
        <w:fldChar w:fldCharType="separate"/>
      </w:r>
      <w:r w:rsidR="005D5925">
        <w:t xml:space="preserve">Table </w:t>
      </w:r>
      <w:r w:rsidR="005D5925">
        <w:rPr>
          <w:noProof/>
        </w:rPr>
        <w:t>H</w:t>
      </w:r>
      <w:r w:rsidR="005D5925">
        <w:noBreakHyphen/>
      </w:r>
      <w:r w:rsidR="005D5925">
        <w:rPr>
          <w:noProof/>
        </w:rPr>
        <w:t>2</w:t>
      </w:r>
      <w:r>
        <w:fldChar w:fldCharType="end"/>
      </w:r>
      <w:r>
        <w:t xml:space="preserve">). </w:t>
      </w:r>
      <w:r w:rsidR="00A97349">
        <w:t xml:space="preserve"> </w:t>
      </w:r>
      <w:r>
        <w:t>Alkalinity was higher in December 2015 than February 2016 at all sites, and for Eastern and Middle Dams alkalinity declined more than twofold (</w:t>
      </w:r>
      <w:r>
        <w:fldChar w:fldCharType="begin"/>
      </w:r>
      <w:r>
        <w:instrText xml:space="preserve"> REF _Ref452984003 \h </w:instrText>
      </w:r>
      <w:r>
        <w:fldChar w:fldCharType="separate"/>
      </w:r>
      <w:r w:rsidR="005D5925">
        <w:t xml:space="preserve">Table </w:t>
      </w:r>
      <w:r w:rsidR="005D5925">
        <w:rPr>
          <w:noProof/>
        </w:rPr>
        <w:t>H</w:t>
      </w:r>
      <w:r w:rsidR="005D5925">
        <w:noBreakHyphen/>
      </w:r>
      <w:r w:rsidR="005D5925">
        <w:rPr>
          <w:noProof/>
        </w:rPr>
        <w:t>2</w:t>
      </w:r>
      <w:r>
        <w:fldChar w:fldCharType="end"/>
      </w:r>
      <w:r>
        <w:t xml:space="preserve">). </w:t>
      </w:r>
    </w:p>
    <w:p w:rsidR="00E23B8D" w:rsidRDefault="00E809F1" w:rsidP="00E809F1">
      <w:r>
        <w:t>Turbidity was higher in December than February for three sites, and was similar between times at the remaining three (</w:t>
      </w:r>
      <w:r>
        <w:fldChar w:fldCharType="begin"/>
      </w:r>
      <w:r>
        <w:instrText xml:space="preserve"> REF _Ref452984003 \h </w:instrText>
      </w:r>
      <w:r>
        <w:fldChar w:fldCharType="separate"/>
      </w:r>
      <w:r w:rsidR="005D5925">
        <w:t xml:space="preserve">Table </w:t>
      </w:r>
      <w:r w:rsidR="005D5925">
        <w:rPr>
          <w:noProof/>
        </w:rPr>
        <w:t>H</w:t>
      </w:r>
      <w:r w:rsidR="005D5925">
        <w:noBreakHyphen/>
      </w:r>
      <w:r w:rsidR="005D5925">
        <w:rPr>
          <w:noProof/>
        </w:rPr>
        <w:t>2</w:t>
      </w:r>
      <w:r>
        <w:fldChar w:fldCharType="end"/>
      </w:r>
      <w:r>
        <w:t xml:space="preserve">). </w:t>
      </w:r>
      <w:r w:rsidR="00A97349">
        <w:t xml:space="preserve"> </w:t>
      </w:r>
      <w:r>
        <w:t xml:space="preserve">The wetland sites where turbidity fell were those likely to have received environmental water </w:t>
      </w:r>
      <w:r w:rsidR="00323FA0">
        <w:t xml:space="preserve">first.  The two Gingham </w:t>
      </w:r>
      <w:r w:rsidR="00AA1A46">
        <w:t>sites</w:t>
      </w:r>
      <w:r>
        <w:t xml:space="preserve"> were more turbid than the southern three Gwydir </w:t>
      </w:r>
      <w:r w:rsidR="00AA1A46">
        <w:t>s</w:t>
      </w:r>
      <w:r>
        <w:t xml:space="preserve">ites. </w:t>
      </w:r>
    </w:p>
    <w:p w:rsidR="00E23B8D" w:rsidRDefault="00E23B8D" w:rsidP="00E809F1">
      <w:pPr>
        <w:sectPr w:rsidR="00E23B8D" w:rsidSect="007A0923">
          <w:headerReference w:type="default" r:id="rId154"/>
          <w:type w:val="nextColumn"/>
          <w:pgSz w:w="11899" w:h="16838" w:code="9"/>
          <w:pgMar w:top="1508" w:right="1219" w:bottom="1418" w:left="1480" w:header="811" w:footer="306" w:gutter="0"/>
          <w:pgNumType w:start="1" w:chapStyle="6"/>
          <w:cols w:space="708"/>
        </w:sectPr>
      </w:pPr>
    </w:p>
    <w:p w:rsidR="00E809F1" w:rsidRDefault="00E809F1" w:rsidP="00E809F1">
      <w:pPr>
        <w:pStyle w:val="Caption"/>
        <w:keepNext/>
      </w:pPr>
      <w:bookmarkStart w:id="130" w:name="_Ref452984003"/>
      <w:r>
        <w:t xml:space="preserve">Table </w:t>
      </w:r>
      <w:fldSimple w:instr=" STYLEREF 6 \s ">
        <w:r w:rsidR="005D5925">
          <w:rPr>
            <w:noProof/>
          </w:rPr>
          <w:t>H</w:t>
        </w:r>
      </w:fldSimple>
      <w:r w:rsidR="005D4453">
        <w:noBreakHyphen/>
      </w:r>
      <w:fldSimple w:instr=" SEQ Table \* ARABIC \s 6 ">
        <w:r w:rsidR="005D5925">
          <w:rPr>
            <w:noProof/>
          </w:rPr>
          <w:t>2</w:t>
        </w:r>
      </w:fldSimple>
      <w:bookmarkEnd w:id="130"/>
      <w:r>
        <w:t xml:space="preserve">: </w:t>
      </w:r>
      <w:r w:rsidRPr="007C197C">
        <w:t xml:space="preserve">Physico-chemistry for Gwydir </w:t>
      </w:r>
      <w:r>
        <w:t xml:space="preserve">and Gingham </w:t>
      </w:r>
      <w:r w:rsidRPr="007C197C">
        <w:t xml:space="preserve">Wetland sites </w:t>
      </w:r>
      <w:r>
        <w:t xml:space="preserve">during the </w:t>
      </w:r>
      <w:r w:rsidRPr="007C197C">
        <w:t>December 2015 and February 2016</w:t>
      </w:r>
      <w:r>
        <w:t xml:space="preserve"> sampling times.</w:t>
      </w:r>
    </w:p>
    <w:tbl>
      <w:tblPr>
        <w:tblW w:w="5000" w:type="pct"/>
        <w:tblLook w:val="04A0" w:firstRow="1" w:lastRow="0" w:firstColumn="1" w:lastColumn="0" w:noHBand="0" w:noVBand="1"/>
      </w:tblPr>
      <w:tblGrid>
        <w:gridCol w:w="1829"/>
        <w:gridCol w:w="980"/>
        <w:gridCol w:w="980"/>
        <w:gridCol w:w="980"/>
        <w:gridCol w:w="980"/>
        <w:gridCol w:w="1126"/>
        <w:gridCol w:w="979"/>
        <w:gridCol w:w="1126"/>
        <w:gridCol w:w="979"/>
        <w:gridCol w:w="979"/>
        <w:gridCol w:w="982"/>
        <w:gridCol w:w="979"/>
        <w:gridCol w:w="974"/>
      </w:tblGrid>
      <w:tr w:rsidR="00E809F1" w:rsidRPr="00E23B8D" w:rsidTr="00CB0896">
        <w:trPr>
          <w:trHeight w:val="300"/>
          <w:tblHeader/>
        </w:trPr>
        <w:tc>
          <w:tcPr>
            <w:tcW w:w="659" w:type="pct"/>
            <w:vMerge w:val="restart"/>
            <w:tcBorders>
              <w:top w:val="single" w:sz="4" w:space="0" w:color="auto"/>
              <w:left w:val="nil"/>
              <w:bottom w:val="single" w:sz="4" w:space="0" w:color="auto"/>
              <w:right w:val="single" w:sz="4" w:space="0" w:color="auto"/>
            </w:tcBorders>
            <w:shd w:val="clear" w:color="000000" w:fill="D9D9D9"/>
            <w:vAlign w:val="center"/>
            <w:hideMark/>
          </w:tcPr>
          <w:p w:rsidR="00E809F1" w:rsidRPr="00E23B8D" w:rsidRDefault="00E809F1" w:rsidP="00433ED5">
            <w:pPr>
              <w:spacing w:before="60" w:after="60"/>
              <w:jc w:val="center"/>
              <w:rPr>
                <w:rFonts w:cs="Arial"/>
                <w:color w:val="000000"/>
                <w:szCs w:val="20"/>
                <w:lang w:eastAsia="en-AU"/>
              </w:rPr>
            </w:pPr>
            <w:r w:rsidRPr="00E23B8D">
              <w:rPr>
                <w:rFonts w:cs="Arial"/>
                <w:color w:val="000000"/>
                <w:szCs w:val="20"/>
                <w:lang w:eastAsia="en-AU"/>
              </w:rPr>
              <w:t>Parameter</w:t>
            </w:r>
          </w:p>
        </w:tc>
        <w:tc>
          <w:tcPr>
            <w:tcW w:w="2170" w:type="pct"/>
            <w:gridSpan w:val="6"/>
            <w:tcBorders>
              <w:top w:val="single" w:sz="4" w:space="0" w:color="auto"/>
              <w:left w:val="nil"/>
              <w:bottom w:val="single" w:sz="4" w:space="0" w:color="auto"/>
              <w:right w:val="single" w:sz="4" w:space="0" w:color="auto"/>
            </w:tcBorders>
            <w:shd w:val="clear" w:color="000000" w:fill="D9D9D9"/>
            <w:vAlign w:val="center"/>
            <w:hideMark/>
          </w:tcPr>
          <w:p w:rsidR="00E809F1" w:rsidRPr="00E23B8D" w:rsidRDefault="00E809F1" w:rsidP="00433ED5">
            <w:pPr>
              <w:spacing w:before="60" w:after="60"/>
              <w:jc w:val="center"/>
              <w:rPr>
                <w:rFonts w:cs="Arial"/>
                <w:color w:val="000000"/>
                <w:szCs w:val="20"/>
                <w:lang w:eastAsia="en-AU"/>
              </w:rPr>
            </w:pPr>
            <w:r w:rsidRPr="00E23B8D">
              <w:rPr>
                <w:rFonts w:cs="Arial"/>
                <w:color w:val="000000"/>
                <w:szCs w:val="20"/>
                <w:lang w:eastAsia="en-AU"/>
              </w:rPr>
              <w:t>Gwydir Wetlands</w:t>
            </w:r>
          </w:p>
        </w:tc>
        <w:tc>
          <w:tcPr>
            <w:tcW w:w="1466" w:type="pct"/>
            <w:gridSpan w:val="4"/>
            <w:tcBorders>
              <w:top w:val="single" w:sz="4" w:space="0" w:color="auto"/>
              <w:left w:val="nil"/>
              <w:bottom w:val="single" w:sz="4" w:space="0" w:color="auto"/>
              <w:right w:val="single" w:sz="4" w:space="0" w:color="auto"/>
            </w:tcBorders>
            <w:shd w:val="clear" w:color="000000" w:fill="D9D9D9"/>
            <w:vAlign w:val="center"/>
            <w:hideMark/>
          </w:tcPr>
          <w:p w:rsidR="00E809F1" w:rsidRPr="00E23B8D" w:rsidRDefault="00E809F1" w:rsidP="00433ED5">
            <w:pPr>
              <w:spacing w:before="60" w:after="60"/>
              <w:jc w:val="center"/>
              <w:rPr>
                <w:rFonts w:cs="Arial"/>
                <w:color w:val="000000"/>
                <w:szCs w:val="20"/>
                <w:lang w:eastAsia="en-AU"/>
              </w:rPr>
            </w:pPr>
            <w:r w:rsidRPr="00E23B8D">
              <w:rPr>
                <w:rFonts w:cs="Arial"/>
                <w:color w:val="000000"/>
                <w:szCs w:val="20"/>
                <w:lang w:eastAsia="en-AU"/>
              </w:rPr>
              <w:t>Gingham Wetlands</w:t>
            </w:r>
          </w:p>
        </w:tc>
        <w:tc>
          <w:tcPr>
            <w:tcW w:w="705" w:type="pct"/>
            <w:gridSpan w:val="2"/>
            <w:tcBorders>
              <w:top w:val="single" w:sz="4" w:space="0" w:color="auto"/>
              <w:left w:val="nil"/>
              <w:bottom w:val="single" w:sz="4" w:space="0" w:color="auto"/>
            </w:tcBorders>
            <w:shd w:val="clear" w:color="000000" w:fill="D9D9D9"/>
            <w:vAlign w:val="center"/>
            <w:hideMark/>
          </w:tcPr>
          <w:p w:rsidR="00E809F1" w:rsidRPr="00E23B8D" w:rsidRDefault="00E809F1" w:rsidP="00433ED5">
            <w:pPr>
              <w:spacing w:before="60" w:after="60"/>
              <w:jc w:val="center"/>
              <w:rPr>
                <w:rFonts w:cs="Arial"/>
                <w:color w:val="000000"/>
                <w:szCs w:val="20"/>
                <w:lang w:eastAsia="en-AU"/>
              </w:rPr>
            </w:pPr>
            <w:r w:rsidRPr="00E23B8D">
              <w:rPr>
                <w:rFonts w:cs="Arial"/>
                <w:color w:val="000000"/>
                <w:szCs w:val="20"/>
                <w:lang w:eastAsia="en-AU"/>
              </w:rPr>
              <w:t>Gwydir River</w:t>
            </w:r>
          </w:p>
        </w:tc>
      </w:tr>
      <w:tr w:rsidR="00E809F1" w:rsidRPr="00E23B8D" w:rsidTr="00CB0896">
        <w:trPr>
          <w:trHeight w:val="300"/>
          <w:tblHeader/>
        </w:trPr>
        <w:tc>
          <w:tcPr>
            <w:tcW w:w="659" w:type="pct"/>
            <w:vMerge/>
            <w:tcBorders>
              <w:top w:val="single" w:sz="4" w:space="0" w:color="auto"/>
              <w:left w:val="nil"/>
              <w:bottom w:val="single" w:sz="4" w:space="0" w:color="auto"/>
              <w:right w:val="single" w:sz="4" w:space="0" w:color="auto"/>
            </w:tcBorders>
            <w:vAlign w:val="center"/>
            <w:hideMark/>
          </w:tcPr>
          <w:p w:rsidR="00E809F1" w:rsidRPr="00E23B8D" w:rsidRDefault="00E809F1">
            <w:pPr>
              <w:spacing w:before="60" w:after="60"/>
              <w:jc w:val="left"/>
              <w:rPr>
                <w:rFonts w:cs="Arial"/>
                <w:color w:val="000000"/>
                <w:szCs w:val="20"/>
                <w:lang w:eastAsia="en-AU"/>
              </w:rPr>
            </w:pPr>
          </w:p>
        </w:tc>
        <w:tc>
          <w:tcPr>
            <w:tcW w:w="705" w:type="pct"/>
            <w:gridSpan w:val="2"/>
            <w:tcBorders>
              <w:top w:val="single" w:sz="4" w:space="0" w:color="auto"/>
              <w:left w:val="nil"/>
              <w:bottom w:val="single" w:sz="4" w:space="0" w:color="auto"/>
              <w:right w:val="single" w:sz="4" w:space="0" w:color="auto"/>
            </w:tcBorders>
            <w:shd w:val="clear" w:color="000000" w:fill="D9D9D9"/>
            <w:vAlign w:val="center"/>
            <w:hideMark/>
          </w:tcPr>
          <w:p w:rsidR="00E809F1" w:rsidRPr="00E23B8D" w:rsidRDefault="00E809F1">
            <w:pPr>
              <w:spacing w:before="60" w:after="60"/>
              <w:jc w:val="center"/>
              <w:rPr>
                <w:rFonts w:cs="Arial"/>
                <w:color w:val="000000"/>
                <w:szCs w:val="20"/>
                <w:lang w:eastAsia="en-AU"/>
              </w:rPr>
            </w:pPr>
            <w:r w:rsidRPr="00E23B8D">
              <w:rPr>
                <w:rFonts w:cs="Arial"/>
                <w:color w:val="000000"/>
                <w:szCs w:val="20"/>
                <w:lang w:eastAsia="en-AU"/>
              </w:rPr>
              <w:t>Eastern Dam</w:t>
            </w:r>
          </w:p>
        </w:tc>
        <w:tc>
          <w:tcPr>
            <w:tcW w:w="705" w:type="pct"/>
            <w:gridSpan w:val="2"/>
            <w:tcBorders>
              <w:top w:val="single" w:sz="4" w:space="0" w:color="auto"/>
              <w:left w:val="nil"/>
              <w:bottom w:val="single" w:sz="4" w:space="0" w:color="auto"/>
              <w:right w:val="single" w:sz="4" w:space="0" w:color="auto"/>
            </w:tcBorders>
            <w:shd w:val="clear" w:color="000000" w:fill="D9D9D9"/>
            <w:vAlign w:val="center"/>
            <w:hideMark/>
          </w:tcPr>
          <w:p w:rsidR="00E809F1" w:rsidRPr="00E23B8D" w:rsidRDefault="00E809F1">
            <w:pPr>
              <w:spacing w:before="60" w:after="60"/>
              <w:jc w:val="center"/>
              <w:rPr>
                <w:rFonts w:cs="Arial"/>
                <w:color w:val="000000"/>
                <w:szCs w:val="20"/>
                <w:lang w:eastAsia="en-AU"/>
              </w:rPr>
            </w:pPr>
            <w:r w:rsidRPr="00E23B8D">
              <w:rPr>
                <w:rFonts w:cs="Arial"/>
                <w:color w:val="000000"/>
                <w:szCs w:val="20"/>
                <w:lang w:eastAsia="en-AU"/>
              </w:rPr>
              <w:t>Middle Dam</w:t>
            </w:r>
          </w:p>
        </w:tc>
        <w:tc>
          <w:tcPr>
            <w:tcW w:w="759" w:type="pct"/>
            <w:gridSpan w:val="2"/>
            <w:tcBorders>
              <w:top w:val="single" w:sz="4" w:space="0" w:color="auto"/>
              <w:left w:val="nil"/>
              <w:bottom w:val="single" w:sz="4" w:space="0" w:color="auto"/>
              <w:right w:val="single" w:sz="4" w:space="0" w:color="auto"/>
            </w:tcBorders>
            <w:shd w:val="clear" w:color="000000" w:fill="D9D9D9"/>
            <w:vAlign w:val="center"/>
            <w:hideMark/>
          </w:tcPr>
          <w:p w:rsidR="00E809F1" w:rsidRPr="00E23B8D" w:rsidRDefault="00E809F1">
            <w:pPr>
              <w:spacing w:before="60" w:after="60"/>
              <w:jc w:val="center"/>
              <w:rPr>
                <w:rFonts w:cs="Arial"/>
                <w:color w:val="000000"/>
                <w:szCs w:val="20"/>
                <w:lang w:eastAsia="en-AU"/>
              </w:rPr>
            </w:pPr>
            <w:r w:rsidRPr="00E23B8D">
              <w:rPr>
                <w:rFonts w:cs="Arial"/>
                <w:color w:val="000000"/>
                <w:szCs w:val="20"/>
                <w:lang w:eastAsia="en-AU"/>
              </w:rPr>
              <w:t>Western Dam</w:t>
            </w:r>
          </w:p>
        </w:tc>
        <w:tc>
          <w:tcPr>
            <w:tcW w:w="759" w:type="pct"/>
            <w:gridSpan w:val="2"/>
            <w:tcBorders>
              <w:top w:val="single" w:sz="4" w:space="0" w:color="auto"/>
              <w:left w:val="nil"/>
              <w:bottom w:val="single" w:sz="4" w:space="0" w:color="auto"/>
              <w:right w:val="single" w:sz="4" w:space="0" w:color="auto"/>
            </w:tcBorders>
            <w:shd w:val="clear" w:color="000000" w:fill="D9D9D9"/>
            <w:vAlign w:val="center"/>
            <w:hideMark/>
          </w:tcPr>
          <w:p w:rsidR="00E809F1" w:rsidRPr="00E23B8D" w:rsidRDefault="00E809F1">
            <w:pPr>
              <w:spacing w:before="60" w:after="60"/>
              <w:jc w:val="center"/>
              <w:rPr>
                <w:rFonts w:cs="Arial"/>
                <w:color w:val="000000"/>
                <w:szCs w:val="20"/>
                <w:lang w:eastAsia="en-AU"/>
              </w:rPr>
            </w:pPr>
            <w:r w:rsidRPr="00E23B8D">
              <w:rPr>
                <w:rFonts w:cs="Arial"/>
                <w:color w:val="000000"/>
                <w:szCs w:val="20"/>
                <w:lang w:eastAsia="en-AU"/>
              </w:rPr>
              <w:t>Bunnor Bird Hide</w:t>
            </w:r>
          </w:p>
        </w:tc>
        <w:tc>
          <w:tcPr>
            <w:tcW w:w="707" w:type="pct"/>
            <w:gridSpan w:val="2"/>
            <w:tcBorders>
              <w:top w:val="single" w:sz="4" w:space="0" w:color="auto"/>
              <w:left w:val="nil"/>
              <w:bottom w:val="single" w:sz="4" w:space="0" w:color="auto"/>
              <w:right w:val="single" w:sz="4" w:space="0" w:color="auto"/>
            </w:tcBorders>
            <w:shd w:val="clear" w:color="000000" w:fill="D9D9D9"/>
            <w:vAlign w:val="center"/>
            <w:hideMark/>
          </w:tcPr>
          <w:p w:rsidR="00E809F1" w:rsidRPr="00E23B8D" w:rsidRDefault="00E809F1">
            <w:pPr>
              <w:spacing w:before="60" w:after="60"/>
              <w:jc w:val="center"/>
              <w:rPr>
                <w:rFonts w:cs="Arial"/>
                <w:color w:val="000000"/>
                <w:szCs w:val="20"/>
                <w:lang w:eastAsia="en-AU"/>
              </w:rPr>
            </w:pPr>
            <w:r w:rsidRPr="00E23B8D">
              <w:rPr>
                <w:rFonts w:cs="Arial"/>
                <w:color w:val="000000"/>
                <w:szCs w:val="20"/>
                <w:lang w:eastAsia="en-AU"/>
              </w:rPr>
              <w:t>Gingham Waterhole</w:t>
            </w:r>
          </w:p>
        </w:tc>
        <w:tc>
          <w:tcPr>
            <w:tcW w:w="705" w:type="pct"/>
            <w:gridSpan w:val="2"/>
            <w:tcBorders>
              <w:top w:val="single" w:sz="4" w:space="0" w:color="auto"/>
              <w:left w:val="nil"/>
              <w:bottom w:val="single" w:sz="4" w:space="0" w:color="auto"/>
            </w:tcBorders>
            <w:shd w:val="clear" w:color="000000" w:fill="D9D9D9"/>
            <w:vAlign w:val="center"/>
            <w:hideMark/>
          </w:tcPr>
          <w:p w:rsidR="00E809F1" w:rsidRPr="00E23B8D" w:rsidRDefault="00E809F1">
            <w:pPr>
              <w:spacing w:before="60" w:after="60"/>
              <w:jc w:val="center"/>
              <w:rPr>
                <w:rFonts w:cs="Arial"/>
                <w:color w:val="000000"/>
                <w:szCs w:val="20"/>
                <w:lang w:eastAsia="en-AU"/>
              </w:rPr>
            </w:pPr>
            <w:r w:rsidRPr="00E23B8D">
              <w:rPr>
                <w:rFonts w:cs="Arial"/>
                <w:color w:val="000000"/>
                <w:szCs w:val="20"/>
                <w:lang w:eastAsia="en-AU"/>
              </w:rPr>
              <w:t>Allambie Bridge</w:t>
            </w:r>
          </w:p>
        </w:tc>
      </w:tr>
      <w:tr w:rsidR="00E809F1" w:rsidRPr="00E23B8D" w:rsidTr="00CB0896">
        <w:trPr>
          <w:trHeight w:val="300"/>
          <w:tblHeader/>
        </w:trPr>
        <w:tc>
          <w:tcPr>
            <w:tcW w:w="659" w:type="pct"/>
            <w:vMerge/>
            <w:tcBorders>
              <w:top w:val="single" w:sz="4" w:space="0" w:color="auto"/>
              <w:left w:val="nil"/>
              <w:bottom w:val="single" w:sz="4" w:space="0" w:color="auto"/>
              <w:right w:val="single" w:sz="4" w:space="0" w:color="auto"/>
            </w:tcBorders>
            <w:vAlign w:val="center"/>
            <w:hideMark/>
          </w:tcPr>
          <w:p w:rsidR="00E809F1" w:rsidRPr="00E23B8D" w:rsidRDefault="00E809F1">
            <w:pPr>
              <w:spacing w:before="60" w:after="60"/>
              <w:jc w:val="left"/>
              <w:rPr>
                <w:rFonts w:cs="Arial"/>
                <w:color w:val="000000"/>
                <w:szCs w:val="20"/>
                <w:lang w:eastAsia="en-AU"/>
              </w:rPr>
            </w:pPr>
          </w:p>
        </w:tc>
        <w:tc>
          <w:tcPr>
            <w:tcW w:w="353" w:type="pct"/>
            <w:tcBorders>
              <w:top w:val="nil"/>
              <w:left w:val="nil"/>
              <w:bottom w:val="single" w:sz="4" w:space="0" w:color="auto"/>
              <w:right w:val="single" w:sz="4" w:space="0" w:color="auto"/>
            </w:tcBorders>
            <w:shd w:val="clear" w:color="000000" w:fill="D9D9D9"/>
            <w:vAlign w:val="center"/>
            <w:hideMark/>
          </w:tcPr>
          <w:p w:rsidR="00E809F1" w:rsidRPr="00E23B8D" w:rsidRDefault="00E809F1">
            <w:pPr>
              <w:spacing w:before="60" w:after="60"/>
              <w:jc w:val="center"/>
              <w:rPr>
                <w:rFonts w:cs="Arial"/>
                <w:color w:val="000000"/>
                <w:szCs w:val="20"/>
                <w:lang w:eastAsia="en-AU"/>
              </w:rPr>
            </w:pPr>
            <w:r w:rsidRPr="00E23B8D">
              <w:rPr>
                <w:rFonts w:cs="Arial"/>
                <w:color w:val="000000"/>
                <w:szCs w:val="20"/>
                <w:lang w:eastAsia="en-AU"/>
              </w:rPr>
              <w:t>Dec-15</w:t>
            </w:r>
          </w:p>
        </w:tc>
        <w:tc>
          <w:tcPr>
            <w:tcW w:w="353" w:type="pct"/>
            <w:tcBorders>
              <w:top w:val="nil"/>
              <w:left w:val="nil"/>
              <w:bottom w:val="single" w:sz="4" w:space="0" w:color="auto"/>
              <w:right w:val="single" w:sz="4" w:space="0" w:color="auto"/>
            </w:tcBorders>
            <w:shd w:val="clear" w:color="000000" w:fill="D9D9D9"/>
            <w:vAlign w:val="center"/>
            <w:hideMark/>
          </w:tcPr>
          <w:p w:rsidR="00E809F1" w:rsidRPr="00E23B8D" w:rsidRDefault="00E809F1">
            <w:pPr>
              <w:spacing w:before="60" w:after="60"/>
              <w:jc w:val="center"/>
              <w:rPr>
                <w:rFonts w:cs="Arial"/>
                <w:color w:val="000000"/>
                <w:szCs w:val="20"/>
                <w:lang w:eastAsia="en-AU"/>
              </w:rPr>
            </w:pPr>
            <w:r w:rsidRPr="00E23B8D">
              <w:rPr>
                <w:rFonts w:cs="Arial"/>
                <w:color w:val="000000"/>
                <w:szCs w:val="20"/>
                <w:lang w:eastAsia="en-AU"/>
              </w:rPr>
              <w:t>Feb-16</w:t>
            </w:r>
          </w:p>
        </w:tc>
        <w:tc>
          <w:tcPr>
            <w:tcW w:w="353" w:type="pct"/>
            <w:tcBorders>
              <w:top w:val="nil"/>
              <w:left w:val="nil"/>
              <w:bottom w:val="single" w:sz="4" w:space="0" w:color="auto"/>
              <w:right w:val="single" w:sz="4" w:space="0" w:color="auto"/>
            </w:tcBorders>
            <w:shd w:val="clear" w:color="000000" w:fill="D9D9D9"/>
            <w:vAlign w:val="center"/>
            <w:hideMark/>
          </w:tcPr>
          <w:p w:rsidR="00E809F1" w:rsidRPr="00E23B8D" w:rsidRDefault="00E809F1">
            <w:pPr>
              <w:spacing w:before="60" w:after="60"/>
              <w:jc w:val="center"/>
              <w:rPr>
                <w:rFonts w:cs="Arial"/>
                <w:color w:val="000000"/>
                <w:szCs w:val="20"/>
                <w:lang w:eastAsia="en-AU"/>
              </w:rPr>
            </w:pPr>
            <w:r w:rsidRPr="00E23B8D">
              <w:rPr>
                <w:rFonts w:cs="Arial"/>
                <w:color w:val="000000"/>
                <w:szCs w:val="20"/>
                <w:lang w:eastAsia="en-AU"/>
              </w:rPr>
              <w:t>Dec-15</w:t>
            </w:r>
          </w:p>
        </w:tc>
        <w:tc>
          <w:tcPr>
            <w:tcW w:w="353" w:type="pct"/>
            <w:tcBorders>
              <w:top w:val="nil"/>
              <w:left w:val="nil"/>
              <w:bottom w:val="single" w:sz="4" w:space="0" w:color="auto"/>
              <w:right w:val="single" w:sz="4" w:space="0" w:color="auto"/>
            </w:tcBorders>
            <w:shd w:val="clear" w:color="000000" w:fill="D9D9D9"/>
            <w:vAlign w:val="center"/>
            <w:hideMark/>
          </w:tcPr>
          <w:p w:rsidR="00E809F1" w:rsidRPr="00E23B8D" w:rsidRDefault="00E809F1">
            <w:pPr>
              <w:spacing w:before="60" w:after="60"/>
              <w:jc w:val="center"/>
              <w:rPr>
                <w:rFonts w:cs="Arial"/>
                <w:color w:val="000000"/>
                <w:szCs w:val="20"/>
                <w:lang w:eastAsia="en-AU"/>
              </w:rPr>
            </w:pPr>
            <w:r w:rsidRPr="00E23B8D">
              <w:rPr>
                <w:rFonts w:cs="Arial"/>
                <w:color w:val="000000"/>
                <w:szCs w:val="20"/>
                <w:lang w:eastAsia="en-AU"/>
              </w:rPr>
              <w:t>Feb-16</w:t>
            </w:r>
          </w:p>
        </w:tc>
        <w:tc>
          <w:tcPr>
            <w:tcW w:w="406" w:type="pct"/>
            <w:tcBorders>
              <w:top w:val="nil"/>
              <w:left w:val="nil"/>
              <w:bottom w:val="single" w:sz="4" w:space="0" w:color="auto"/>
              <w:right w:val="single" w:sz="4" w:space="0" w:color="auto"/>
            </w:tcBorders>
            <w:shd w:val="clear" w:color="000000" w:fill="D9D9D9"/>
            <w:vAlign w:val="center"/>
            <w:hideMark/>
          </w:tcPr>
          <w:p w:rsidR="00E809F1" w:rsidRPr="00E23B8D" w:rsidRDefault="00E809F1">
            <w:pPr>
              <w:spacing w:before="60" w:after="60"/>
              <w:jc w:val="center"/>
              <w:rPr>
                <w:rFonts w:cs="Arial"/>
                <w:color w:val="000000"/>
                <w:szCs w:val="20"/>
                <w:lang w:eastAsia="en-AU"/>
              </w:rPr>
            </w:pPr>
            <w:r w:rsidRPr="00E23B8D">
              <w:rPr>
                <w:rFonts w:cs="Arial"/>
                <w:color w:val="000000"/>
                <w:szCs w:val="20"/>
                <w:lang w:eastAsia="en-AU"/>
              </w:rPr>
              <w:t>Dec-15</w:t>
            </w:r>
          </w:p>
        </w:tc>
        <w:tc>
          <w:tcPr>
            <w:tcW w:w="353" w:type="pct"/>
            <w:tcBorders>
              <w:top w:val="nil"/>
              <w:left w:val="nil"/>
              <w:bottom w:val="single" w:sz="4" w:space="0" w:color="auto"/>
              <w:right w:val="single" w:sz="4" w:space="0" w:color="auto"/>
            </w:tcBorders>
            <w:shd w:val="clear" w:color="000000" w:fill="D9D9D9"/>
            <w:vAlign w:val="center"/>
            <w:hideMark/>
          </w:tcPr>
          <w:p w:rsidR="00E809F1" w:rsidRPr="00E23B8D" w:rsidRDefault="00E809F1">
            <w:pPr>
              <w:spacing w:before="60" w:after="60"/>
              <w:jc w:val="center"/>
              <w:rPr>
                <w:rFonts w:cs="Arial"/>
                <w:color w:val="000000"/>
                <w:szCs w:val="20"/>
                <w:lang w:eastAsia="en-AU"/>
              </w:rPr>
            </w:pPr>
            <w:r w:rsidRPr="00E23B8D">
              <w:rPr>
                <w:rFonts w:cs="Arial"/>
                <w:color w:val="000000"/>
                <w:szCs w:val="20"/>
                <w:lang w:eastAsia="en-AU"/>
              </w:rPr>
              <w:t>Feb-16</w:t>
            </w:r>
          </w:p>
        </w:tc>
        <w:tc>
          <w:tcPr>
            <w:tcW w:w="406" w:type="pct"/>
            <w:tcBorders>
              <w:top w:val="nil"/>
              <w:left w:val="nil"/>
              <w:bottom w:val="single" w:sz="4" w:space="0" w:color="auto"/>
              <w:right w:val="single" w:sz="4" w:space="0" w:color="auto"/>
            </w:tcBorders>
            <w:shd w:val="clear" w:color="000000" w:fill="D9D9D9"/>
            <w:vAlign w:val="center"/>
            <w:hideMark/>
          </w:tcPr>
          <w:p w:rsidR="00E809F1" w:rsidRPr="00E23B8D" w:rsidRDefault="00E809F1">
            <w:pPr>
              <w:spacing w:before="60" w:after="60"/>
              <w:jc w:val="center"/>
              <w:rPr>
                <w:rFonts w:cs="Arial"/>
                <w:color w:val="000000"/>
                <w:szCs w:val="20"/>
                <w:lang w:eastAsia="en-AU"/>
              </w:rPr>
            </w:pPr>
            <w:r w:rsidRPr="00E23B8D">
              <w:rPr>
                <w:rFonts w:cs="Arial"/>
                <w:color w:val="000000"/>
                <w:szCs w:val="20"/>
                <w:lang w:eastAsia="en-AU"/>
              </w:rPr>
              <w:t>Dec-15</w:t>
            </w:r>
          </w:p>
        </w:tc>
        <w:tc>
          <w:tcPr>
            <w:tcW w:w="353" w:type="pct"/>
            <w:tcBorders>
              <w:top w:val="nil"/>
              <w:left w:val="nil"/>
              <w:bottom w:val="single" w:sz="4" w:space="0" w:color="auto"/>
              <w:right w:val="single" w:sz="4" w:space="0" w:color="auto"/>
            </w:tcBorders>
            <w:shd w:val="clear" w:color="000000" w:fill="D9D9D9"/>
            <w:vAlign w:val="center"/>
            <w:hideMark/>
          </w:tcPr>
          <w:p w:rsidR="00E809F1" w:rsidRPr="00E23B8D" w:rsidRDefault="00E809F1">
            <w:pPr>
              <w:spacing w:before="60" w:after="60"/>
              <w:jc w:val="center"/>
              <w:rPr>
                <w:rFonts w:cs="Arial"/>
                <w:color w:val="000000"/>
                <w:szCs w:val="20"/>
                <w:lang w:eastAsia="en-AU"/>
              </w:rPr>
            </w:pPr>
            <w:r w:rsidRPr="00E23B8D">
              <w:rPr>
                <w:rFonts w:cs="Arial"/>
                <w:color w:val="000000"/>
                <w:szCs w:val="20"/>
                <w:lang w:eastAsia="en-AU"/>
              </w:rPr>
              <w:t>Feb-16</w:t>
            </w:r>
          </w:p>
        </w:tc>
        <w:tc>
          <w:tcPr>
            <w:tcW w:w="353" w:type="pct"/>
            <w:tcBorders>
              <w:top w:val="nil"/>
              <w:left w:val="nil"/>
              <w:bottom w:val="single" w:sz="4" w:space="0" w:color="auto"/>
              <w:right w:val="single" w:sz="4" w:space="0" w:color="auto"/>
            </w:tcBorders>
            <w:shd w:val="clear" w:color="000000" w:fill="D9D9D9"/>
            <w:vAlign w:val="center"/>
            <w:hideMark/>
          </w:tcPr>
          <w:p w:rsidR="00E809F1" w:rsidRPr="00E23B8D" w:rsidRDefault="00E809F1">
            <w:pPr>
              <w:spacing w:before="60" w:after="60"/>
              <w:jc w:val="center"/>
              <w:rPr>
                <w:rFonts w:cs="Arial"/>
                <w:color w:val="000000"/>
                <w:szCs w:val="20"/>
                <w:lang w:eastAsia="en-AU"/>
              </w:rPr>
            </w:pPr>
            <w:r w:rsidRPr="00E23B8D">
              <w:rPr>
                <w:rFonts w:cs="Arial"/>
                <w:color w:val="000000"/>
                <w:szCs w:val="20"/>
                <w:lang w:eastAsia="en-AU"/>
              </w:rPr>
              <w:t>Dec-15</w:t>
            </w:r>
          </w:p>
        </w:tc>
        <w:tc>
          <w:tcPr>
            <w:tcW w:w="353" w:type="pct"/>
            <w:tcBorders>
              <w:top w:val="nil"/>
              <w:left w:val="nil"/>
              <w:bottom w:val="single" w:sz="4" w:space="0" w:color="auto"/>
              <w:right w:val="single" w:sz="4" w:space="0" w:color="auto"/>
            </w:tcBorders>
            <w:shd w:val="clear" w:color="000000" w:fill="D9D9D9"/>
            <w:vAlign w:val="center"/>
            <w:hideMark/>
          </w:tcPr>
          <w:p w:rsidR="00E809F1" w:rsidRPr="00E23B8D" w:rsidRDefault="00E809F1">
            <w:pPr>
              <w:spacing w:before="60" w:after="60"/>
              <w:jc w:val="center"/>
              <w:rPr>
                <w:rFonts w:cs="Arial"/>
                <w:color w:val="000000"/>
                <w:szCs w:val="20"/>
                <w:lang w:eastAsia="en-AU"/>
              </w:rPr>
            </w:pPr>
            <w:r w:rsidRPr="00E23B8D">
              <w:rPr>
                <w:rFonts w:cs="Arial"/>
                <w:color w:val="000000"/>
                <w:szCs w:val="20"/>
                <w:lang w:eastAsia="en-AU"/>
              </w:rPr>
              <w:t>Feb-16</w:t>
            </w:r>
          </w:p>
        </w:tc>
        <w:tc>
          <w:tcPr>
            <w:tcW w:w="353" w:type="pct"/>
            <w:tcBorders>
              <w:top w:val="nil"/>
              <w:left w:val="nil"/>
              <w:bottom w:val="single" w:sz="4" w:space="0" w:color="auto"/>
              <w:right w:val="single" w:sz="4" w:space="0" w:color="auto"/>
            </w:tcBorders>
            <w:shd w:val="clear" w:color="000000" w:fill="D9D9D9"/>
            <w:vAlign w:val="center"/>
            <w:hideMark/>
          </w:tcPr>
          <w:p w:rsidR="00E809F1" w:rsidRPr="00E23B8D" w:rsidRDefault="00E809F1">
            <w:pPr>
              <w:spacing w:before="60" w:after="60"/>
              <w:jc w:val="center"/>
              <w:rPr>
                <w:rFonts w:cs="Arial"/>
                <w:color w:val="000000"/>
                <w:szCs w:val="20"/>
                <w:lang w:eastAsia="en-AU"/>
              </w:rPr>
            </w:pPr>
            <w:r w:rsidRPr="00E23B8D">
              <w:rPr>
                <w:rFonts w:cs="Arial"/>
                <w:color w:val="000000"/>
                <w:szCs w:val="20"/>
                <w:lang w:eastAsia="en-AU"/>
              </w:rPr>
              <w:t>Dec-15</w:t>
            </w:r>
          </w:p>
        </w:tc>
        <w:tc>
          <w:tcPr>
            <w:tcW w:w="352" w:type="pct"/>
            <w:tcBorders>
              <w:top w:val="nil"/>
              <w:left w:val="nil"/>
              <w:bottom w:val="single" w:sz="4" w:space="0" w:color="auto"/>
              <w:right w:val="nil"/>
            </w:tcBorders>
            <w:shd w:val="clear" w:color="000000" w:fill="D9D9D9"/>
            <w:vAlign w:val="center"/>
            <w:hideMark/>
          </w:tcPr>
          <w:p w:rsidR="00E809F1" w:rsidRPr="00E23B8D" w:rsidRDefault="00E809F1">
            <w:pPr>
              <w:spacing w:before="60" w:after="60"/>
              <w:jc w:val="center"/>
              <w:rPr>
                <w:rFonts w:cs="Arial"/>
                <w:color w:val="000000"/>
                <w:szCs w:val="20"/>
                <w:lang w:eastAsia="en-AU"/>
              </w:rPr>
            </w:pPr>
            <w:r w:rsidRPr="00E23B8D">
              <w:rPr>
                <w:rFonts w:cs="Arial"/>
                <w:color w:val="000000"/>
                <w:szCs w:val="20"/>
                <w:lang w:eastAsia="en-AU"/>
              </w:rPr>
              <w:t>Feb-16</w:t>
            </w:r>
          </w:p>
        </w:tc>
      </w:tr>
      <w:tr w:rsidR="00E809F1" w:rsidRPr="00E23B8D" w:rsidTr="00CB0896">
        <w:trPr>
          <w:trHeight w:val="300"/>
        </w:trPr>
        <w:tc>
          <w:tcPr>
            <w:tcW w:w="659" w:type="pct"/>
            <w:tcBorders>
              <w:top w:val="nil"/>
              <w:left w:val="nil"/>
              <w:bottom w:val="single" w:sz="4" w:space="0" w:color="auto"/>
              <w:right w:val="single" w:sz="4" w:space="0" w:color="auto"/>
            </w:tcBorders>
            <w:shd w:val="clear" w:color="auto" w:fill="auto"/>
            <w:vAlign w:val="bottom"/>
            <w:hideMark/>
          </w:tcPr>
          <w:p w:rsidR="00E809F1" w:rsidRPr="00E23B8D" w:rsidRDefault="00E809F1" w:rsidP="00433ED5">
            <w:pPr>
              <w:spacing w:before="60" w:after="60"/>
              <w:jc w:val="left"/>
              <w:rPr>
                <w:rFonts w:cs="Arial"/>
                <w:color w:val="000000"/>
                <w:szCs w:val="20"/>
                <w:lang w:eastAsia="en-AU"/>
              </w:rPr>
            </w:pPr>
            <w:r w:rsidRPr="00E23B8D">
              <w:rPr>
                <w:rFonts w:cs="Arial"/>
                <w:color w:val="000000"/>
                <w:szCs w:val="20"/>
                <w:lang w:eastAsia="en-AU"/>
              </w:rPr>
              <w:t>Survey time</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433ED5">
            <w:pPr>
              <w:spacing w:before="60" w:after="60"/>
              <w:jc w:val="center"/>
              <w:rPr>
                <w:rFonts w:cs="Arial"/>
                <w:color w:val="000000"/>
                <w:szCs w:val="20"/>
                <w:lang w:eastAsia="en-AU"/>
              </w:rPr>
            </w:pPr>
            <w:r w:rsidRPr="00E23B8D">
              <w:rPr>
                <w:rFonts w:cs="Arial"/>
                <w:color w:val="000000"/>
                <w:szCs w:val="20"/>
                <w:lang w:eastAsia="en-AU"/>
              </w:rPr>
              <w:t>10:40</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433ED5">
            <w:pPr>
              <w:spacing w:before="60" w:after="60"/>
              <w:jc w:val="center"/>
              <w:rPr>
                <w:rFonts w:cs="Arial"/>
                <w:color w:val="000000"/>
                <w:szCs w:val="20"/>
                <w:lang w:eastAsia="en-AU"/>
              </w:rPr>
            </w:pPr>
            <w:r w:rsidRPr="00E23B8D">
              <w:rPr>
                <w:rFonts w:cs="Arial"/>
                <w:color w:val="000000"/>
                <w:szCs w:val="20"/>
                <w:lang w:eastAsia="en-AU"/>
              </w:rPr>
              <w:t>21:14</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433ED5">
            <w:pPr>
              <w:spacing w:before="60" w:after="60"/>
              <w:jc w:val="center"/>
              <w:rPr>
                <w:rFonts w:cs="Arial"/>
                <w:color w:val="000000"/>
                <w:szCs w:val="20"/>
                <w:lang w:eastAsia="en-AU"/>
              </w:rPr>
            </w:pPr>
            <w:r w:rsidRPr="00E23B8D">
              <w:rPr>
                <w:rFonts w:cs="Arial"/>
                <w:color w:val="000000"/>
                <w:szCs w:val="20"/>
                <w:lang w:eastAsia="en-AU"/>
              </w:rPr>
              <w:t>21:20</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433ED5">
            <w:pPr>
              <w:spacing w:before="60" w:after="60"/>
              <w:jc w:val="center"/>
              <w:rPr>
                <w:rFonts w:cs="Arial"/>
                <w:color w:val="000000"/>
                <w:szCs w:val="20"/>
                <w:lang w:eastAsia="en-AU"/>
              </w:rPr>
            </w:pPr>
            <w:r w:rsidRPr="00E23B8D">
              <w:rPr>
                <w:rFonts w:cs="Arial"/>
                <w:color w:val="000000"/>
                <w:szCs w:val="20"/>
                <w:lang w:eastAsia="en-AU"/>
              </w:rPr>
              <w:t>22:45</w:t>
            </w:r>
          </w:p>
        </w:tc>
        <w:tc>
          <w:tcPr>
            <w:tcW w:w="406"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2159C6">
            <w:pPr>
              <w:spacing w:before="60" w:after="60"/>
              <w:jc w:val="center"/>
              <w:rPr>
                <w:rFonts w:cs="Arial"/>
                <w:color w:val="000000"/>
                <w:szCs w:val="20"/>
                <w:lang w:eastAsia="en-AU"/>
              </w:rPr>
            </w:pPr>
            <w:r w:rsidRPr="00E23B8D">
              <w:rPr>
                <w:rFonts w:cs="Arial"/>
                <w:color w:val="000000"/>
                <w:szCs w:val="20"/>
                <w:lang w:eastAsia="en-AU"/>
              </w:rPr>
              <w:t>20:11</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2159C6">
            <w:pPr>
              <w:spacing w:before="60" w:after="60"/>
              <w:jc w:val="center"/>
              <w:rPr>
                <w:rFonts w:cs="Arial"/>
                <w:color w:val="000000"/>
                <w:szCs w:val="20"/>
                <w:lang w:eastAsia="en-AU"/>
              </w:rPr>
            </w:pPr>
            <w:r w:rsidRPr="00E23B8D">
              <w:rPr>
                <w:rFonts w:cs="Arial"/>
                <w:color w:val="000000"/>
                <w:szCs w:val="20"/>
                <w:lang w:eastAsia="en-AU"/>
              </w:rPr>
              <w:t>20:00</w:t>
            </w:r>
          </w:p>
        </w:tc>
        <w:tc>
          <w:tcPr>
            <w:tcW w:w="406"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704E86">
            <w:pPr>
              <w:spacing w:before="60" w:after="60"/>
              <w:jc w:val="center"/>
              <w:rPr>
                <w:rFonts w:cs="Arial"/>
                <w:color w:val="000000"/>
                <w:szCs w:val="20"/>
                <w:lang w:eastAsia="en-AU"/>
              </w:rPr>
            </w:pPr>
            <w:r w:rsidRPr="00E23B8D">
              <w:rPr>
                <w:rFonts w:cs="Arial"/>
                <w:color w:val="000000"/>
                <w:szCs w:val="20"/>
                <w:lang w:eastAsia="en-AU"/>
              </w:rPr>
              <w:t>16:45</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A5046E">
            <w:pPr>
              <w:spacing w:before="60" w:after="60"/>
              <w:jc w:val="center"/>
              <w:rPr>
                <w:rFonts w:cs="Arial"/>
                <w:color w:val="000000"/>
                <w:szCs w:val="20"/>
                <w:lang w:eastAsia="en-AU"/>
              </w:rPr>
            </w:pPr>
            <w:r w:rsidRPr="00E23B8D">
              <w:rPr>
                <w:rFonts w:cs="Arial"/>
                <w:color w:val="000000"/>
                <w:szCs w:val="20"/>
                <w:lang w:eastAsia="en-AU"/>
              </w:rPr>
              <w:t>8:06</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A5046E">
            <w:pPr>
              <w:spacing w:before="60" w:after="60"/>
              <w:jc w:val="center"/>
              <w:rPr>
                <w:rFonts w:cs="Arial"/>
                <w:color w:val="000000"/>
                <w:szCs w:val="20"/>
                <w:lang w:eastAsia="en-AU"/>
              </w:rPr>
            </w:pPr>
            <w:r w:rsidRPr="00E23B8D">
              <w:rPr>
                <w:rFonts w:cs="Arial"/>
                <w:color w:val="000000"/>
                <w:szCs w:val="20"/>
                <w:lang w:eastAsia="en-AU"/>
              </w:rPr>
              <w:t>9:20</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E060B9">
            <w:pPr>
              <w:spacing w:before="60" w:after="60"/>
              <w:jc w:val="center"/>
              <w:rPr>
                <w:rFonts w:cs="Arial"/>
                <w:color w:val="000000"/>
                <w:szCs w:val="20"/>
                <w:lang w:eastAsia="en-AU"/>
              </w:rPr>
            </w:pPr>
            <w:r w:rsidRPr="00E23B8D">
              <w:rPr>
                <w:rFonts w:cs="Arial"/>
                <w:color w:val="000000"/>
                <w:szCs w:val="20"/>
                <w:lang w:eastAsia="en-AU"/>
              </w:rPr>
              <w:t>9:22</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9C1427">
            <w:pPr>
              <w:spacing w:before="60" w:after="60"/>
              <w:jc w:val="center"/>
              <w:rPr>
                <w:rFonts w:cs="Arial"/>
                <w:color w:val="000000"/>
                <w:szCs w:val="20"/>
                <w:lang w:eastAsia="en-AU"/>
              </w:rPr>
            </w:pPr>
            <w:r w:rsidRPr="00E23B8D">
              <w:rPr>
                <w:rFonts w:cs="Arial"/>
                <w:color w:val="000000"/>
                <w:szCs w:val="20"/>
                <w:lang w:eastAsia="en-AU"/>
              </w:rPr>
              <w:t>9:10</w:t>
            </w:r>
          </w:p>
        </w:tc>
        <w:tc>
          <w:tcPr>
            <w:tcW w:w="352" w:type="pct"/>
            <w:tcBorders>
              <w:top w:val="nil"/>
              <w:left w:val="nil"/>
              <w:bottom w:val="single" w:sz="4" w:space="0" w:color="auto"/>
              <w:right w:val="nil"/>
            </w:tcBorders>
            <w:shd w:val="clear" w:color="auto" w:fill="auto"/>
            <w:vAlign w:val="center"/>
            <w:hideMark/>
          </w:tcPr>
          <w:p w:rsidR="00E809F1" w:rsidRPr="00E23B8D" w:rsidRDefault="00E809F1" w:rsidP="009C1427">
            <w:pPr>
              <w:spacing w:before="60" w:after="60"/>
              <w:jc w:val="center"/>
              <w:rPr>
                <w:rFonts w:cs="Arial"/>
                <w:color w:val="000000"/>
                <w:szCs w:val="20"/>
                <w:lang w:eastAsia="en-AU"/>
              </w:rPr>
            </w:pPr>
            <w:r w:rsidRPr="00E23B8D">
              <w:rPr>
                <w:rFonts w:cs="Arial"/>
                <w:color w:val="000000"/>
                <w:szCs w:val="20"/>
                <w:lang w:eastAsia="en-AU"/>
              </w:rPr>
              <w:t>n/a</w:t>
            </w:r>
          </w:p>
        </w:tc>
      </w:tr>
      <w:tr w:rsidR="00E809F1" w:rsidRPr="00E23B8D" w:rsidTr="00CB0896">
        <w:trPr>
          <w:trHeight w:val="300"/>
        </w:trPr>
        <w:tc>
          <w:tcPr>
            <w:tcW w:w="659" w:type="pct"/>
            <w:tcBorders>
              <w:top w:val="nil"/>
              <w:left w:val="nil"/>
              <w:bottom w:val="single" w:sz="4" w:space="0" w:color="auto"/>
              <w:right w:val="single" w:sz="4" w:space="0" w:color="auto"/>
            </w:tcBorders>
            <w:shd w:val="clear" w:color="auto" w:fill="auto"/>
            <w:vAlign w:val="bottom"/>
            <w:hideMark/>
          </w:tcPr>
          <w:p w:rsidR="00E809F1" w:rsidRPr="00E23B8D" w:rsidRDefault="00E809F1" w:rsidP="00433ED5">
            <w:pPr>
              <w:spacing w:before="60" w:after="60"/>
              <w:jc w:val="left"/>
              <w:rPr>
                <w:rFonts w:cs="Arial"/>
                <w:color w:val="000000"/>
                <w:szCs w:val="20"/>
                <w:lang w:eastAsia="en-AU"/>
              </w:rPr>
            </w:pPr>
            <w:r w:rsidRPr="00E23B8D">
              <w:rPr>
                <w:rFonts w:cs="Arial"/>
                <w:color w:val="000000"/>
                <w:szCs w:val="20"/>
                <w:lang w:eastAsia="en-AU"/>
              </w:rPr>
              <w:t>Temperature (°C)</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433ED5">
            <w:pPr>
              <w:spacing w:before="60" w:after="60"/>
              <w:jc w:val="center"/>
              <w:rPr>
                <w:rFonts w:cs="Arial"/>
                <w:color w:val="000000"/>
                <w:szCs w:val="20"/>
                <w:lang w:eastAsia="en-AU"/>
              </w:rPr>
            </w:pPr>
            <w:r w:rsidRPr="00E23B8D">
              <w:rPr>
                <w:rFonts w:cs="Arial"/>
                <w:color w:val="000000"/>
                <w:szCs w:val="20"/>
                <w:lang w:eastAsia="en-AU"/>
              </w:rPr>
              <w:t>25.9</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433ED5">
            <w:pPr>
              <w:spacing w:before="60" w:after="60"/>
              <w:jc w:val="center"/>
              <w:rPr>
                <w:rFonts w:cs="Arial"/>
                <w:color w:val="000000"/>
                <w:szCs w:val="20"/>
                <w:lang w:eastAsia="en-AU"/>
              </w:rPr>
            </w:pPr>
            <w:r w:rsidRPr="00E23B8D">
              <w:rPr>
                <w:rFonts w:cs="Arial"/>
                <w:color w:val="000000"/>
                <w:szCs w:val="20"/>
                <w:lang w:eastAsia="en-AU"/>
              </w:rPr>
              <w:t>27.4</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433ED5">
            <w:pPr>
              <w:spacing w:before="60" w:after="60"/>
              <w:jc w:val="center"/>
              <w:rPr>
                <w:rFonts w:cs="Arial"/>
                <w:color w:val="000000"/>
                <w:szCs w:val="20"/>
                <w:lang w:eastAsia="en-AU"/>
              </w:rPr>
            </w:pPr>
            <w:r w:rsidRPr="00E23B8D">
              <w:rPr>
                <w:rFonts w:cs="Arial"/>
                <w:color w:val="000000"/>
                <w:szCs w:val="20"/>
                <w:lang w:eastAsia="en-AU"/>
              </w:rPr>
              <w:t>27.8</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433ED5">
            <w:pPr>
              <w:spacing w:before="60" w:after="60"/>
              <w:jc w:val="center"/>
              <w:rPr>
                <w:rFonts w:cs="Arial"/>
                <w:color w:val="000000"/>
                <w:szCs w:val="20"/>
                <w:lang w:eastAsia="en-AU"/>
              </w:rPr>
            </w:pPr>
            <w:r w:rsidRPr="00E23B8D">
              <w:rPr>
                <w:rFonts w:cs="Arial"/>
                <w:color w:val="000000"/>
                <w:szCs w:val="20"/>
                <w:lang w:eastAsia="en-AU"/>
              </w:rPr>
              <w:t>28.7</w:t>
            </w:r>
          </w:p>
        </w:tc>
        <w:tc>
          <w:tcPr>
            <w:tcW w:w="406"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2159C6">
            <w:pPr>
              <w:spacing w:before="60" w:after="60"/>
              <w:jc w:val="center"/>
              <w:rPr>
                <w:rFonts w:cs="Arial"/>
                <w:color w:val="000000"/>
                <w:szCs w:val="20"/>
                <w:lang w:eastAsia="en-AU"/>
              </w:rPr>
            </w:pPr>
            <w:r w:rsidRPr="00E23B8D">
              <w:rPr>
                <w:rFonts w:cs="Arial"/>
                <w:color w:val="000000"/>
                <w:szCs w:val="20"/>
                <w:lang w:eastAsia="en-AU"/>
              </w:rPr>
              <w:t>28.4</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2159C6">
            <w:pPr>
              <w:spacing w:before="60" w:after="60"/>
              <w:jc w:val="center"/>
              <w:rPr>
                <w:rFonts w:cs="Arial"/>
                <w:color w:val="000000"/>
                <w:szCs w:val="20"/>
                <w:lang w:eastAsia="en-AU"/>
              </w:rPr>
            </w:pPr>
            <w:r w:rsidRPr="00E23B8D">
              <w:rPr>
                <w:rFonts w:cs="Arial"/>
                <w:color w:val="000000"/>
                <w:szCs w:val="20"/>
                <w:lang w:eastAsia="en-AU"/>
              </w:rPr>
              <w:t>31.3</w:t>
            </w:r>
          </w:p>
        </w:tc>
        <w:tc>
          <w:tcPr>
            <w:tcW w:w="406"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704E86">
            <w:pPr>
              <w:spacing w:before="60" w:after="60"/>
              <w:jc w:val="center"/>
              <w:rPr>
                <w:rFonts w:cs="Arial"/>
                <w:color w:val="000000"/>
                <w:szCs w:val="20"/>
                <w:lang w:eastAsia="en-AU"/>
              </w:rPr>
            </w:pPr>
            <w:r w:rsidRPr="00E23B8D">
              <w:rPr>
                <w:rFonts w:cs="Arial"/>
                <w:color w:val="000000"/>
                <w:szCs w:val="20"/>
                <w:lang w:eastAsia="en-AU"/>
              </w:rPr>
              <w:t>32.1</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A5046E">
            <w:pPr>
              <w:spacing w:before="60" w:after="60"/>
              <w:jc w:val="center"/>
              <w:rPr>
                <w:rFonts w:cs="Arial"/>
                <w:color w:val="000000"/>
                <w:szCs w:val="20"/>
                <w:lang w:eastAsia="en-AU"/>
              </w:rPr>
            </w:pPr>
            <w:r w:rsidRPr="00E23B8D">
              <w:rPr>
                <w:rFonts w:cs="Arial"/>
                <w:color w:val="000000"/>
                <w:szCs w:val="20"/>
                <w:lang w:eastAsia="en-AU"/>
              </w:rPr>
              <w:t>23.8</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A5046E">
            <w:pPr>
              <w:spacing w:before="60" w:after="60"/>
              <w:jc w:val="center"/>
              <w:rPr>
                <w:rFonts w:cs="Arial"/>
                <w:color w:val="000000"/>
                <w:szCs w:val="20"/>
                <w:lang w:eastAsia="en-AU"/>
              </w:rPr>
            </w:pPr>
            <w:r w:rsidRPr="00E23B8D">
              <w:rPr>
                <w:rFonts w:cs="Arial"/>
                <w:color w:val="000000"/>
                <w:szCs w:val="20"/>
                <w:lang w:eastAsia="en-AU"/>
              </w:rPr>
              <w:t>26.7</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E060B9">
            <w:pPr>
              <w:spacing w:before="60" w:after="60"/>
              <w:jc w:val="center"/>
              <w:rPr>
                <w:rFonts w:cs="Arial"/>
                <w:color w:val="000000"/>
                <w:szCs w:val="20"/>
                <w:lang w:eastAsia="en-AU"/>
              </w:rPr>
            </w:pPr>
            <w:r w:rsidRPr="00E23B8D">
              <w:rPr>
                <w:rFonts w:cs="Arial"/>
                <w:color w:val="000000"/>
                <w:szCs w:val="20"/>
                <w:lang w:eastAsia="en-AU"/>
              </w:rPr>
              <w:t>27.4</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9C1427">
            <w:pPr>
              <w:spacing w:before="60" w:after="60"/>
              <w:jc w:val="center"/>
              <w:rPr>
                <w:rFonts w:cs="Arial"/>
                <w:color w:val="000000"/>
                <w:szCs w:val="20"/>
                <w:lang w:eastAsia="en-AU"/>
              </w:rPr>
            </w:pPr>
            <w:r w:rsidRPr="00E23B8D">
              <w:rPr>
                <w:rFonts w:cs="Arial"/>
                <w:color w:val="000000"/>
                <w:szCs w:val="20"/>
                <w:lang w:eastAsia="en-AU"/>
              </w:rPr>
              <w:t>25.2</w:t>
            </w:r>
          </w:p>
        </w:tc>
        <w:tc>
          <w:tcPr>
            <w:tcW w:w="352" w:type="pct"/>
            <w:tcBorders>
              <w:top w:val="nil"/>
              <w:left w:val="nil"/>
              <w:bottom w:val="single" w:sz="4" w:space="0" w:color="auto"/>
              <w:right w:val="nil"/>
            </w:tcBorders>
            <w:shd w:val="clear" w:color="auto" w:fill="auto"/>
            <w:vAlign w:val="center"/>
            <w:hideMark/>
          </w:tcPr>
          <w:p w:rsidR="00E809F1" w:rsidRPr="00E23B8D" w:rsidRDefault="00E809F1" w:rsidP="009C1427">
            <w:pPr>
              <w:spacing w:before="60" w:after="60"/>
              <w:jc w:val="center"/>
              <w:rPr>
                <w:rFonts w:cs="Arial"/>
                <w:color w:val="000000"/>
                <w:szCs w:val="20"/>
                <w:lang w:eastAsia="en-AU"/>
              </w:rPr>
            </w:pPr>
            <w:r w:rsidRPr="00E23B8D">
              <w:rPr>
                <w:rFonts w:cs="Arial"/>
                <w:color w:val="000000"/>
                <w:szCs w:val="20"/>
                <w:lang w:eastAsia="en-AU"/>
              </w:rPr>
              <w:t>26.4</w:t>
            </w:r>
          </w:p>
        </w:tc>
      </w:tr>
      <w:tr w:rsidR="00E809F1" w:rsidRPr="00E23B8D" w:rsidTr="00CB0896">
        <w:trPr>
          <w:trHeight w:val="300"/>
        </w:trPr>
        <w:tc>
          <w:tcPr>
            <w:tcW w:w="659" w:type="pct"/>
            <w:tcBorders>
              <w:top w:val="nil"/>
              <w:left w:val="nil"/>
              <w:bottom w:val="single" w:sz="4" w:space="0" w:color="auto"/>
              <w:right w:val="single" w:sz="4" w:space="0" w:color="auto"/>
            </w:tcBorders>
            <w:shd w:val="clear" w:color="auto" w:fill="auto"/>
            <w:vAlign w:val="bottom"/>
            <w:hideMark/>
          </w:tcPr>
          <w:p w:rsidR="00E809F1" w:rsidRPr="00E23B8D" w:rsidRDefault="00E809F1" w:rsidP="00433ED5">
            <w:pPr>
              <w:spacing w:before="60" w:after="60"/>
              <w:jc w:val="left"/>
              <w:rPr>
                <w:rFonts w:cs="Arial"/>
                <w:color w:val="000000"/>
                <w:szCs w:val="20"/>
                <w:lang w:eastAsia="en-AU"/>
              </w:rPr>
            </w:pPr>
            <w:r w:rsidRPr="00E23B8D">
              <w:rPr>
                <w:rFonts w:cs="Arial"/>
                <w:color w:val="000000"/>
                <w:szCs w:val="20"/>
                <w:lang w:eastAsia="en-AU"/>
              </w:rPr>
              <w:t>Electrical conductivity (mS/cm)</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433ED5">
            <w:pPr>
              <w:spacing w:before="60" w:after="60"/>
              <w:jc w:val="center"/>
              <w:rPr>
                <w:rFonts w:cs="Arial"/>
                <w:color w:val="000000"/>
                <w:szCs w:val="20"/>
                <w:lang w:eastAsia="en-AU"/>
              </w:rPr>
            </w:pPr>
            <w:r w:rsidRPr="00E23B8D">
              <w:rPr>
                <w:rFonts w:cs="Arial"/>
                <w:color w:val="000000"/>
                <w:szCs w:val="20"/>
                <w:lang w:eastAsia="en-AU"/>
              </w:rPr>
              <w:t>0.77</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433ED5">
            <w:pPr>
              <w:spacing w:before="60" w:after="60"/>
              <w:jc w:val="center"/>
              <w:rPr>
                <w:rFonts w:cs="Arial"/>
                <w:color w:val="000000"/>
                <w:szCs w:val="20"/>
                <w:lang w:eastAsia="en-AU"/>
              </w:rPr>
            </w:pPr>
            <w:r w:rsidRPr="00E23B8D">
              <w:rPr>
                <w:rFonts w:cs="Arial"/>
                <w:color w:val="000000"/>
                <w:szCs w:val="20"/>
                <w:lang w:eastAsia="en-AU"/>
              </w:rPr>
              <w:t>0.41</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433ED5">
            <w:pPr>
              <w:spacing w:before="60" w:after="60"/>
              <w:jc w:val="center"/>
              <w:rPr>
                <w:rFonts w:cs="Arial"/>
                <w:color w:val="000000"/>
                <w:szCs w:val="20"/>
                <w:lang w:eastAsia="en-AU"/>
              </w:rPr>
            </w:pPr>
            <w:r w:rsidRPr="00E23B8D">
              <w:rPr>
                <w:rFonts w:cs="Arial"/>
                <w:color w:val="000000"/>
                <w:szCs w:val="20"/>
                <w:lang w:eastAsia="en-AU"/>
              </w:rPr>
              <w:t>0.81</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433ED5">
            <w:pPr>
              <w:spacing w:before="60" w:after="60"/>
              <w:jc w:val="center"/>
              <w:rPr>
                <w:rFonts w:cs="Arial"/>
                <w:color w:val="000000"/>
                <w:szCs w:val="20"/>
                <w:lang w:eastAsia="en-AU"/>
              </w:rPr>
            </w:pPr>
            <w:r w:rsidRPr="00E23B8D">
              <w:rPr>
                <w:rFonts w:cs="Arial"/>
                <w:color w:val="000000"/>
                <w:szCs w:val="20"/>
                <w:lang w:eastAsia="en-AU"/>
              </w:rPr>
              <w:t>0.36</w:t>
            </w:r>
          </w:p>
        </w:tc>
        <w:tc>
          <w:tcPr>
            <w:tcW w:w="406"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2159C6">
            <w:pPr>
              <w:spacing w:before="60" w:after="60"/>
              <w:jc w:val="center"/>
              <w:rPr>
                <w:rFonts w:cs="Arial"/>
                <w:color w:val="000000"/>
                <w:szCs w:val="20"/>
                <w:lang w:eastAsia="en-AU"/>
              </w:rPr>
            </w:pPr>
            <w:r w:rsidRPr="00E23B8D">
              <w:rPr>
                <w:rFonts w:cs="Arial"/>
                <w:color w:val="000000"/>
                <w:szCs w:val="20"/>
                <w:lang w:eastAsia="en-AU"/>
              </w:rPr>
              <w:t>0.52</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2159C6">
            <w:pPr>
              <w:spacing w:before="60" w:after="60"/>
              <w:jc w:val="center"/>
              <w:rPr>
                <w:rFonts w:cs="Arial"/>
                <w:color w:val="000000"/>
                <w:szCs w:val="20"/>
                <w:lang w:eastAsia="en-AU"/>
              </w:rPr>
            </w:pPr>
            <w:r w:rsidRPr="00E23B8D">
              <w:rPr>
                <w:rFonts w:cs="Arial"/>
                <w:color w:val="000000"/>
                <w:szCs w:val="20"/>
                <w:lang w:eastAsia="en-AU"/>
              </w:rPr>
              <w:t>0.32</w:t>
            </w:r>
          </w:p>
        </w:tc>
        <w:tc>
          <w:tcPr>
            <w:tcW w:w="406"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704E86">
            <w:pPr>
              <w:spacing w:before="60" w:after="60"/>
              <w:jc w:val="center"/>
              <w:rPr>
                <w:rFonts w:cs="Arial"/>
                <w:color w:val="000000"/>
                <w:szCs w:val="20"/>
                <w:lang w:eastAsia="en-AU"/>
              </w:rPr>
            </w:pPr>
            <w:r w:rsidRPr="00E23B8D">
              <w:rPr>
                <w:rFonts w:cs="Arial"/>
                <w:color w:val="000000"/>
                <w:szCs w:val="20"/>
                <w:lang w:eastAsia="en-AU"/>
              </w:rPr>
              <w:t>0.60</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A5046E">
            <w:pPr>
              <w:spacing w:before="60" w:after="60"/>
              <w:jc w:val="center"/>
              <w:rPr>
                <w:rFonts w:cs="Arial"/>
                <w:color w:val="000000"/>
                <w:szCs w:val="20"/>
                <w:lang w:eastAsia="en-AU"/>
              </w:rPr>
            </w:pPr>
            <w:r w:rsidRPr="00E23B8D">
              <w:rPr>
                <w:rFonts w:cs="Arial"/>
                <w:color w:val="000000"/>
                <w:szCs w:val="20"/>
                <w:lang w:eastAsia="en-AU"/>
              </w:rPr>
              <w:t>0.41</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A5046E">
            <w:pPr>
              <w:spacing w:before="60" w:after="60"/>
              <w:jc w:val="center"/>
              <w:rPr>
                <w:rFonts w:cs="Arial"/>
                <w:color w:val="000000"/>
                <w:szCs w:val="20"/>
                <w:lang w:eastAsia="en-AU"/>
              </w:rPr>
            </w:pPr>
            <w:r w:rsidRPr="00E23B8D">
              <w:rPr>
                <w:rFonts w:cs="Arial"/>
                <w:color w:val="000000"/>
                <w:szCs w:val="20"/>
                <w:lang w:eastAsia="en-AU"/>
              </w:rPr>
              <w:t>0.82</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E060B9">
            <w:pPr>
              <w:spacing w:before="60" w:after="60"/>
              <w:jc w:val="center"/>
              <w:rPr>
                <w:rFonts w:cs="Arial"/>
                <w:color w:val="000000"/>
                <w:szCs w:val="20"/>
                <w:lang w:eastAsia="en-AU"/>
              </w:rPr>
            </w:pPr>
            <w:r w:rsidRPr="00E23B8D">
              <w:rPr>
                <w:rFonts w:cs="Arial"/>
                <w:color w:val="000000"/>
                <w:szCs w:val="20"/>
                <w:lang w:eastAsia="en-AU"/>
              </w:rPr>
              <w:t>0.69</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9C1427">
            <w:pPr>
              <w:spacing w:before="60" w:after="60"/>
              <w:jc w:val="center"/>
              <w:rPr>
                <w:rFonts w:cs="Arial"/>
                <w:color w:val="000000"/>
                <w:szCs w:val="20"/>
                <w:lang w:eastAsia="en-AU"/>
              </w:rPr>
            </w:pPr>
            <w:r w:rsidRPr="00E23B8D">
              <w:rPr>
                <w:rFonts w:cs="Arial"/>
                <w:color w:val="000000"/>
                <w:szCs w:val="20"/>
                <w:lang w:eastAsia="en-AU"/>
              </w:rPr>
              <w:t>0.55</w:t>
            </w:r>
          </w:p>
        </w:tc>
        <w:tc>
          <w:tcPr>
            <w:tcW w:w="352" w:type="pct"/>
            <w:tcBorders>
              <w:top w:val="nil"/>
              <w:left w:val="nil"/>
              <w:bottom w:val="single" w:sz="4" w:space="0" w:color="auto"/>
              <w:right w:val="nil"/>
            </w:tcBorders>
            <w:shd w:val="clear" w:color="auto" w:fill="auto"/>
            <w:vAlign w:val="center"/>
            <w:hideMark/>
          </w:tcPr>
          <w:p w:rsidR="00E809F1" w:rsidRPr="00E23B8D" w:rsidRDefault="00E809F1" w:rsidP="009C1427">
            <w:pPr>
              <w:spacing w:before="60" w:after="60"/>
              <w:jc w:val="center"/>
              <w:rPr>
                <w:rFonts w:cs="Arial"/>
                <w:color w:val="000000"/>
                <w:szCs w:val="20"/>
                <w:lang w:eastAsia="en-AU"/>
              </w:rPr>
            </w:pPr>
            <w:r w:rsidRPr="00E23B8D">
              <w:rPr>
                <w:rFonts w:cs="Arial"/>
                <w:color w:val="000000"/>
                <w:szCs w:val="20"/>
                <w:lang w:eastAsia="en-AU"/>
              </w:rPr>
              <w:t>0.36</w:t>
            </w:r>
          </w:p>
        </w:tc>
      </w:tr>
      <w:tr w:rsidR="00E809F1" w:rsidRPr="00E23B8D" w:rsidTr="00CB0896">
        <w:trPr>
          <w:trHeight w:val="300"/>
        </w:trPr>
        <w:tc>
          <w:tcPr>
            <w:tcW w:w="659" w:type="pct"/>
            <w:tcBorders>
              <w:top w:val="nil"/>
              <w:left w:val="nil"/>
              <w:bottom w:val="single" w:sz="4" w:space="0" w:color="auto"/>
              <w:right w:val="single" w:sz="4" w:space="0" w:color="auto"/>
            </w:tcBorders>
            <w:shd w:val="clear" w:color="auto" w:fill="auto"/>
            <w:vAlign w:val="bottom"/>
            <w:hideMark/>
          </w:tcPr>
          <w:p w:rsidR="00E809F1" w:rsidRPr="00E23B8D" w:rsidRDefault="00E809F1" w:rsidP="00433ED5">
            <w:pPr>
              <w:spacing w:before="60" w:after="60"/>
              <w:jc w:val="left"/>
              <w:rPr>
                <w:rFonts w:cs="Arial"/>
                <w:color w:val="000000"/>
                <w:szCs w:val="20"/>
                <w:lang w:eastAsia="en-AU"/>
              </w:rPr>
            </w:pPr>
            <w:r w:rsidRPr="00E23B8D">
              <w:rPr>
                <w:rFonts w:cs="Arial"/>
                <w:color w:val="000000"/>
                <w:szCs w:val="20"/>
                <w:lang w:eastAsia="en-AU"/>
              </w:rPr>
              <w:t>Dissolved oxygen (% saturation)</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433ED5">
            <w:pPr>
              <w:spacing w:before="60" w:after="60"/>
              <w:jc w:val="center"/>
              <w:rPr>
                <w:rFonts w:cs="Arial"/>
                <w:color w:val="000000"/>
                <w:szCs w:val="20"/>
                <w:lang w:eastAsia="en-AU"/>
              </w:rPr>
            </w:pPr>
            <w:r w:rsidRPr="00E23B8D">
              <w:rPr>
                <w:rFonts w:cs="Arial"/>
                <w:color w:val="000000"/>
                <w:szCs w:val="20"/>
                <w:lang w:eastAsia="en-AU"/>
              </w:rPr>
              <w:t>89.0</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433ED5">
            <w:pPr>
              <w:spacing w:before="60" w:after="60"/>
              <w:jc w:val="center"/>
              <w:rPr>
                <w:rFonts w:cs="Arial"/>
                <w:color w:val="000000"/>
                <w:szCs w:val="20"/>
                <w:lang w:eastAsia="en-AU"/>
              </w:rPr>
            </w:pPr>
            <w:r w:rsidRPr="00E23B8D">
              <w:rPr>
                <w:rFonts w:cs="Arial"/>
                <w:color w:val="000000"/>
                <w:szCs w:val="20"/>
                <w:lang w:eastAsia="en-AU"/>
              </w:rPr>
              <w:t>41.0</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433ED5">
            <w:pPr>
              <w:spacing w:before="60" w:after="60"/>
              <w:jc w:val="center"/>
              <w:rPr>
                <w:rFonts w:cs="Arial"/>
                <w:color w:val="000000"/>
                <w:szCs w:val="20"/>
                <w:lang w:eastAsia="en-AU"/>
              </w:rPr>
            </w:pPr>
            <w:r w:rsidRPr="00E23B8D">
              <w:rPr>
                <w:rFonts w:cs="Arial"/>
                <w:color w:val="000000"/>
                <w:szCs w:val="20"/>
                <w:lang w:eastAsia="en-AU"/>
              </w:rPr>
              <w:t>80.2</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433ED5">
            <w:pPr>
              <w:spacing w:before="60" w:after="60"/>
              <w:jc w:val="center"/>
              <w:rPr>
                <w:rFonts w:cs="Arial"/>
                <w:color w:val="000000"/>
                <w:szCs w:val="20"/>
                <w:lang w:eastAsia="en-AU"/>
              </w:rPr>
            </w:pPr>
            <w:r w:rsidRPr="00E23B8D">
              <w:rPr>
                <w:rFonts w:cs="Arial"/>
                <w:color w:val="000000"/>
                <w:szCs w:val="20"/>
                <w:lang w:eastAsia="en-AU"/>
              </w:rPr>
              <w:t>62.3</w:t>
            </w:r>
          </w:p>
        </w:tc>
        <w:tc>
          <w:tcPr>
            <w:tcW w:w="406"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2159C6">
            <w:pPr>
              <w:spacing w:before="60" w:after="60"/>
              <w:jc w:val="center"/>
              <w:rPr>
                <w:rFonts w:cs="Arial"/>
                <w:color w:val="000000"/>
                <w:szCs w:val="20"/>
                <w:lang w:eastAsia="en-AU"/>
              </w:rPr>
            </w:pPr>
            <w:r w:rsidRPr="00E23B8D">
              <w:rPr>
                <w:rFonts w:cs="Arial"/>
                <w:color w:val="000000"/>
                <w:szCs w:val="20"/>
                <w:lang w:eastAsia="en-AU"/>
              </w:rPr>
              <w:t>117.7</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2159C6">
            <w:pPr>
              <w:spacing w:before="60" w:after="60"/>
              <w:jc w:val="center"/>
              <w:rPr>
                <w:rFonts w:cs="Arial"/>
                <w:color w:val="000000"/>
                <w:szCs w:val="20"/>
                <w:lang w:eastAsia="en-AU"/>
              </w:rPr>
            </w:pPr>
            <w:r w:rsidRPr="00E23B8D">
              <w:rPr>
                <w:rFonts w:cs="Arial"/>
                <w:color w:val="000000"/>
                <w:szCs w:val="20"/>
                <w:lang w:eastAsia="en-AU"/>
              </w:rPr>
              <w:t>58.4</w:t>
            </w:r>
          </w:p>
        </w:tc>
        <w:tc>
          <w:tcPr>
            <w:tcW w:w="406"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704E86">
            <w:pPr>
              <w:spacing w:before="60" w:after="60"/>
              <w:jc w:val="center"/>
              <w:rPr>
                <w:rFonts w:cs="Arial"/>
                <w:color w:val="000000"/>
                <w:szCs w:val="20"/>
                <w:lang w:eastAsia="en-AU"/>
              </w:rPr>
            </w:pPr>
            <w:r w:rsidRPr="00E23B8D">
              <w:rPr>
                <w:rFonts w:cs="Arial"/>
                <w:color w:val="000000"/>
                <w:szCs w:val="20"/>
                <w:lang w:eastAsia="en-AU"/>
              </w:rPr>
              <w:t>159.4</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A5046E">
            <w:pPr>
              <w:spacing w:before="60" w:after="60"/>
              <w:jc w:val="center"/>
              <w:rPr>
                <w:rFonts w:cs="Arial"/>
                <w:color w:val="000000"/>
                <w:szCs w:val="20"/>
                <w:lang w:eastAsia="en-AU"/>
              </w:rPr>
            </w:pPr>
            <w:r w:rsidRPr="00E23B8D">
              <w:rPr>
                <w:rFonts w:cs="Arial"/>
                <w:color w:val="000000"/>
                <w:szCs w:val="20"/>
                <w:lang w:eastAsia="en-AU"/>
              </w:rPr>
              <w:t>18.2</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A5046E">
            <w:pPr>
              <w:spacing w:before="60" w:after="60"/>
              <w:jc w:val="center"/>
              <w:rPr>
                <w:rFonts w:cs="Arial"/>
                <w:color w:val="000000"/>
                <w:szCs w:val="20"/>
                <w:lang w:eastAsia="en-AU"/>
              </w:rPr>
            </w:pPr>
            <w:r w:rsidRPr="00E23B8D">
              <w:rPr>
                <w:rFonts w:cs="Arial"/>
                <w:color w:val="000000"/>
                <w:szCs w:val="20"/>
                <w:lang w:eastAsia="en-AU"/>
              </w:rPr>
              <w:t>90.3</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E060B9">
            <w:pPr>
              <w:spacing w:before="60" w:after="60"/>
              <w:jc w:val="center"/>
              <w:rPr>
                <w:rFonts w:cs="Arial"/>
                <w:color w:val="000000"/>
                <w:szCs w:val="20"/>
                <w:lang w:eastAsia="en-AU"/>
              </w:rPr>
            </w:pPr>
            <w:r w:rsidRPr="00E23B8D">
              <w:rPr>
                <w:rFonts w:cs="Arial"/>
                <w:color w:val="000000"/>
                <w:szCs w:val="20"/>
                <w:lang w:eastAsia="en-AU"/>
              </w:rPr>
              <w:t>51.0</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9C1427">
            <w:pPr>
              <w:spacing w:before="60" w:after="60"/>
              <w:jc w:val="center"/>
              <w:rPr>
                <w:rFonts w:cs="Arial"/>
                <w:color w:val="000000"/>
                <w:szCs w:val="20"/>
                <w:lang w:eastAsia="en-AU"/>
              </w:rPr>
            </w:pPr>
            <w:r w:rsidRPr="00E23B8D">
              <w:rPr>
                <w:rFonts w:cs="Arial"/>
                <w:color w:val="000000"/>
                <w:szCs w:val="20"/>
                <w:lang w:eastAsia="en-AU"/>
              </w:rPr>
              <w:t>21.8</w:t>
            </w:r>
          </w:p>
        </w:tc>
        <w:tc>
          <w:tcPr>
            <w:tcW w:w="352" w:type="pct"/>
            <w:tcBorders>
              <w:top w:val="nil"/>
              <w:left w:val="nil"/>
              <w:bottom w:val="single" w:sz="4" w:space="0" w:color="auto"/>
              <w:right w:val="nil"/>
            </w:tcBorders>
            <w:shd w:val="clear" w:color="auto" w:fill="auto"/>
            <w:vAlign w:val="center"/>
            <w:hideMark/>
          </w:tcPr>
          <w:p w:rsidR="00E809F1" w:rsidRPr="00E23B8D" w:rsidRDefault="00E809F1" w:rsidP="009C1427">
            <w:pPr>
              <w:spacing w:before="60" w:after="60"/>
              <w:jc w:val="center"/>
              <w:rPr>
                <w:rFonts w:cs="Arial"/>
                <w:color w:val="000000"/>
                <w:szCs w:val="20"/>
                <w:lang w:eastAsia="en-AU"/>
              </w:rPr>
            </w:pPr>
            <w:r w:rsidRPr="00E23B8D">
              <w:rPr>
                <w:rFonts w:cs="Arial"/>
                <w:color w:val="000000"/>
                <w:szCs w:val="20"/>
                <w:lang w:eastAsia="en-AU"/>
              </w:rPr>
              <w:t>86.2</w:t>
            </w:r>
          </w:p>
        </w:tc>
      </w:tr>
      <w:tr w:rsidR="00E809F1" w:rsidRPr="00E23B8D" w:rsidTr="00CB0896">
        <w:trPr>
          <w:trHeight w:val="300"/>
        </w:trPr>
        <w:tc>
          <w:tcPr>
            <w:tcW w:w="659" w:type="pct"/>
            <w:tcBorders>
              <w:top w:val="nil"/>
              <w:left w:val="nil"/>
              <w:bottom w:val="single" w:sz="4" w:space="0" w:color="auto"/>
              <w:right w:val="single" w:sz="4" w:space="0" w:color="auto"/>
            </w:tcBorders>
            <w:shd w:val="clear" w:color="auto" w:fill="auto"/>
            <w:vAlign w:val="bottom"/>
            <w:hideMark/>
          </w:tcPr>
          <w:p w:rsidR="00E809F1" w:rsidRPr="00E23B8D" w:rsidRDefault="00E809F1" w:rsidP="00433ED5">
            <w:pPr>
              <w:spacing w:before="60" w:after="60"/>
              <w:jc w:val="left"/>
              <w:rPr>
                <w:rFonts w:cs="Arial"/>
                <w:color w:val="000000"/>
                <w:szCs w:val="20"/>
                <w:lang w:eastAsia="en-AU"/>
              </w:rPr>
            </w:pPr>
            <w:r w:rsidRPr="00E23B8D">
              <w:rPr>
                <w:rFonts w:cs="Arial"/>
                <w:color w:val="000000"/>
                <w:szCs w:val="20"/>
                <w:lang w:eastAsia="en-AU"/>
              </w:rPr>
              <w:t>Dissolved oxygen (mg/L)</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433ED5">
            <w:pPr>
              <w:spacing w:before="60" w:after="60"/>
              <w:jc w:val="center"/>
              <w:rPr>
                <w:rFonts w:cs="Arial"/>
                <w:color w:val="000000"/>
                <w:szCs w:val="20"/>
                <w:lang w:eastAsia="en-AU"/>
              </w:rPr>
            </w:pPr>
            <w:r w:rsidRPr="00E23B8D">
              <w:rPr>
                <w:rFonts w:cs="Arial"/>
                <w:color w:val="000000"/>
                <w:szCs w:val="20"/>
                <w:lang w:eastAsia="en-AU"/>
              </w:rPr>
              <w:t>7.14</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433ED5">
            <w:pPr>
              <w:spacing w:before="60" w:after="60"/>
              <w:jc w:val="center"/>
              <w:rPr>
                <w:rFonts w:cs="Arial"/>
                <w:color w:val="000000"/>
                <w:szCs w:val="20"/>
                <w:lang w:eastAsia="en-AU"/>
              </w:rPr>
            </w:pPr>
            <w:r w:rsidRPr="00E23B8D">
              <w:rPr>
                <w:rFonts w:cs="Arial"/>
                <w:color w:val="000000"/>
                <w:szCs w:val="20"/>
                <w:lang w:eastAsia="en-AU"/>
              </w:rPr>
              <w:t>3.20</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433ED5">
            <w:pPr>
              <w:spacing w:before="60" w:after="60"/>
              <w:jc w:val="center"/>
              <w:rPr>
                <w:rFonts w:cs="Arial"/>
                <w:color w:val="000000"/>
                <w:szCs w:val="20"/>
                <w:lang w:eastAsia="en-AU"/>
              </w:rPr>
            </w:pPr>
            <w:r w:rsidRPr="00E23B8D">
              <w:rPr>
                <w:rFonts w:cs="Arial"/>
                <w:color w:val="000000"/>
                <w:szCs w:val="20"/>
                <w:lang w:eastAsia="en-AU"/>
              </w:rPr>
              <w:t>7.02</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433ED5">
            <w:pPr>
              <w:spacing w:before="60" w:after="60"/>
              <w:jc w:val="center"/>
              <w:rPr>
                <w:rFonts w:cs="Arial"/>
                <w:color w:val="000000"/>
                <w:szCs w:val="20"/>
                <w:lang w:eastAsia="en-AU"/>
              </w:rPr>
            </w:pPr>
            <w:r w:rsidRPr="00E23B8D">
              <w:rPr>
                <w:rFonts w:cs="Arial"/>
                <w:color w:val="000000"/>
                <w:szCs w:val="20"/>
                <w:lang w:eastAsia="en-AU"/>
              </w:rPr>
              <w:t>4.89</w:t>
            </w:r>
          </w:p>
        </w:tc>
        <w:tc>
          <w:tcPr>
            <w:tcW w:w="406"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2159C6">
            <w:pPr>
              <w:spacing w:before="60" w:after="60"/>
              <w:jc w:val="center"/>
              <w:rPr>
                <w:rFonts w:cs="Arial"/>
                <w:color w:val="000000"/>
                <w:szCs w:val="20"/>
                <w:lang w:eastAsia="en-AU"/>
              </w:rPr>
            </w:pPr>
            <w:r w:rsidRPr="00E23B8D">
              <w:rPr>
                <w:rFonts w:cs="Arial"/>
                <w:color w:val="000000"/>
                <w:szCs w:val="20"/>
                <w:lang w:eastAsia="en-AU"/>
              </w:rPr>
              <w:t>9.18</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2159C6">
            <w:pPr>
              <w:spacing w:before="60" w:after="60"/>
              <w:jc w:val="center"/>
              <w:rPr>
                <w:rFonts w:cs="Arial"/>
                <w:color w:val="000000"/>
                <w:szCs w:val="20"/>
                <w:lang w:eastAsia="en-AU"/>
              </w:rPr>
            </w:pPr>
            <w:r w:rsidRPr="00E23B8D">
              <w:rPr>
                <w:rFonts w:cs="Arial"/>
                <w:color w:val="000000"/>
                <w:szCs w:val="20"/>
                <w:lang w:eastAsia="en-AU"/>
              </w:rPr>
              <w:t>4.21</w:t>
            </w:r>
          </w:p>
        </w:tc>
        <w:tc>
          <w:tcPr>
            <w:tcW w:w="406"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704E86">
            <w:pPr>
              <w:spacing w:before="60" w:after="60"/>
              <w:jc w:val="center"/>
              <w:rPr>
                <w:rFonts w:cs="Arial"/>
                <w:color w:val="000000"/>
                <w:szCs w:val="20"/>
                <w:lang w:eastAsia="en-AU"/>
              </w:rPr>
            </w:pPr>
            <w:r w:rsidRPr="00E23B8D">
              <w:rPr>
                <w:rFonts w:cs="Arial"/>
                <w:color w:val="000000"/>
                <w:szCs w:val="20"/>
                <w:lang w:eastAsia="en-AU"/>
              </w:rPr>
              <w:t>11.55</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A5046E">
            <w:pPr>
              <w:spacing w:before="60" w:after="60"/>
              <w:jc w:val="center"/>
              <w:rPr>
                <w:rFonts w:cs="Arial"/>
                <w:color w:val="000000"/>
                <w:szCs w:val="20"/>
                <w:lang w:eastAsia="en-AU"/>
              </w:rPr>
            </w:pPr>
            <w:r w:rsidRPr="00E23B8D">
              <w:rPr>
                <w:rFonts w:cs="Arial"/>
                <w:color w:val="000000"/>
                <w:szCs w:val="20"/>
                <w:lang w:eastAsia="en-AU"/>
              </w:rPr>
              <w:t>1.52</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A5046E">
            <w:pPr>
              <w:spacing w:before="60" w:after="60"/>
              <w:jc w:val="center"/>
              <w:rPr>
                <w:rFonts w:cs="Arial"/>
                <w:color w:val="000000"/>
                <w:szCs w:val="20"/>
                <w:lang w:eastAsia="en-AU"/>
              </w:rPr>
            </w:pPr>
            <w:r w:rsidRPr="00E23B8D">
              <w:rPr>
                <w:rFonts w:cs="Arial"/>
                <w:color w:val="000000"/>
                <w:szCs w:val="20"/>
                <w:lang w:eastAsia="en-AU"/>
              </w:rPr>
              <w:t>7.20</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E060B9">
            <w:pPr>
              <w:spacing w:before="60" w:after="60"/>
              <w:jc w:val="center"/>
              <w:rPr>
                <w:rFonts w:cs="Arial"/>
                <w:color w:val="000000"/>
                <w:szCs w:val="20"/>
                <w:lang w:eastAsia="en-AU"/>
              </w:rPr>
            </w:pPr>
            <w:r w:rsidRPr="00E23B8D">
              <w:rPr>
                <w:rFonts w:cs="Arial"/>
                <w:color w:val="000000"/>
                <w:szCs w:val="20"/>
                <w:lang w:eastAsia="en-AU"/>
              </w:rPr>
              <w:t>4.00</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9C1427">
            <w:pPr>
              <w:spacing w:before="60" w:after="60"/>
              <w:jc w:val="center"/>
              <w:rPr>
                <w:rFonts w:cs="Arial"/>
                <w:color w:val="000000"/>
                <w:szCs w:val="20"/>
                <w:lang w:eastAsia="en-AU"/>
              </w:rPr>
            </w:pPr>
            <w:r w:rsidRPr="00E23B8D">
              <w:rPr>
                <w:rFonts w:cs="Arial"/>
                <w:color w:val="000000"/>
                <w:szCs w:val="20"/>
                <w:lang w:eastAsia="en-AU"/>
              </w:rPr>
              <w:t>1.78</w:t>
            </w:r>
          </w:p>
        </w:tc>
        <w:tc>
          <w:tcPr>
            <w:tcW w:w="352" w:type="pct"/>
            <w:tcBorders>
              <w:top w:val="nil"/>
              <w:left w:val="nil"/>
              <w:bottom w:val="single" w:sz="4" w:space="0" w:color="auto"/>
              <w:right w:val="nil"/>
            </w:tcBorders>
            <w:shd w:val="clear" w:color="auto" w:fill="auto"/>
            <w:vAlign w:val="center"/>
            <w:hideMark/>
          </w:tcPr>
          <w:p w:rsidR="00E809F1" w:rsidRPr="00E23B8D" w:rsidRDefault="00E809F1" w:rsidP="009C1427">
            <w:pPr>
              <w:spacing w:before="60" w:after="60"/>
              <w:jc w:val="center"/>
              <w:rPr>
                <w:rFonts w:cs="Arial"/>
                <w:color w:val="000000"/>
                <w:szCs w:val="20"/>
                <w:lang w:eastAsia="en-AU"/>
              </w:rPr>
            </w:pPr>
            <w:r w:rsidRPr="00E23B8D">
              <w:rPr>
                <w:rFonts w:cs="Arial"/>
                <w:color w:val="000000"/>
                <w:szCs w:val="20"/>
                <w:lang w:eastAsia="en-AU"/>
              </w:rPr>
              <w:t>6.39</w:t>
            </w:r>
          </w:p>
        </w:tc>
      </w:tr>
      <w:tr w:rsidR="00E809F1" w:rsidRPr="00E23B8D" w:rsidTr="00CB0896">
        <w:trPr>
          <w:trHeight w:val="300"/>
        </w:trPr>
        <w:tc>
          <w:tcPr>
            <w:tcW w:w="659" w:type="pct"/>
            <w:tcBorders>
              <w:top w:val="nil"/>
              <w:left w:val="nil"/>
              <w:bottom w:val="single" w:sz="4" w:space="0" w:color="auto"/>
              <w:right w:val="single" w:sz="4" w:space="0" w:color="auto"/>
            </w:tcBorders>
            <w:shd w:val="clear" w:color="auto" w:fill="auto"/>
            <w:vAlign w:val="bottom"/>
            <w:hideMark/>
          </w:tcPr>
          <w:p w:rsidR="00E809F1" w:rsidRPr="00E23B8D" w:rsidRDefault="00E809F1" w:rsidP="00433ED5">
            <w:pPr>
              <w:spacing w:before="60" w:after="60"/>
              <w:jc w:val="left"/>
              <w:rPr>
                <w:rFonts w:cs="Arial"/>
                <w:color w:val="000000"/>
                <w:szCs w:val="20"/>
                <w:lang w:eastAsia="en-AU"/>
              </w:rPr>
            </w:pPr>
            <w:r w:rsidRPr="00E23B8D">
              <w:rPr>
                <w:rFonts w:cs="Arial"/>
                <w:color w:val="000000"/>
                <w:szCs w:val="20"/>
                <w:lang w:eastAsia="en-AU"/>
              </w:rPr>
              <w:t>pH</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433ED5">
            <w:pPr>
              <w:spacing w:before="60" w:after="60"/>
              <w:jc w:val="center"/>
              <w:rPr>
                <w:rFonts w:cs="Arial"/>
                <w:color w:val="000000"/>
                <w:szCs w:val="20"/>
                <w:lang w:eastAsia="en-AU"/>
              </w:rPr>
            </w:pPr>
            <w:r w:rsidRPr="00E23B8D">
              <w:rPr>
                <w:rFonts w:cs="Arial"/>
                <w:color w:val="000000"/>
                <w:szCs w:val="20"/>
                <w:lang w:eastAsia="en-AU"/>
              </w:rPr>
              <w:t>n/a</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433ED5">
            <w:pPr>
              <w:spacing w:before="60" w:after="60"/>
              <w:jc w:val="center"/>
              <w:rPr>
                <w:rFonts w:cs="Arial"/>
                <w:color w:val="000000"/>
                <w:szCs w:val="20"/>
                <w:lang w:eastAsia="en-AU"/>
              </w:rPr>
            </w:pPr>
            <w:r w:rsidRPr="00E23B8D">
              <w:rPr>
                <w:rFonts w:cs="Arial"/>
                <w:color w:val="000000"/>
                <w:szCs w:val="20"/>
                <w:lang w:eastAsia="en-AU"/>
              </w:rPr>
              <w:t>7.28</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433ED5">
            <w:pPr>
              <w:spacing w:before="60" w:after="60"/>
              <w:jc w:val="center"/>
              <w:rPr>
                <w:rFonts w:cs="Arial"/>
                <w:color w:val="000000"/>
                <w:szCs w:val="20"/>
                <w:lang w:eastAsia="en-AU"/>
              </w:rPr>
            </w:pPr>
            <w:r w:rsidRPr="00E23B8D">
              <w:rPr>
                <w:rFonts w:cs="Arial"/>
                <w:color w:val="000000"/>
                <w:szCs w:val="20"/>
                <w:lang w:eastAsia="en-AU"/>
              </w:rPr>
              <w:t>n/a</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433ED5">
            <w:pPr>
              <w:spacing w:before="60" w:after="60"/>
              <w:jc w:val="center"/>
              <w:rPr>
                <w:rFonts w:cs="Arial"/>
                <w:color w:val="000000"/>
                <w:szCs w:val="20"/>
                <w:lang w:eastAsia="en-AU"/>
              </w:rPr>
            </w:pPr>
            <w:r w:rsidRPr="00E23B8D">
              <w:rPr>
                <w:rFonts w:cs="Arial"/>
                <w:color w:val="000000"/>
                <w:szCs w:val="20"/>
                <w:lang w:eastAsia="en-AU"/>
              </w:rPr>
              <w:t>7.65</w:t>
            </w:r>
          </w:p>
        </w:tc>
        <w:tc>
          <w:tcPr>
            <w:tcW w:w="406"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2159C6">
            <w:pPr>
              <w:spacing w:before="60" w:after="60"/>
              <w:jc w:val="center"/>
              <w:rPr>
                <w:rFonts w:cs="Arial"/>
                <w:color w:val="000000"/>
                <w:szCs w:val="20"/>
                <w:lang w:eastAsia="en-AU"/>
              </w:rPr>
            </w:pPr>
            <w:r w:rsidRPr="00E23B8D">
              <w:rPr>
                <w:rFonts w:cs="Arial"/>
                <w:color w:val="000000"/>
                <w:szCs w:val="20"/>
                <w:lang w:eastAsia="en-AU"/>
              </w:rPr>
              <w:t>n/a</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2159C6">
            <w:pPr>
              <w:spacing w:before="60" w:after="60"/>
              <w:jc w:val="center"/>
              <w:rPr>
                <w:rFonts w:cs="Arial"/>
                <w:color w:val="000000"/>
                <w:szCs w:val="20"/>
                <w:lang w:eastAsia="en-AU"/>
              </w:rPr>
            </w:pPr>
            <w:r w:rsidRPr="00E23B8D">
              <w:rPr>
                <w:rFonts w:cs="Arial"/>
                <w:color w:val="000000"/>
                <w:szCs w:val="20"/>
                <w:lang w:eastAsia="en-AU"/>
              </w:rPr>
              <w:t>7.43</w:t>
            </w:r>
          </w:p>
        </w:tc>
        <w:tc>
          <w:tcPr>
            <w:tcW w:w="406"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704E86">
            <w:pPr>
              <w:spacing w:before="60" w:after="60"/>
              <w:jc w:val="center"/>
              <w:rPr>
                <w:rFonts w:cs="Arial"/>
                <w:color w:val="000000"/>
                <w:szCs w:val="20"/>
                <w:lang w:eastAsia="en-AU"/>
              </w:rPr>
            </w:pPr>
            <w:r w:rsidRPr="00E23B8D">
              <w:rPr>
                <w:rFonts w:cs="Arial"/>
                <w:color w:val="000000"/>
                <w:szCs w:val="20"/>
                <w:lang w:eastAsia="en-AU"/>
              </w:rPr>
              <w:t>n/a</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A5046E">
            <w:pPr>
              <w:spacing w:before="60" w:after="60"/>
              <w:jc w:val="center"/>
              <w:rPr>
                <w:rFonts w:cs="Arial"/>
                <w:color w:val="000000"/>
                <w:szCs w:val="20"/>
                <w:lang w:eastAsia="en-AU"/>
              </w:rPr>
            </w:pPr>
            <w:r w:rsidRPr="00E23B8D">
              <w:rPr>
                <w:rFonts w:cs="Arial"/>
                <w:color w:val="000000"/>
                <w:szCs w:val="20"/>
                <w:lang w:eastAsia="en-AU"/>
              </w:rPr>
              <w:t>7.67</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A5046E">
            <w:pPr>
              <w:spacing w:before="60" w:after="60"/>
              <w:jc w:val="center"/>
              <w:rPr>
                <w:rFonts w:cs="Arial"/>
                <w:color w:val="000000"/>
                <w:szCs w:val="20"/>
                <w:lang w:eastAsia="en-AU"/>
              </w:rPr>
            </w:pPr>
            <w:r w:rsidRPr="00E23B8D">
              <w:rPr>
                <w:rFonts w:cs="Arial"/>
                <w:color w:val="000000"/>
                <w:szCs w:val="20"/>
                <w:lang w:eastAsia="en-AU"/>
              </w:rPr>
              <w:t>n/a</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E060B9">
            <w:pPr>
              <w:spacing w:before="60" w:after="60"/>
              <w:jc w:val="center"/>
              <w:rPr>
                <w:rFonts w:cs="Arial"/>
                <w:color w:val="000000"/>
                <w:szCs w:val="20"/>
                <w:lang w:eastAsia="en-AU"/>
              </w:rPr>
            </w:pPr>
            <w:r w:rsidRPr="00E23B8D">
              <w:rPr>
                <w:rFonts w:cs="Arial"/>
                <w:color w:val="000000"/>
                <w:szCs w:val="20"/>
                <w:lang w:eastAsia="en-AU"/>
              </w:rPr>
              <w:t>7.88</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9C1427">
            <w:pPr>
              <w:spacing w:before="60" w:after="60"/>
              <w:jc w:val="center"/>
              <w:rPr>
                <w:rFonts w:cs="Arial"/>
                <w:color w:val="000000"/>
                <w:szCs w:val="20"/>
                <w:lang w:eastAsia="en-AU"/>
              </w:rPr>
            </w:pPr>
            <w:r w:rsidRPr="00E23B8D">
              <w:rPr>
                <w:rFonts w:cs="Arial"/>
                <w:color w:val="000000"/>
                <w:szCs w:val="20"/>
                <w:lang w:eastAsia="en-AU"/>
              </w:rPr>
              <w:t>n/a</w:t>
            </w:r>
          </w:p>
        </w:tc>
        <w:tc>
          <w:tcPr>
            <w:tcW w:w="352" w:type="pct"/>
            <w:tcBorders>
              <w:top w:val="nil"/>
              <w:left w:val="nil"/>
              <w:bottom w:val="single" w:sz="4" w:space="0" w:color="auto"/>
              <w:right w:val="nil"/>
            </w:tcBorders>
            <w:shd w:val="clear" w:color="auto" w:fill="auto"/>
            <w:vAlign w:val="center"/>
            <w:hideMark/>
          </w:tcPr>
          <w:p w:rsidR="00E809F1" w:rsidRPr="00E23B8D" w:rsidRDefault="00E809F1" w:rsidP="009C1427">
            <w:pPr>
              <w:spacing w:before="60" w:after="60"/>
              <w:jc w:val="center"/>
              <w:rPr>
                <w:rFonts w:cs="Arial"/>
                <w:color w:val="000000"/>
                <w:szCs w:val="20"/>
                <w:lang w:eastAsia="en-AU"/>
              </w:rPr>
            </w:pPr>
            <w:r w:rsidRPr="00E23B8D">
              <w:rPr>
                <w:rFonts w:cs="Arial"/>
                <w:color w:val="000000"/>
                <w:szCs w:val="20"/>
                <w:lang w:eastAsia="en-AU"/>
              </w:rPr>
              <w:t>7.46</w:t>
            </w:r>
          </w:p>
        </w:tc>
      </w:tr>
      <w:tr w:rsidR="00E809F1" w:rsidRPr="00E23B8D" w:rsidTr="00CB0896">
        <w:trPr>
          <w:trHeight w:val="300"/>
        </w:trPr>
        <w:tc>
          <w:tcPr>
            <w:tcW w:w="659" w:type="pct"/>
            <w:tcBorders>
              <w:top w:val="nil"/>
              <w:left w:val="nil"/>
              <w:bottom w:val="single" w:sz="4" w:space="0" w:color="auto"/>
              <w:right w:val="single" w:sz="4" w:space="0" w:color="auto"/>
            </w:tcBorders>
            <w:shd w:val="clear" w:color="auto" w:fill="auto"/>
            <w:vAlign w:val="bottom"/>
            <w:hideMark/>
          </w:tcPr>
          <w:p w:rsidR="00E809F1" w:rsidRPr="00E23B8D" w:rsidRDefault="00E809F1" w:rsidP="00433ED5">
            <w:pPr>
              <w:spacing w:before="60" w:after="60"/>
              <w:jc w:val="left"/>
              <w:rPr>
                <w:rFonts w:cs="Arial"/>
                <w:color w:val="000000"/>
                <w:szCs w:val="20"/>
                <w:lang w:eastAsia="en-AU"/>
              </w:rPr>
            </w:pPr>
            <w:r w:rsidRPr="00E23B8D">
              <w:rPr>
                <w:rFonts w:cs="Arial"/>
                <w:color w:val="000000"/>
                <w:szCs w:val="20"/>
                <w:lang w:eastAsia="en-AU"/>
              </w:rPr>
              <w:t>Alkalinity (ppm)</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433ED5">
            <w:pPr>
              <w:spacing w:before="60" w:after="60"/>
              <w:jc w:val="center"/>
              <w:rPr>
                <w:rFonts w:cs="Arial"/>
                <w:color w:val="000000"/>
                <w:szCs w:val="20"/>
                <w:lang w:eastAsia="en-AU"/>
              </w:rPr>
            </w:pPr>
            <w:r w:rsidRPr="00E23B8D">
              <w:rPr>
                <w:rFonts w:cs="Arial"/>
                <w:color w:val="000000"/>
                <w:szCs w:val="20"/>
                <w:lang w:eastAsia="en-AU"/>
              </w:rPr>
              <w:t>267</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433ED5">
            <w:pPr>
              <w:spacing w:before="60" w:after="60"/>
              <w:jc w:val="center"/>
              <w:rPr>
                <w:rFonts w:cs="Arial"/>
                <w:color w:val="000000"/>
                <w:szCs w:val="20"/>
                <w:lang w:eastAsia="en-AU"/>
              </w:rPr>
            </w:pPr>
            <w:r w:rsidRPr="00E23B8D">
              <w:rPr>
                <w:rFonts w:cs="Arial"/>
                <w:color w:val="000000"/>
                <w:szCs w:val="20"/>
                <w:lang w:eastAsia="en-AU"/>
              </w:rPr>
              <w:t>92</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433ED5">
            <w:pPr>
              <w:spacing w:before="60" w:after="60"/>
              <w:jc w:val="center"/>
              <w:rPr>
                <w:rFonts w:cs="Arial"/>
                <w:color w:val="000000"/>
                <w:szCs w:val="20"/>
                <w:lang w:eastAsia="en-AU"/>
              </w:rPr>
            </w:pPr>
            <w:r w:rsidRPr="00E23B8D">
              <w:rPr>
                <w:rFonts w:cs="Arial"/>
                <w:color w:val="000000"/>
                <w:szCs w:val="20"/>
                <w:lang w:eastAsia="en-AU"/>
              </w:rPr>
              <w:t>256</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433ED5">
            <w:pPr>
              <w:spacing w:before="60" w:after="60"/>
              <w:jc w:val="center"/>
              <w:rPr>
                <w:rFonts w:cs="Arial"/>
                <w:color w:val="000000"/>
                <w:szCs w:val="20"/>
                <w:lang w:eastAsia="en-AU"/>
              </w:rPr>
            </w:pPr>
            <w:r w:rsidRPr="00E23B8D">
              <w:rPr>
                <w:rFonts w:cs="Arial"/>
                <w:color w:val="000000"/>
                <w:szCs w:val="20"/>
                <w:lang w:eastAsia="en-AU"/>
              </w:rPr>
              <w:t>84</w:t>
            </w:r>
          </w:p>
        </w:tc>
        <w:tc>
          <w:tcPr>
            <w:tcW w:w="406"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2159C6">
            <w:pPr>
              <w:spacing w:before="60" w:after="60"/>
              <w:jc w:val="center"/>
              <w:rPr>
                <w:rFonts w:cs="Arial"/>
                <w:color w:val="000000"/>
                <w:szCs w:val="20"/>
                <w:lang w:eastAsia="en-AU"/>
              </w:rPr>
            </w:pPr>
            <w:r w:rsidRPr="00E23B8D">
              <w:rPr>
                <w:rFonts w:cs="Arial"/>
                <w:color w:val="000000"/>
                <w:szCs w:val="20"/>
                <w:lang w:eastAsia="en-AU"/>
              </w:rPr>
              <w:t>97</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2159C6">
            <w:pPr>
              <w:spacing w:before="60" w:after="60"/>
              <w:jc w:val="center"/>
              <w:rPr>
                <w:rFonts w:cs="Arial"/>
                <w:color w:val="000000"/>
                <w:szCs w:val="20"/>
                <w:lang w:eastAsia="en-AU"/>
              </w:rPr>
            </w:pPr>
            <w:r w:rsidRPr="00E23B8D">
              <w:rPr>
                <w:rFonts w:cs="Arial"/>
                <w:color w:val="000000"/>
                <w:szCs w:val="20"/>
                <w:lang w:eastAsia="en-AU"/>
              </w:rPr>
              <w:t>80</w:t>
            </w:r>
          </w:p>
        </w:tc>
        <w:tc>
          <w:tcPr>
            <w:tcW w:w="406"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704E86">
            <w:pPr>
              <w:spacing w:before="60" w:after="60"/>
              <w:jc w:val="center"/>
              <w:rPr>
                <w:rFonts w:cs="Arial"/>
                <w:color w:val="000000"/>
                <w:szCs w:val="20"/>
                <w:lang w:eastAsia="en-AU"/>
              </w:rPr>
            </w:pPr>
            <w:r w:rsidRPr="00E23B8D">
              <w:rPr>
                <w:rFonts w:cs="Arial"/>
                <w:color w:val="000000"/>
                <w:szCs w:val="20"/>
                <w:lang w:eastAsia="en-AU"/>
              </w:rPr>
              <w:t>174</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A5046E">
            <w:pPr>
              <w:spacing w:before="60" w:after="60"/>
              <w:jc w:val="center"/>
              <w:rPr>
                <w:rFonts w:cs="Arial"/>
                <w:color w:val="000000"/>
                <w:szCs w:val="20"/>
                <w:lang w:eastAsia="en-AU"/>
              </w:rPr>
            </w:pPr>
            <w:r w:rsidRPr="00E23B8D">
              <w:rPr>
                <w:rFonts w:cs="Arial"/>
                <w:color w:val="000000"/>
                <w:szCs w:val="20"/>
                <w:lang w:eastAsia="en-AU"/>
              </w:rPr>
              <w:t>114</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A5046E">
            <w:pPr>
              <w:spacing w:before="60" w:after="60"/>
              <w:jc w:val="center"/>
              <w:rPr>
                <w:rFonts w:cs="Arial"/>
                <w:color w:val="000000"/>
                <w:szCs w:val="20"/>
                <w:lang w:eastAsia="en-AU"/>
              </w:rPr>
            </w:pPr>
            <w:r w:rsidRPr="00E23B8D">
              <w:rPr>
                <w:rFonts w:cs="Arial"/>
                <w:color w:val="000000"/>
                <w:szCs w:val="20"/>
                <w:lang w:eastAsia="en-AU"/>
              </w:rPr>
              <w:t>293</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E060B9">
            <w:pPr>
              <w:spacing w:before="60" w:after="60"/>
              <w:jc w:val="center"/>
              <w:rPr>
                <w:rFonts w:cs="Arial"/>
                <w:color w:val="000000"/>
                <w:szCs w:val="20"/>
                <w:lang w:eastAsia="en-AU"/>
              </w:rPr>
            </w:pPr>
            <w:r w:rsidRPr="00E23B8D">
              <w:rPr>
                <w:rFonts w:cs="Arial"/>
                <w:color w:val="000000"/>
                <w:szCs w:val="20"/>
                <w:lang w:eastAsia="en-AU"/>
              </w:rPr>
              <w:t>168</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9C1427">
            <w:pPr>
              <w:spacing w:before="60" w:after="60"/>
              <w:jc w:val="center"/>
              <w:rPr>
                <w:rFonts w:cs="Arial"/>
                <w:color w:val="000000"/>
                <w:szCs w:val="20"/>
                <w:lang w:eastAsia="en-AU"/>
              </w:rPr>
            </w:pPr>
            <w:r w:rsidRPr="00E23B8D">
              <w:rPr>
                <w:rFonts w:cs="Arial"/>
                <w:color w:val="000000"/>
                <w:szCs w:val="20"/>
                <w:lang w:eastAsia="en-AU"/>
              </w:rPr>
              <w:t>167</w:t>
            </w:r>
          </w:p>
        </w:tc>
        <w:tc>
          <w:tcPr>
            <w:tcW w:w="352" w:type="pct"/>
            <w:tcBorders>
              <w:top w:val="nil"/>
              <w:left w:val="nil"/>
              <w:bottom w:val="single" w:sz="4" w:space="0" w:color="auto"/>
              <w:right w:val="nil"/>
            </w:tcBorders>
            <w:shd w:val="clear" w:color="auto" w:fill="auto"/>
            <w:vAlign w:val="center"/>
            <w:hideMark/>
          </w:tcPr>
          <w:p w:rsidR="00E809F1" w:rsidRPr="00E23B8D" w:rsidRDefault="00E809F1" w:rsidP="009C1427">
            <w:pPr>
              <w:spacing w:before="60" w:after="60"/>
              <w:jc w:val="center"/>
              <w:rPr>
                <w:rFonts w:cs="Arial"/>
                <w:color w:val="000000"/>
                <w:szCs w:val="20"/>
                <w:lang w:eastAsia="en-AU"/>
              </w:rPr>
            </w:pPr>
            <w:r w:rsidRPr="00E23B8D">
              <w:rPr>
                <w:rFonts w:cs="Arial"/>
                <w:color w:val="000000"/>
                <w:szCs w:val="20"/>
                <w:lang w:eastAsia="en-AU"/>
              </w:rPr>
              <w:t>102</w:t>
            </w:r>
          </w:p>
        </w:tc>
      </w:tr>
      <w:tr w:rsidR="00E809F1" w:rsidRPr="00E23B8D" w:rsidTr="00CB0896">
        <w:trPr>
          <w:trHeight w:val="300"/>
        </w:trPr>
        <w:tc>
          <w:tcPr>
            <w:tcW w:w="659" w:type="pct"/>
            <w:tcBorders>
              <w:top w:val="nil"/>
              <w:left w:val="nil"/>
              <w:bottom w:val="single" w:sz="4" w:space="0" w:color="auto"/>
              <w:right w:val="single" w:sz="4" w:space="0" w:color="auto"/>
            </w:tcBorders>
            <w:shd w:val="clear" w:color="auto" w:fill="auto"/>
            <w:vAlign w:val="bottom"/>
            <w:hideMark/>
          </w:tcPr>
          <w:p w:rsidR="00E809F1" w:rsidRPr="00E23B8D" w:rsidRDefault="00E809F1" w:rsidP="00433ED5">
            <w:pPr>
              <w:spacing w:before="60" w:after="60"/>
              <w:jc w:val="left"/>
              <w:rPr>
                <w:rFonts w:cs="Arial"/>
                <w:color w:val="000000"/>
                <w:szCs w:val="20"/>
                <w:lang w:eastAsia="en-AU"/>
              </w:rPr>
            </w:pPr>
            <w:r w:rsidRPr="00E23B8D">
              <w:rPr>
                <w:rFonts w:cs="Arial"/>
                <w:color w:val="000000"/>
                <w:szCs w:val="20"/>
                <w:lang w:eastAsia="en-AU"/>
              </w:rPr>
              <w:t>Turbidity (NTU)</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433ED5">
            <w:pPr>
              <w:spacing w:before="60" w:after="60"/>
              <w:jc w:val="center"/>
              <w:rPr>
                <w:rFonts w:cs="Arial"/>
                <w:color w:val="000000"/>
                <w:szCs w:val="20"/>
                <w:lang w:eastAsia="en-AU"/>
              </w:rPr>
            </w:pPr>
            <w:r w:rsidRPr="00E23B8D">
              <w:rPr>
                <w:rFonts w:cs="Arial"/>
                <w:color w:val="000000"/>
                <w:szCs w:val="20"/>
                <w:lang w:eastAsia="en-AU"/>
              </w:rPr>
              <w:t>13.6</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433ED5">
            <w:pPr>
              <w:spacing w:before="60" w:after="60"/>
              <w:jc w:val="center"/>
              <w:rPr>
                <w:rFonts w:cs="Arial"/>
                <w:color w:val="000000"/>
                <w:szCs w:val="20"/>
                <w:lang w:eastAsia="en-AU"/>
              </w:rPr>
            </w:pPr>
            <w:r w:rsidRPr="00E23B8D">
              <w:rPr>
                <w:rFonts w:cs="Arial"/>
                <w:color w:val="000000"/>
                <w:szCs w:val="20"/>
                <w:lang w:eastAsia="en-AU"/>
              </w:rPr>
              <w:t>9.5</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433ED5">
            <w:pPr>
              <w:spacing w:before="60" w:after="60"/>
              <w:jc w:val="center"/>
              <w:rPr>
                <w:rFonts w:cs="Arial"/>
                <w:color w:val="000000"/>
                <w:szCs w:val="20"/>
                <w:lang w:eastAsia="en-AU"/>
              </w:rPr>
            </w:pPr>
            <w:r w:rsidRPr="00E23B8D">
              <w:rPr>
                <w:rFonts w:cs="Arial"/>
                <w:color w:val="000000"/>
                <w:szCs w:val="20"/>
                <w:lang w:eastAsia="en-AU"/>
              </w:rPr>
              <w:t>16.4</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433ED5">
            <w:pPr>
              <w:spacing w:before="60" w:after="60"/>
              <w:jc w:val="center"/>
              <w:rPr>
                <w:rFonts w:cs="Arial"/>
                <w:color w:val="000000"/>
                <w:szCs w:val="20"/>
                <w:lang w:eastAsia="en-AU"/>
              </w:rPr>
            </w:pPr>
            <w:r w:rsidRPr="00E23B8D">
              <w:rPr>
                <w:rFonts w:cs="Arial"/>
                <w:color w:val="000000"/>
                <w:szCs w:val="20"/>
                <w:lang w:eastAsia="en-AU"/>
              </w:rPr>
              <w:t>9.6</w:t>
            </w:r>
          </w:p>
        </w:tc>
        <w:tc>
          <w:tcPr>
            <w:tcW w:w="406"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2159C6">
            <w:pPr>
              <w:spacing w:before="60" w:after="60"/>
              <w:jc w:val="center"/>
              <w:rPr>
                <w:rFonts w:cs="Arial"/>
                <w:color w:val="000000"/>
                <w:szCs w:val="20"/>
                <w:lang w:eastAsia="en-AU"/>
              </w:rPr>
            </w:pPr>
            <w:r w:rsidRPr="00E23B8D">
              <w:rPr>
                <w:rFonts w:cs="Arial"/>
                <w:color w:val="000000"/>
                <w:szCs w:val="20"/>
                <w:lang w:eastAsia="en-AU"/>
              </w:rPr>
              <w:t>10.1</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2159C6">
            <w:pPr>
              <w:spacing w:before="60" w:after="60"/>
              <w:jc w:val="center"/>
              <w:rPr>
                <w:rFonts w:cs="Arial"/>
                <w:color w:val="000000"/>
                <w:szCs w:val="20"/>
                <w:lang w:eastAsia="en-AU"/>
              </w:rPr>
            </w:pPr>
            <w:r w:rsidRPr="00E23B8D">
              <w:rPr>
                <w:rFonts w:cs="Arial"/>
                <w:color w:val="000000"/>
                <w:szCs w:val="20"/>
                <w:lang w:eastAsia="en-AU"/>
              </w:rPr>
              <w:t>10.7</w:t>
            </w:r>
          </w:p>
        </w:tc>
        <w:tc>
          <w:tcPr>
            <w:tcW w:w="406"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704E86">
            <w:pPr>
              <w:spacing w:before="60" w:after="60"/>
              <w:jc w:val="center"/>
              <w:rPr>
                <w:rFonts w:cs="Arial"/>
                <w:color w:val="000000"/>
                <w:szCs w:val="20"/>
                <w:lang w:eastAsia="en-AU"/>
              </w:rPr>
            </w:pPr>
            <w:r w:rsidRPr="00E23B8D">
              <w:rPr>
                <w:rFonts w:cs="Arial"/>
                <w:color w:val="000000"/>
                <w:szCs w:val="20"/>
                <w:lang w:eastAsia="en-AU"/>
              </w:rPr>
              <w:t>66.7</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A5046E">
            <w:pPr>
              <w:spacing w:before="60" w:after="60"/>
              <w:jc w:val="center"/>
              <w:rPr>
                <w:rFonts w:cs="Arial"/>
                <w:color w:val="000000"/>
                <w:szCs w:val="20"/>
                <w:lang w:eastAsia="en-AU"/>
              </w:rPr>
            </w:pPr>
            <w:r w:rsidRPr="00E23B8D">
              <w:rPr>
                <w:rFonts w:cs="Arial"/>
                <w:color w:val="000000"/>
                <w:szCs w:val="20"/>
                <w:lang w:eastAsia="en-AU"/>
              </w:rPr>
              <w:t>20.6</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A5046E">
            <w:pPr>
              <w:spacing w:before="60" w:after="60"/>
              <w:jc w:val="center"/>
              <w:rPr>
                <w:rFonts w:cs="Arial"/>
                <w:color w:val="000000"/>
                <w:szCs w:val="20"/>
                <w:lang w:eastAsia="en-AU"/>
              </w:rPr>
            </w:pPr>
            <w:r w:rsidRPr="00E23B8D">
              <w:rPr>
                <w:rFonts w:cs="Arial"/>
                <w:color w:val="000000"/>
                <w:szCs w:val="20"/>
                <w:lang w:eastAsia="en-AU"/>
              </w:rPr>
              <w:t>67.0</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E060B9">
            <w:pPr>
              <w:spacing w:before="60" w:after="60"/>
              <w:jc w:val="center"/>
              <w:rPr>
                <w:rFonts w:cs="Arial"/>
                <w:color w:val="000000"/>
                <w:szCs w:val="20"/>
                <w:lang w:eastAsia="en-AU"/>
              </w:rPr>
            </w:pPr>
            <w:r w:rsidRPr="00E23B8D">
              <w:rPr>
                <w:rFonts w:cs="Arial"/>
                <w:color w:val="000000"/>
                <w:szCs w:val="20"/>
                <w:lang w:eastAsia="en-AU"/>
              </w:rPr>
              <w:t>67.6</w:t>
            </w:r>
          </w:p>
        </w:tc>
        <w:tc>
          <w:tcPr>
            <w:tcW w:w="353" w:type="pct"/>
            <w:tcBorders>
              <w:top w:val="nil"/>
              <w:left w:val="nil"/>
              <w:bottom w:val="single" w:sz="4" w:space="0" w:color="auto"/>
              <w:right w:val="single" w:sz="4" w:space="0" w:color="auto"/>
            </w:tcBorders>
            <w:shd w:val="clear" w:color="auto" w:fill="auto"/>
            <w:vAlign w:val="center"/>
            <w:hideMark/>
          </w:tcPr>
          <w:p w:rsidR="00E809F1" w:rsidRPr="00E23B8D" w:rsidRDefault="00E809F1" w:rsidP="009C1427">
            <w:pPr>
              <w:spacing w:before="60" w:after="60"/>
              <w:jc w:val="center"/>
              <w:rPr>
                <w:rFonts w:cs="Arial"/>
                <w:color w:val="000000"/>
                <w:szCs w:val="20"/>
                <w:lang w:eastAsia="en-AU"/>
              </w:rPr>
            </w:pPr>
            <w:r w:rsidRPr="00E23B8D">
              <w:rPr>
                <w:rFonts w:cs="Arial"/>
                <w:color w:val="000000"/>
                <w:szCs w:val="20"/>
                <w:lang w:eastAsia="en-AU"/>
              </w:rPr>
              <w:t>67.5</w:t>
            </w:r>
          </w:p>
        </w:tc>
        <w:tc>
          <w:tcPr>
            <w:tcW w:w="352" w:type="pct"/>
            <w:tcBorders>
              <w:top w:val="nil"/>
              <w:left w:val="nil"/>
              <w:bottom w:val="single" w:sz="4" w:space="0" w:color="auto"/>
              <w:right w:val="nil"/>
            </w:tcBorders>
            <w:shd w:val="clear" w:color="auto" w:fill="auto"/>
            <w:vAlign w:val="center"/>
            <w:hideMark/>
          </w:tcPr>
          <w:p w:rsidR="00E809F1" w:rsidRPr="00E23B8D" w:rsidRDefault="00E809F1" w:rsidP="009C1427">
            <w:pPr>
              <w:keepNext/>
              <w:spacing w:before="60" w:after="60"/>
              <w:jc w:val="center"/>
              <w:rPr>
                <w:rFonts w:cs="Arial"/>
                <w:color w:val="000000"/>
                <w:szCs w:val="20"/>
                <w:lang w:eastAsia="en-AU"/>
              </w:rPr>
            </w:pPr>
            <w:r w:rsidRPr="00E23B8D">
              <w:rPr>
                <w:rFonts w:cs="Arial"/>
                <w:color w:val="000000"/>
                <w:szCs w:val="20"/>
                <w:lang w:eastAsia="en-AU"/>
              </w:rPr>
              <w:t>69.0</w:t>
            </w:r>
          </w:p>
        </w:tc>
      </w:tr>
    </w:tbl>
    <w:p w:rsidR="00E23B8D" w:rsidRDefault="00E23B8D" w:rsidP="00E23B8D">
      <w:pPr>
        <w:sectPr w:rsidR="00E23B8D" w:rsidSect="00E23B8D">
          <w:headerReference w:type="default" r:id="rId155"/>
          <w:footerReference w:type="default" r:id="rId156"/>
          <w:pgSz w:w="16838" w:h="11899" w:orient="landscape" w:code="9"/>
          <w:pgMar w:top="1480" w:right="1508" w:bottom="1219" w:left="1457" w:header="811" w:footer="306" w:gutter="0"/>
          <w:pgNumType w:start="1" w:chapStyle="6"/>
          <w:cols w:space="708"/>
          <w:docGrid w:linePitch="272"/>
        </w:sectPr>
      </w:pPr>
    </w:p>
    <w:p w:rsidR="00E809F1" w:rsidRDefault="00E809F1" w:rsidP="006E559A">
      <w:pPr>
        <w:pStyle w:val="Heading8"/>
      </w:pPr>
      <w:r>
        <w:t>Fish</w:t>
      </w:r>
    </w:p>
    <w:p w:rsidR="00E809F1" w:rsidRDefault="00E809F1" w:rsidP="00E809F1">
      <w:r>
        <w:t xml:space="preserve">Seven fish species were collected during the 2015-2016 survey periods, including six in December 2015 and seven in February 2016 </w:t>
      </w:r>
      <w:r w:rsidR="00645BC8">
        <w:t>(</w:t>
      </w:r>
      <w:r w:rsidR="00645BC8">
        <w:fldChar w:fldCharType="begin"/>
      </w:r>
      <w:r w:rsidR="00645BC8">
        <w:instrText xml:space="preserve"> REF _Ref457994455 \h </w:instrText>
      </w:r>
      <w:r w:rsidR="00645BC8">
        <w:fldChar w:fldCharType="separate"/>
      </w:r>
      <w:r w:rsidR="005D5925">
        <w:t xml:space="preserve">Table </w:t>
      </w:r>
      <w:r w:rsidR="005D5925">
        <w:rPr>
          <w:noProof/>
        </w:rPr>
        <w:t>H</w:t>
      </w:r>
      <w:r w:rsidR="005D5925">
        <w:noBreakHyphen/>
      </w:r>
      <w:r w:rsidR="005D5925">
        <w:rPr>
          <w:noProof/>
        </w:rPr>
        <w:t>3</w:t>
      </w:r>
      <w:r w:rsidR="00645BC8">
        <w:fldChar w:fldCharType="end"/>
      </w:r>
      <w:r w:rsidR="00645BC8">
        <w:t xml:space="preserve">; </w:t>
      </w:r>
      <w:r w:rsidR="00645BC8">
        <w:fldChar w:fldCharType="begin"/>
      </w:r>
      <w:r w:rsidR="00645BC8">
        <w:instrText xml:space="preserve"> REF _Ref457994474 \h </w:instrText>
      </w:r>
      <w:r w:rsidR="00645BC8">
        <w:fldChar w:fldCharType="separate"/>
      </w:r>
      <w:r w:rsidR="005D5925">
        <w:t xml:space="preserve">Figure </w:t>
      </w:r>
      <w:r w:rsidR="005D5925">
        <w:rPr>
          <w:noProof/>
        </w:rPr>
        <w:t>H</w:t>
      </w:r>
      <w:r w:rsidR="005D5925">
        <w:noBreakHyphen/>
      </w:r>
      <w:r w:rsidR="005D5925">
        <w:rPr>
          <w:noProof/>
        </w:rPr>
        <w:t>5</w:t>
      </w:r>
      <w:r w:rsidR="00645BC8">
        <w:fldChar w:fldCharType="end"/>
      </w:r>
      <w:r w:rsidR="00323FA0">
        <w:t>)</w:t>
      </w:r>
      <w:r>
        <w:t>.  Only mosquitofish</w:t>
      </w:r>
      <w:r w:rsidRPr="004F6271">
        <w:rPr>
          <w:i/>
        </w:rPr>
        <w:t xml:space="preserve"> </w:t>
      </w:r>
      <w:r>
        <w:rPr>
          <w:i/>
        </w:rPr>
        <w:t>(</w:t>
      </w:r>
      <w:r w:rsidRPr="004F6271">
        <w:rPr>
          <w:i/>
        </w:rPr>
        <w:t>Gambusia holbrooki</w:t>
      </w:r>
      <w:r>
        <w:t>)</w:t>
      </w:r>
      <w:r w:rsidRPr="004F6271">
        <w:rPr>
          <w:i/>
        </w:rPr>
        <w:t xml:space="preserve"> </w:t>
      </w:r>
      <w:r>
        <w:t>occurred at all sites, while carp (</w:t>
      </w:r>
      <w:r>
        <w:rPr>
          <w:i/>
        </w:rPr>
        <w:t>Cyprinus carpio)</w:t>
      </w:r>
      <w:r>
        <w:t xml:space="preserve"> were collected at four sites.  The only native species present in large numbers in December was western carp gudgeon (</w:t>
      </w:r>
      <w:r>
        <w:rPr>
          <w:i/>
        </w:rPr>
        <w:t>Hypseleotris klunzingeri)</w:t>
      </w:r>
      <w:r>
        <w:t xml:space="preserve"> collected at two sites.  </w:t>
      </w:r>
    </w:p>
    <w:p w:rsidR="00E809F1" w:rsidRPr="00262EBB" w:rsidRDefault="00E809F1" w:rsidP="00E809F1">
      <w:r>
        <w:t>The mosquitofish population was much lower in February than it was in December (</w:t>
      </w:r>
      <w:r w:rsidR="00645BC8">
        <w:fldChar w:fldCharType="begin"/>
      </w:r>
      <w:r w:rsidR="00645BC8">
        <w:instrText xml:space="preserve"> REF _Ref457994455 \h </w:instrText>
      </w:r>
      <w:r w:rsidR="00645BC8">
        <w:fldChar w:fldCharType="separate"/>
      </w:r>
      <w:r w:rsidR="005D5925">
        <w:t xml:space="preserve">Table </w:t>
      </w:r>
      <w:r w:rsidR="005D5925">
        <w:rPr>
          <w:noProof/>
        </w:rPr>
        <w:t>H</w:t>
      </w:r>
      <w:r w:rsidR="005D5925">
        <w:noBreakHyphen/>
      </w:r>
      <w:r w:rsidR="005D5925">
        <w:rPr>
          <w:noProof/>
        </w:rPr>
        <w:t>3</w:t>
      </w:r>
      <w:r w:rsidR="00645BC8">
        <w:fldChar w:fldCharType="end"/>
      </w:r>
      <w:r>
        <w:t>).</w:t>
      </w:r>
      <w:r w:rsidR="00A97349">
        <w:t xml:space="preserve"> </w:t>
      </w:r>
      <w:r>
        <w:t xml:space="preserve"> In February, spangled perch</w:t>
      </w:r>
      <w:r>
        <w:rPr>
          <w:i/>
        </w:rPr>
        <w:t xml:space="preserve"> (Leiopotherapon unicolor)</w:t>
      </w:r>
      <w:r>
        <w:t xml:space="preserve"> was the only native fish</w:t>
      </w:r>
      <w:r w:rsidR="00AA1A46">
        <w:t xml:space="preserve"> species</w:t>
      </w:r>
      <w:r>
        <w:t xml:space="preserve"> present in large numbers at Western Dam. Bony bream</w:t>
      </w:r>
      <w:r>
        <w:rPr>
          <w:i/>
        </w:rPr>
        <w:t xml:space="preserve"> (Nematalosa erebi)</w:t>
      </w:r>
      <w:r>
        <w:t xml:space="preserve"> were collected at </w:t>
      </w:r>
      <w:r w:rsidR="00AA1A46">
        <w:t xml:space="preserve">both </w:t>
      </w:r>
      <w:r>
        <w:t xml:space="preserve">Gingham </w:t>
      </w:r>
      <w:r w:rsidR="00AA1A46">
        <w:t>watercourse</w:t>
      </w:r>
      <w:r>
        <w:t xml:space="preserve"> </w:t>
      </w:r>
      <w:r w:rsidR="00AA1A46">
        <w:t xml:space="preserve">sites </w:t>
      </w:r>
      <w:r>
        <w:t xml:space="preserve">and </w:t>
      </w:r>
      <w:r w:rsidR="00AA1A46">
        <w:t xml:space="preserve">the </w:t>
      </w:r>
      <w:r>
        <w:t>Gwydir River</w:t>
      </w:r>
      <w:r w:rsidR="00AA1A46">
        <w:t xml:space="preserve"> site</w:t>
      </w:r>
      <w:r>
        <w:t xml:space="preserve">.  The highest species richness was recorded at Gingham Waterhole where five species and six species were recorded in December and February respectively. </w:t>
      </w:r>
      <w:r w:rsidR="00A97349">
        <w:t xml:space="preserve"> </w:t>
      </w:r>
      <w:r>
        <w:t>This was the only site where olive perchlet</w:t>
      </w:r>
      <w:r>
        <w:rPr>
          <w:i/>
        </w:rPr>
        <w:t xml:space="preserve"> (Ambassis agassizii)</w:t>
      </w:r>
      <w:r>
        <w:t xml:space="preserve"> and fly-speckled hardyhead</w:t>
      </w:r>
      <w:r>
        <w:rPr>
          <w:i/>
        </w:rPr>
        <w:t xml:space="preserve"> (Craterocephalus stercusmuscarum)</w:t>
      </w:r>
      <w:r>
        <w:t xml:space="preserve"> </w:t>
      </w:r>
      <w:r w:rsidR="00AA1A46">
        <w:t>were sampled</w:t>
      </w:r>
      <w:r>
        <w:t>.</w:t>
      </w:r>
    </w:p>
    <w:p w:rsidR="00E809F1" w:rsidRDefault="00E809F1" w:rsidP="00E809F1">
      <w:r>
        <w:t>Fish abundance was greatest at Western Dam with 1502 individuals collected in December and 596 individuals collected in February (</w:t>
      </w:r>
      <w:r w:rsidR="00645BC8">
        <w:fldChar w:fldCharType="begin"/>
      </w:r>
      <w:r w:rsidR="00645BC8">
        <w:instrText xml:space="preserve"> REF _Ref457994455 \h </w:instrText>
      </w:r>
      <w:r w:rsidR="00645BC8">
        <w:fldChar w:fldCharType="separate"/>
      </w:r>
      <w:r w:rsidR="005D5925">
        <w:t xml:space="preserve">Table </w:t>
      </w:r>
      <w:r w:rsidR="005D5925">
        <w:rPr>
          <w:noProof/>
        </w:rPr>
        <w:t>H</w:t>
      </w:r>
      <w:r w:rsidR="005D5925">
        <w:noBreakHyphen/>
      </w:r>
      <w:r w:rsidR="005D5925">
        <w:rPr>
          <w:noProof/>
        </w:rPr>
        <w:t>3</w:t>
      </w:r>
      <w:r w:rsidR="00645BC8">
        <w:fldChar w:fldCharType="end"/>
      </w:r>
      <w:r>
        <w:t xml:space="preserve">); however most of these were mosquitofish, and diversity was low.  Despite this, Western Dam had the highest native species abundance for both surveys; 502 individuals in December and 596 individuals in February. </w:t>
      </w:r>
    </w:p>
    <w:p w:rsidR="00E809F1" w:rsidRDefault="00E809F1" w:rsidP="00E809F1">
      <w:r>
        <w:t xml:space="preserve">Gingham Waterhole had the highest fish </w:t>
      </w:r>
      <w:r w:rsidR="00FE17F9">
        <w:t>species richness</w:t>
      </w:r>
      <w:r>
        <w:t xml:space="preserve"> for both survey periods; with five and six species in December and February respectively. </w:t>
      </w:r>
      <w:r w:rsidR="00A97349">
        <w:t xml:space="preserve"> </w:t>
      </w:r>
      <w:r>
        <w:t xml:space="preserve">Highest native fish </w:t>
      </w:r>
      <w:r w:rsidR="00FE17F9">
        <w:t>richness</w:t>
      </w:r>
      <w:r>
        <w:t xml:space="preserve"> occurred at Gingham Waterhole, with four species present for both survey periods. </w:t>
      </w:r>
      <w:r w:rsidR="00A97349">
        <w:t xml:space="preserve"> </w:t>
      </w:r>
      <w:r w:rsidR="00FE17F9">
        <w:t>Richness</w:t>
      </w:r>
      <w:r>
        <w:t xml:space="preserve"> varied for all sites between seasons</w:t>
      </w:r>
      <w:r w:rsidR="00FE17F9">
        <w:t>, being higher</w:t>
      </w:r>
      <w:r>
        <w:t xml:space="preserve"> in February at Eastern Dam, Bunnor Bird Hide, Gingham Waterhole and Allambie Bridge, and lower at Middle Dam and Western Dam (</w:t>
      </w:r>
      <w:r w:rsidR="00645BC8">
        <w:fldChar w:fldCharType="begin"/>
      </w:r>
      <w:r w:rsidR="00645BC8">
        <w:instrText xml:space="preserve"> REF _Ref457994455 \h </w:instrText>
      </w:r>
      <w:r w:rsidR="00645BC8">
        <w:fldChar w:fldCharType="separate"/>
      </w:r>
      <w:r w:rsidR="005D5925">
        <w:t xml:space="preserve">Table </w:t>
      </w:r>
      <w:r w:rsidR="005D5925">
        <w:rPr>
          <w:noProof/>
        </w:rPr>
        <w:t>H</w:t>
      </w:r>
      <w:r w:rsidR="005D5925">
        <w:noBreakHyphen/>
      </w:r>
      <w:r w:rsidR="005D5925">
        <w:rPr>
          <w:noProof/>
        </w:rPr>
        <w:t>3</w:t>
      </w:r>
      <w:r w:rsidR="00645BC8">
        <w:fldChar w:fldCharType="end"/>
      </w:r>
      <w:r>
        <w:t>).</w:t>
      </w:r>
    </w:p>
    <w:p w:rsidR="00E809F1" w:rsidRDefault="00E809F1" w:rsidP="00E809F1">
      <w:pPr>
        <w:rPr>
          <w:rFonts w:cs="Arial"/>
          <w:i/>
          <w:color w:val="222222"/>
          <w:szCs w:val="20"/>
          <w:shd w:val="clear" w:color="auto" w:fill="FFFFFF"/>
        </w:rPr>
      </w:pPr>
      <w:r>
        <w:rPr>
          <w:rFonts w:cs="Arial"/>
          <w:color w:val="222222"/>
          <w:szCs w:val="20"/>
          <w:shd w:val="clear" w:color="auto" w:fill="FFFFFF"/>
        </w:rPr>
        <w:t>During February, a single eel-tailed catfish</w:t>
      </w:r>
      <w:r w:rsidRPr="004954AF">
        <w:rPr>
          <w:rFonts w:cs="Arial"/>
          <w:i/>
          <w:color w:val="222222"/>
          <w:szCs w:val="20"/>
          <w:shd w:val="clear" w:color="auto" w:fill="FFFFFF"/>
        </w:rPr>
        <w:t xml:space="preserve"> </w:t>
      </w:r>
      <w:r w:rsidRPr="004C6CBA">
        <w:rPr>
          <w:rFonts w:cs="Arial"/>
          <w:color w:val="222222"/>
          <w:szCs w:val="20"/>
          <w:shd w:val="clear" w:color="auto" w:fill="FFFFFF"/>
        </w:rPr>
        <w:t>(</w:t>
      </w:r>
      <w:r w:rsidRPr="004954AF">
        <w:rPr>
          <w:rFonts w:cs="Arial"/>
          <w:i/>
          <w:color w:val="222222"/>
          <w:szCs w:val="20"/>
          <w:shd w:val="clear" w:color="auto" w:fill="FFFFFF"/>
        </w:rPr>
        <w:t>Tandanas tandanas</w:t>
      </w:r>
      <w:r w:rsidRPr="004C6CBA">
        <w:rPr>
          <w:rFonts w:cs="Arial"/>
          <w:color w:val="222222"/>
          <w:szCs w:val="20"/>
          <w:shd w:val="clear" w:color="auto" w:fill="FFFFFF"/>
        </w:rPr>
        <w:t>)</w:t>
      </w:r>
      <w:r>
        <w:rPr>
          <w:rFonts w:cs="Arial"/>
          <w:color w:val="222222"/>
          <w:szCs w:val="20"/>
          <w:shd w:val="clear" w:color="auto" w:fill="FFFFFF"/>
        </w:rPr>
        <w:t xml:space="preserve"> was seen in Middle Dam during spotlighting. </w:t>
      </w:r>
      <w:r w:rsidR="00A97349">
        <w:rPr>
          <w:rFonts w:cs="Arial"/>
          <w:color w:val="222222"/>
          <w:szCs w:val="20"/>
          <w:shd w:val="clear" w:color="auto" w:fill="FFFFFF"/>
        </w:rPr>
        <w:t xml:space="preserve"> </w:t>
      </w:r>
      <w:r>
        <w:rPr>
          <w:rFonts w:cs="Arial"/>
          <w:color w:val="222222"/>
          <w:szCs w:val="20"/>
          <w:shd w:val="clear" w:color="auto" w:fill="FFFFFF"/>
        </w:rPr>
        <w:t xml:space="preserve">The catfish was approximately 10 cm long, and was swimming slowly through shallow water between the bank and a stand of </w:t>
      </w:r>
      <w:r>
        <w:rPr>
          <w:rFonts w:cs="Arial"/>
          <w:i/>
          <w:color w:val="222222"/>
          <w:szCs w:val="20"/>
          <w:shd w:val="clear" w:color="auto" w:fill="FFFFFF"/>
        </w:rPr>
        <w:t>Typha orientalis.</w:t>
      </w:r>
    </w:p>
    <w:p w:rsidR="00FE17F9" w:rsidRDefault="00FE17F9" w:rsidP="00FE17F9">
      <w:r>
        <w:t xml:space="preserve">The opportunistic fish survey conducted in April collected 46 olive perchlet, 3 small carp, 6 bony bream, and 2 spangled perch. </w:t>
      </w:r>
      <w:r w:rsidR="00A97349">
        <w:t xml:space="preserve"> </w:t>
      </w:r>
      <w:r>
        <w:t>Although these fish were not collected as a formal part of the survey, they are worth mentioning principally because of the number of olive perchlet captured.</w:t>
      </w:r>
    </w:p>
    <w:p w:rsidR="00E809F1" w:rsidRDefault="004176FF" w:rsidP="00E809F1">
      <w:pPr>
        <w:pStyle w:val="Caption"/>
        <w:keepNext/>
      </w:pPr>
      <w:r w:rsidRPr="008F5E11">
        <w:rPr>
          <w:noProof/>
          <w:lang w:eastAsia="en-AU"/>
        </w:rPr>
        <w:drawing>
          <wp:inline distT="0" distB="0" distL="0" distR="0">
            <wp:extent cx="5750560" cy="2971165"/>
            <wp:effectExtent l="0" t="0" r="2540" b="635"/>
            <wp:docPr id="92" name="Chart 2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E809F1" w:rsidRDefault="00E809F1" w:rsidP="007A0923">
      <w:pPr>
        <w:pStyle w:val="Caption"/>
        <w:tabs>
          <w:tab w:val="center" w:pos="4600"/>
        </w:tabs>
        <w:rPr>
          <w:b w:val="0"/>
        </w:rPr>
      </w:pPr>
      <w:bookmarkStart w:id="131" w:name="_Ref457994474"/>
      <w:r>
        <w:t xml:space="preserve">Figure </w:t>
      </w:r>
      <w:fldSimple w:instr=" STYLEREF 6 \s ">
        <w:r w:rsidR="00673DAF">
          <w:rPr>
            <w:noProof/>
          </w:rPr>
          <w:t>H</w:t>
        </w:r>
      </w:fldSimple>
      <w:r w:rsidR="00673DAF">
        <w:noBreakHyphen/>
      </w:r>
      <w:fldSimple w:instr=" SEQ Figure \* ARABIC \s 6 ">
        <w:r w:rsidR="00673DAF">
          <w:rPr>
            <w:noProof/>
          </w:rPr>
          <w:t>5</w:t>
        </w:r>
      </w:fldSimple>
      <w:bookmarkEnd w:id="131"/>
      <w:r>
        <w:t xml:space="preserve">: </w:t>
      </w:r>
      <w:r w:rsidRPr="004956CF">
        <w:t>Number of fish species at each site</w:t>
      </w:r>
      <w:r w:rsidR="007A0923">
        <w:tab/>
      </w:r>
    </w:p>
    <w:p w:rsidR="00E809F1" w:rsidRDefault="00E809F1" w:rsidP="006E559A">
      <w:pPr>
        <w:pStyle w:val="Heading8"/>
      </w:pPr>
      <w:r>
        <w:t>Frogs</w:t>
      </w:r>
    </w:p>
    <w:p w:rsidR="00E809F1" w:rsidRDefault="00E809F1" w:rsidP="00E809F1">
      <w:r>
        <w:t xml:space="preserve">Six frog species were present during the 2015-2016 survey periods, including five species in December 2015 and six in February 2016 </w:t>
      </w:r>
      <w:r w:rsidRPr="005E550B">
        <w:t>(</w:t>
      </w:r>
      <w:r w:rsidR="00645BC8">
        <w:fldChar w:fldCharType="begin"/>
      </w:r>
      <w:r w:rsidR="00645BC8">
        <w:instrText xml:space="preserve"> REF _Ref453232846 \h </w:instrText>
      </w:r>
      <w:r w:rsidR="00645BC8">
        <w:fldChar w:fldCharType="separate"/>
      </w:r>
      <w:r w:rsidR="005D5925">
        <w:t xml:space="preserve">Table </w:t>
      </w:r>
      <w:r w:rsidR="005D5925">
        <w:rPr>
          <w:noProof/>
        </w:rPr>
        <w:t>H</w:t>
      </w:r>
      <w:r w:rsidR="005D5925">
        <w:noBreakHyphen/>
      </w:r>
      <w:r w:rsidR="005D5925">
        <w:rPr>
          <w:noProof/>
        </w:rPr>
        <w:t>4</w:t>
      </w:r>
      <w:r w:rsidR="00645BC8">
        <w:fldChar w:fldCharType="end"/>
      </w:r>
      <w:r w:rsidR="00645BC8">
        <w:t xml:space="preserve">; </w:t>
      </w:r>
      <w:r w:rsidR="00645BC8">
        <w:fldChar w:fldCharType="begin"/>
      </w:r>
      <w:r w:rsidR="00645BC8">
        <w:instrText xml:space="preserve"> REF _Ref452984254 \h </w:instrText>
      </w:r>
      <w:r w:rsidR="00645BC8">
        <w:fldChar w:fldCharType="separate"/>
      </w:r>
      <w:r w:rsidR="005D5925">
        <w:t xml:space="preserve">Table </w:t>
      </w:r>
      <w:r w:rsidR="005D5925">
        <w:rPr>
          <w:noProof/>
        </w:rPr>
        <w:t>H</w:t>
      </w:r>
      <w:r w:rsidR="005D5925">
        <w:noBreakHyphen/>
      </w:r>
      <w:r w:rsidR="005D5925">
        <w:rPr>
          <w:noProof/>
        </w:rPr>
        <w:t>5</w:t>
      </w:r>
      <w:r w:rsidR="00645BC8">
        <w:fldChar w:fldCharType="end"/>
      </w:r>
      <w:r>
        <w:t xml:space="preserve">). </w:t>
      </w:r>
      <w:r w:rsidR="00A97349">
        <w:t xml:space="preserve"> </w:t>
      </w:r>
      <w:r>
        <w:t>Bunnor Bird Hide was the only site with all six species, and was the only site with eastern sign-bearing froglet</w:t>
      </w:r>
      <w:r w:rsidRPr="009715C7">
        <w:rPr>
          <w:i/>
        </w:rPr>
        <w:t xml:space="preserve"> </w:t>
      </w:r>
      <w:r>
        <w:rPr>
          <w:i/>
        </w:rPr>
        <w:t>(</w:t>
      </w:r>
      <w:r w:rsidRPr="009715C7">
        <w:rPr>
          <w:i/>
        </w:rPr>
        <w:t>Crinia parinsignifera</w:t>
      </w:r>
      <w:r>
        <w:rPr>
          <w:i/>
        </w:rPr>
        <w:t>)</w:t>
      </w:r>
      <w:r>
        <w:t xml:space="preserve">. </w:t>
      </w:r>
    </w:p>
    <w:p w:rsidR="00E809F1" w:rsidRDefault="00E809F1" w:rsidP="00E809F1">
      <w:r>
        <w:t xml:space="preserve">Frog abundance was greater in December 2015, with 185 individuals </w:t>
      </w:r>
      <w:r w:rsidR="00FE17F9">
        <w:t>observed</w:t>
      </w:r>
      <w:r>
        <w:t xml:space="preserve">. In February, only 44 individuals were observed. </w:t>
      </w:r>
      <w:r w:rsidR="00A97349">
        <w:t xml:space="preserve"> </w:t>
      </w:r>
      <w:r>
        <w:t>The most abundant species was barking marsh frog</w:t>
      </w:r>
      <w:r>
        <w:rPr>
          <w:i/>
        </w:rPr>
        <w:t xml:space="preserve"> (Limnodynastes fletcheri)</w:t>
      </w:r>
      <w:r>
        <w:t>, which was seen and heard at all sites (</w:t>
      </w:r>
      <w:r w:rsidR="00645BC8">
        <w:fldChar w:fldCharType="begin"/>
      </w:r>
      <w:r w:rsidR="00645BC8">
        <w:instrText xml:space="preserve"> REF _Ref453232846 \h </w:instrText>
      </w:r>
      <w:r w:rsidR="00645BC8">
        <w:fldChar w:fldCharType="separate"/>
      </w:r>
      <w:r w:rsidR="005D5925">
        <w:t xml:space="preserve">Table </w:t>
      </w:r>
      <w:r w:rsidR="005D5925">
        <w:rPr>
          <w:noProof/>
        </w:rPr>
        <w:t>H</w:t>
      </w:r>
      <w:r w:rsidR="005D5925">
        <w:noBreakHyphen/>
      </w:r>
      <w:r w:rsidR="005D5925">
        <w:rPr>
          <w:noProof/>
        </w:rPr>
        <w:t>4</w:t>
      </w:r>
      <w:r w:rsidR="00645BC8">
        <w:fldChar w:fldCharType="end"/>
      </w:r>
      <w:r w:rsidR="00645BC8">
        <w:t xml:space="preserve">; </w:t>
      </w:r>
      <w:r w:rsidR="00645BC8">
        <w:fldChar w:fldCharType="begin"/>
      </w:r>
      <w:r w:rsidR="00645BC8">
        <w:instrText xml:space="preserve"> REF _Ref452984254 \h </w:instrText>
      </w:r>
      <w:r w:rsidR="00645BC8">
        <w:fldChar w:fldCharType="separate"/>
      </w:r>
      <w:r w:rsidR="005D5925">
        <w:t xml:space="preserve">Table </w:t>
      </w:r>
      <w:r w:rsidR="005D5925">
        <w:rPr>
          <w:noProof/>
        </w:rPr>
        <w:t>H</w:t>
      </w:r>
      <w:r w:rsidR="005D5925">
        <w:noBreakHyphen/>
      </w:r>
      <w:r w:rsidR="005D5925">
        <w:rPr>
          <w:noProof/>
        </w:rPr>
        <w:t>5</w:t>
      </w:r>
      <w:r w:rsidR="00645BC8">
        <w:fldChar w:fldCharType="end"/>
      </w:r>
      <w:r>
        <w:t>), which had 72 individuals at Middle Dam in December 2015.  More spotted marsh frogs</w:t>
      </w:r>
      <w:r>
        <w:rPr>
          <w:i/>
        </w:rPr>
        <w:t xml:space="preserve"> (Limnodynastes tasmaniensis</w:t>
      </w:r>
      <w:r>
        <w:t xml:space="preserve">) were seen at this site than at any of the other sites. </w:t>
      </w:r>
      <w:r w:rsidR="00A97349">
        <w:t xml:space="preserve"> </w:t>
      </w:r>
      <w:r>
        <w:t xml:space="preserve">Spotted marsh frogs were seen at two of the Gwydir Wetland sites and one of the Gingham sites but were not heard calling during either survey. </w:t>
      </w:r>
    </w:p>
    <w:p w:rsidR="00E809F1" w:rsidRDefault="00E809F1" w:rsidP="00E809F1">
      <w:r>
        <w:t xml:space="preserve">Middle Dam had the highest frog abundance for both survey periods; 95 individuals in December and 19 individuals in February. </w:t>
      </w:r>
      <w:r w:rsidR="00A97349">
        <w:t xml:space="preserve"> </w:t>
      </w:r>
      <w:r>
        <w:t xml:space="preserve">Species </w:t>
      </w:r>
      <w:r w:rsidR="00FE17F9">
        <w:t>richness</w:t>
      </w:r>
      <w:r>
        <w:t xml:space="preserve"> increased at this site and composition varied </w:t>
      </w:r>
      <w:r w:rsidRPr="005E550B">
        <w:t>(</w:t>
      </w:r>
      <w:r w:rsidR="00645BC8">
        <w:fldChar w:fldCharType="begin"/>
      </w:r>
      <w:r w:rsidR="00645BC8">
        <w:instrText xml:space="preserve"> REF _Ref452984254 \h </w:instrText>
      </w:r>
      <w:r w:rsidR="00645BC8">
        <w:fldChar w:fldCharType="separate"/>
      </w:r>
      <w:r w:rsidR="005D5925">
        <w:t xml:space="preserve">Table </w:t>
      </w:r>
      <w:r w:rsidR="005D5925">
        <w:rPr>
          <w:noProof/>
        </w:rPr>
        <w:t>H</w:t>
      </w:r>
      <w:r w:rsidR="005D5925">
        <w:noBreakHyphen/>
      </w:r>
      <w:r w:rsidR="005D5925">
        <w:rPr>
          <w:noProof/>
        </w:rPr>
        <w:t>5</w:t>
      </w:r>
      <w:r w:rsidR="00645BC8">
        <w:fldChar w:fldCharType="end"/>
      </w:r>
      <w:r>
        <w:t xml:space="preserve">).  Frog </w:t>
      </w:r>
      <w:r w:rsidR="00FE17F9">
        <w:t>abundance declined at all sites (</w:t>
      </w:r>
      <w:r>
        <w:t>except Eastern Dam</w:t>
      </w:r>
      <w:r w:rsidR="00FE17F9">
        <w:t>)</w:t>
      </w:r>
      <w:r>
        <w:t xml:space="preserve"> between survey periods.</w:t>
      </w:r>
      <w:r w:rsidR="00A97349">
        <w:t xml:space="preserve"> </w:t>
      </w:r>
      <w:r>
        <w:t xml:space="preserve"> </w:t>
      </w:r>
      <w:r w:rsidR="00FE17F9">
        <w:t xml:space="preserve">Richness </w:t>
      </w:r>
      <w:r>
        <w:t>differed between seasons; Eastern Dam, Middle Dam and Gingham Waterhole increased between December and February, and declined at Western Dam, Bunnor Bird Hide and Allambie Bridge</w:t>
      </w:r>
      <w:r w:rsidR="00673DAF">
        <w:t>.</w:t>
      </w:r>
    </w:p>
    <w:p w:rsidR="00673DAF" w:rsidRDefault="00673DAF" w:rsidP="00E809F1">
      <w:r>
        <w:t>Broad-palmed frog</w:t>
      </w:r>
      <w:r w:rsidRPr="00D5063C">
        <w:rPr>
          <w:i/>
        </w:rPr>
        <w:t xml:space="preserve"> </w:t>
      </w:r>
      <w:r>
        <w:rPr>
          <w:i/>
        </w:rPr>
        <w:t>(</w:t>
      </w:r>
      <w:r w:rsidRPr="00D5063C">
        <w:rPr>
          <w:i/>
        </w:rPr>
        <w:t>Litoria latopalmata</w:t>
      </w:r>
      <w:r>
        <w:rPr>
          <w:i/>
        </w:rPr>
        <w:t>)</w:t>
      </w:r>
      <w:r>
        <w:t xml:space="preserve"> was not heard calling in these surveys but was seen at four of the sites (</w:t>
      </w:r>
      <w:r>
        <w:fldChar w:fldCharType="begin"/>
      </w:r>
      <w:r>
        <w:instrText xml:space="preserve"> REF _Ref453333946 \h </w:instrText>
      </w:r>
      <w:r>
        <w:fldChar w:fldCharType="separate"/>
      </w:r>
      <w:r>
        <w:t xml:space="preserve">Figure </w:t>
      </w:r>
      <w:r>
        <w:rPr>
          <w:noProof/>
        </w:rPr>
        <w:t>H</w:t>
      </w:r>
      <w:r>
        <w:noBreakHyphen/>
      </w:r>
      <w:r>
        <w:rPr>
          <w:noProof/>
        </w:rPr>
        <w:t>6</w:t>
      </w:r>
      <w:r>
        <w:fldChar w:fldCharType="end"/>
      </w:r>
      <w:r>
        <w:t>). It was most abundant at Gingham Waterhole, where 34 individuals were spotted along the narrow mud and sand beach (</w:t>
      </w:r>
      <w:r>
        <w:fldChar w:fldCharType="begin"/>
      </w:r>
      <w:r>
        <w:instrText xml:space="preserve"> REF _Ref452984254 \h </w:instrText>
      </w:r>
      <w:r>
        <w:fldChar w:fldCharType="separate"/>
      </w:r>
      <w:r>
        <w:t xml:space="preserve">Table </w:t>
      </w:r>
      <w:r>
        <w:rPr>
          <w:noProof/>
        </w:rPr>
        <w:t>H</w:t>
      </w:r>
      <w:r>
        <w:noBreakHyphen/>
      </w:r>
      <w:r>
        <w:rPr>
          <w:noProof/>
        </w:rPr>
        <w:t>5</w:t>
      </w:r>
      <w:r>
        <w:fldChar w:fldCharType="end"/>
      </w:r>
      <w:r>
        <w:t xml:space="preserve">). </w:t>
      </w:r>
      <w:r w:rsidRPr="00381C76">
        <w:t xml:space="preserve"> </w:t>
      </w:r>
      <w:r>
        <w:t>However, only five individuals were seen in February.  Peron’s tree frog</w:t>
      </w:r>
      <w:r w:rsidRPr="0056050B">
        <w:rPr>
          <w:i/>
        </w:rPr>
        <w:t xml:space="preserve"> </w:t>
      </w:r>
      <w:r>
        <w:rPr>
          <w:i/>
        </w:rPr>
        <w:t>(</w:t>
      </w:r>
      <w:r w:rsidRPr="0056050B">
        <w:rPr>
          <w:i/>
        </w:rPr>
        <w:t>Litoria peroni</w:t>
      </w:r>
      <w:r>
        <w:rPr>
          <w:i/>
        </w:rPr>
        <w:t>)</w:t>
      </w:r>
      <w:r>
        <w:t xml:space="preserve"> occurred at four sites in December, and again in February, but few individuals were calling.</w:t>
      </w:r>
    </w:p>
    <w:p w:rsidR="00673DAF" w:rsidRDefault="004176FF" w:rsidP="00673DAF">
      <w:pPr>
        <w:keepNext/>
        <w:spacing w:line="240" w:lineRule="auto"/>
      </w:pPr>
      <w:r>
        <w:rPr>
          <w:noProof/>
          <w:lang w:eastAsia="en-AU"/>
        </w:rPr>
        <w:drawing>
          <wp:inline distT="0" distB="0" distL="0" distR="0">
            <wp:extent cx="5791200" cy="2543175"/>
            <wp:effectExtent l="19050" t="19050" r="19050" b="28575"/>
            <wp:docPr id="93" name="Picture 235" descr="N:\Projects\15ARM\2427 Gwydir LTIM Stage 2 - Year 2\Indicators\Indicators (Y2)\Frogs_small fish\Pics for report\Feb16 Gingham Broad-palmed frog 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N:\Projects\15ARM\2427 Gwydir LTIM Stage 2 - Year 2\Indicators\Indicators (Y2)\Frogs_small fish\Pics for report\Feb16 Gingham Broad-palmed frog PH.JPG"/>
                    <pic:cNvPicPr>
                      <a:picLocks noChangeAspect="1" noChangeArrowheads="1"/>
                    </pic:cNvPicPr>
                  </pic:nvPicPr>
                  <pic:blipFill>
                    <a:blip r:embed="rId158">
                      <a:extLst>
                        <a:ext uri="{28A0092B-C50C-407E-A947-70E740481C1C}">
                          <a14:useLocalDpi xmlns:a14="http://schemas.microsoft.com/office/drawing/2010/main"/>
                        </a:ext>
                      </a:extLst>
                    </a:blip>
                    <a:srcRect/>
                    <a:stretch>
                      <a:fillRect/>
                    </a:stretch>
                  </pic:blipFill>
                  <pic:spPr bwMode="auto">
                    <a:xfrm>
                      <a:off x="0" y="0"/>
                      <a:ext cx="5791200" cy="2543175"/>
                    </a:xfrm>
                    <a:prstGeom prst="rect">
                      <a:avLst/>
                    </a:prstGeom>
                    <a:noFill/>
                    <a:ln w="9525" cmpd="sng">
                      <a:solidFill>
                        <a:srgbClr val="7F7F7F"/>
                      </a:solidFill>
                      <a:miter lim="800000"/>
                      <a:headEnd/>
                      <a:tailEnd/>
                    </a:ln>
                    <a:effectLst/>
                  </pic:spPr>
                </pic:pic>
              </a:graphicData>
            </a:graphic>
          </wp:inline>
        </w:drawing>
      </w:r>
    </w:p>
    <w:p w:rsidR="00E809F1" w:rsidRPr="00673DAF" w:rsidRDefault="00673DAF" w:rsidP="00673DAF">
      <w:pPr>
        <w:pStyle w:val="Caption"/>
        <w:rPr>
          <w:b w:val="0"/>
        </w:rPr>
      </w:pPr>
      <w:r>
        <w:t xml:space="preserve">Figure </w:t>
      </w:r>
      <w:fldSimple w:instr=" STYLEREF 6 \s ">
        <w:r>
          <w:rPr>
            <w:noProof/>
          </w:rPr>
          <w:t>H</w:t>
        </w:r>
      </w:fldSimple>
      <w:r>
        <w:noBreakHyphen/>
      </w:r>
      <w:fldSimple w:instr=" SEQ Figure \* ARABIC \s 6 ">
        <w:r>
          <w:rPr>
            <w:noProof/>
          </w:rPr>
          <w:t>7</w:t>
        </w:r>
      </w:fldSimple>
      <w:r>
        <w:t>: Broad-palmed frog at Gingham Waterhole in February 2016.</w:t>
      </w:r>
    </w:p>
    <w:p w:rsidR="00673DAF" w:rsidRDefault="00673DAF" w:rsidP="00673DAF"/>
    <w:p w:rsidR="00E809F1" w:rsidRDefault="00673DAF" w:rsidP="006E559A">
      <w:pPr>
        <w:pStyle w:val="Heading8"/>
      </w:pPr>
      <w:r>
        <w:t>O</w:t>
      </w:r>
      <w:r w:rsidR="00E809F1">
        <w:t>ther observations</w:t>
      </w:r>
    </w:p>
    <w:p w:rsidR="00E809F1" w:rsidRDefault="00E809F1" w:rsidP="00E809F1">
      <w:pPr>
        <w:rPr>
          <w:rFonts w:cs="Arial"/>
          <w:color w:val="222222"/>
          <w:szCs w:val="20"/>
          <w:shd w:val="clear" w:color="auto" w:fill="FFFFFF"/>
        </w:rPr>
      </w:pPr>
      <w:r>
        <w:t xml:space="preserve">Four other aquatic vertebrate species were captured or observed during the December 2015 surveys. </w:t>
      </w:r>
      <w:r w:rsidR="00A97349">
        <w:t xml:space="preserve"> </w:t>
      </w:r>
      <w:r>
        <w:t xml:space="preserve">A single </w:t>
      </w:r>
      <w:r>
        <w:rPr>
          <w:rFonts w:cs="Arial"/>
          <w:color w:val="222222"/>
          <w:szCs w:val="20"/>
          <w:shd w:val="clear" w:color="auto" w:fill="FFFFFF"/>
        </w:rPr>
        <w:t>water rat</w:t>
      </w:r>
      <w:r w:rsidRPr="00350612">
        <w:rPr>
          <w:rFonts w:cs="Arial"/>
          <w:i/>
          <w:color w:val="222222"/>
          <w:szCs w:val="20"/>
          <w:shd w:val="clear" w:color="auto" w:fill="FFFFFF"/>
        </w:rPr>
        <w:t xml:space="preserve"> </w:t>
      </w:r>
      <w:r>
        <w:rPr>
          <w:rFonts w:cs="Arial"/>
          <w:i/>
          <w:color w:val="222222"/>
          <w:szCs w:val="20"/>
          <w:shd w:val="clear" w:color="auto" w:fill="FFFFFF"/>
        </w:rPr>
        <w:t>(</w:t>
      </w:r>
      <w:r w:rsidRPr="00350612">
        <w:rPr>
          <w:rFonts w:cs="Arial"/>
          <w:i/>
          <w:color w:val="222222"/>
          <w:szCs w:val="20"/>
          <w:shd w:val="clear" w:color="auto" w:fill="FFFFFF"/>
        </w:rPr>
        <w:t>Hydromys chrysogaster</w:t>
      </w:r>
      <w:r>
        <w:rPr>
          <w:rFonts w:cs="Arial"/>
          <w:i/>
          <w:color w:val="222222"/>
          <w:szCs w:val="20"/>
          <w:shd w:val="clear" w:color="auto" w:fill="FFFFFF"/>
        </w:rPr>
        <w:t>)</w:t>
      </w:r>
      <w:r>
        <w:rPr>
          <w:rFonts w:cs="Arial"/>
          <w:color w:val="222222"/>
          <w:szCs w:val="20"/>
          <w:shd w:val="clear" w:color="auto" w:fill="FFFFFF"/>
        </w:rPr>
        <w:t xml:space="preserve"> was seen swimming among reeds at Western Dam during the nocturnal surveys. </w:t>
      </w:r>
      <w:r w:rsidR="00A97349">
        <w:rPr>
          <w:rFonts w:cs="Arial"/>
          <w:color w:val="222222"/>
          <w:szCs w:val="20"/>
          <w:shd w:val="clear" w:color="auto" w:fill="FFFFFF"/>
        </w:rPr>
        <w:t xml:space="preserve"> </w:t>
      </w:r>
      <w:r>
        <w:rPr>
          <w:rFonts w:cs="Arial"/>
          <w:color w:val="222222"/>
          <w:szCs w:val="20"/>
          <w:shd w:val="clear" w:color="auto" w:fill="FFFFFF"/>
        </w:rPr>
        <w:t>Two eastern long-necked turtles</w:t>
      </w:r>
      <w:r w:rsidRPr="00825515">
        <w:rPr>
          <w:rFonts w:cs="Arial"/>
          <w:i/>
          <w:color w:val="222222"/>
          <w:szCs w:val="20"/>
          <w:shd w:val="clear" w:color="auto" w:fill="FFFFFF"/>
        </w:rPr>
        <w:t xml:space="preserve"> </w:t>
      </w:r>
      <w:r>
        <w:rPr>
          <w:rFonts w:cs="Arial"/>
          <w:i/>
          <w:color w:val="222222"/>
          <w:szCs w:val="20"/>
          <w:shd w:val="clear" w:color="auto" w:fill="FFFFFF"/>
        </w:rPr>
        <w:t>(</w:t>
      </w:r>
      <w:r w:rsidRPr="00825515">
        <w:rPr>
          <w:rFonts w:cs="Arial"/>
          <w:i/>
          <w:color w:val="222222"/>
          <w:szCs w:val="20"/>
          <w:shd w:val="clear" w:color="auto" w:fill="FFFFFF"/>
        </w:rPr>
        <w:t>Chelodina longicollis</w:t>
      </w:r>
      <w:r>
        <w:rPr>
          <w:rFonts w:cs="Arial"/>
          <w:i/>
          <w:color w:val="222222"/>
          <w:szCs w:val="20"/>
          <w:shd w:val="clear" w:color="auto" w:fill="FFFFFF"/>
        </w:rPr>
        <w:t>)</w:t>
      </w:r>
      <w:r>
        <w:rPr>
          <w:rFonts w:cs="Arial"/>
          <w:color w:val="222222"/>
          <w:szCs w:val="20"/>
          <w:shd w:val="clear" w:color="auto" w:fill="FFFFFF"/>
        </w:rPr>
        <w:t xml:space="preserve"> were captured in the fyke net at this site.</w:t>
      </w:r>
      <w:r w:rsidR="00A97349">
        <w:rPr>
          <w:rFonts w:cs="Arial"/>
          <w:color w:val="222222"/>
          <w:szCs w:val="20"/>
          <w:shd w:val="clear" w:color="auto" w:fill="FFFFFF"/>
        </w:rPr>
        <w:t xml:space="preserve"> </w:t>
      </w:r>
      <w:r>
        <w:rPr>
          <w:rFonts w:cs="Arial"/>
          <w:color w:val="222222"/>
          <w:szCs w:val="20"/>
          <w:shd w:val="clear" w:color="auto" w:fill="FFFFFF"/>
        </w:rPr>
        <w:t xml:space="preserve"> Eastern long-necked turtles were also seen at Bunnor Bird Hide and Eastern Dam. </w:t>
      </w:r>
      <w:r w:rsidR="00A97349">
        <w:rPr>
          <w:rFonts w:cs="Arial"/>
          <w:color w:val="222222"/>
          <w:szCs w:val="20"/>
          <w:shd w:val="clear" w:color="auto" w:fill="FFFFFF"/>
        </w:rPr>
        <w:t xml:space="preserve"> </w:t>
      </w:r>
      <w:r>
        <w:rPr>
          <w:rFonts w:cs="Arial"/>
          <w:color w:val="222222"/>
          <w:szCs w:val="20"/>
          <w:shd w:val="clear" w:color="auto" w:fill="FFFFFF"/>
        </w:rPr>
        <w:t xml:space="preserve">Two other species of turtle were captured during sampling, both at Gingham Waterhole. </w:t>
      </w:r>
      <w:r w:rsidR="00A97349">
        <w:rPr>
          <w:rFonts w:cs="Arial"/>
          <w:color w:val="222222"/>
          <w:szCs w:val="20"/>
          <w:shd w:val="clear" w:color="auto" w:fill="FFFFFF"/>
        </w:rPr>
        <w:t xml:space="preserve"> </w:t>
      </w:r>
      <w:r>
        <w:rPr>
          <w:rFonts w:cs="Arial"/>
          <w:color w:val="222222"/>
          <w:szCs w:val="20"/>
          <w:shd w:val="clear" w:color="auto" w:fill="FFFFFF"/>
        </w:rPr>
        <w:t>A single Murray turtle</w:t>
      </w:r>
      <w:r>
        <w:rPr>
          <w:rFonts w:cs="Arial"/>
          <w:i/>
          <w:color w:val="222222"/>
          <w:szCs w:val="20"/>
          <w:shd w:val="clear" w:color="auto" w:fill="FFFFFF"/>
        </w:rPr>
        <w:t xml:space="preserve"> (Emydura macquarii</w:t>
      </w:r>
      <w:r>
        <w:rPr>
          <w:rFonts w:cs="Arial"/>
          <w:color w:val="222222"/>
          <w:szCs w:val="20"/>
          <w:shd w:val="clear" w:color="auto" w:fill="FFFFFF"/>
        </w:rPr>
        <w:t>) and eleven broad-shelled turtle</w:t>
      </w:r>
      <w:r>
        <w:rPr>
          <w:rFonts w:cs="Arial"/>
          <w:i/>
          <w:color w:val="222222"/>
          <w:szCs w:val="20"/>
          <w:shd w:val="clear" w:color="auto" w:fill="FFFFFF"/>
        </w:rPr>
        <w:t xml:space="preserve"> (Chelodina expansa</w:t>
      </w:r>
      <w:r>
        <w:rPr>
          <w:rFonts w:cs="Arial"/>
          <w:color w:val="222222"/>
          <w:szCs w:val="20"/>
          <w:shd w:val="clear" w:color="auto" w:fill="FFFFFF"/>
        </w:rPr>
        <w:t xml:space="preserve">) were collected in fyke nets. </w:t>
      </w:r>
    </w:p>
    <w:p w:rsidR="00E809F1" w:rsidRDefault="00E809F1" w:rsidP="00E809F1">
      <w:r>
        <w:rPr>
          <w:rFonts w:cs="Arial"/>
          <w:color w:val="222222"/>
          <w:szCs w:val="20"/>
          <w:shd w:val="clear" w:color="auto" w:fill="FFFFFF"/>
        </w:rPr>
        <w:t>In the February survey, three turtle species were captured or observed. Six broad-shelled turtles, five Murray short-necked turtles and an eastern long-necked turtle were caught in fyke nets at Gingham Waterhole. A single juvenile eastern long-necked turtle was caught in a fyke net at Bunnor Bird Hide.</w:t>
      </w:r>
      <w:r>
        <w:t xml:space="preserve"> </w:t>
      </w:r>
    </w:p>
    <w:p w:rsidR="00E809F1" w:rsidRDefault="00E809F1" w:rsidP="00E809F1">
      <w:pPr>
        <w:sectPr w:rsidR="00E809F1" w:rsidSect="007A0923">
          <w:headerReference w:type="default" r:id="rId159"/>
          <w:footerReference w:type="default" r:id="rId160"/>
          <w:pgSz w:w="11899" w:h="16838" w:code="9"/>
          <w:pgMar w:top="1508" w:right="1219" w:bottom="1702" w:left="1480" w:header="811" w:footer="306" w:gutter="0"/>
          <w:pgNumType w:start="1" w:chapStyle="6"/>
          <w:cols w:space="708"/>
        </w:sectPr>
      </w:pPr>
    </w:p>
    <w:p w:rsidR="00E809F1" w:rsidRDefault="00E809F1" w:rsidP="00E809F1">
      <w:pPr>
        <w:pStyle w:val="Caption"/>
        <w:keepNext/>
      </w:pPr>
      <w:bookmarkStart w:id="132" w:name="_Ref457994455"/>
      <w:bookmarkStart w:id="133" w:name="_Ref452984244"/>
      <w:r>
        <w:t xml:space="preserve">Table </w:t>
      </w:r>
      <w:fldSimple w:instr=" STYLEREF 6 \s ">
        <w:r w:rsidR="005D5925">
          <w:rPr>
            <w:noProof/>
          </w:rPr>
          <w:t>H</w:t>
        </w:r>
      </w:fldSimple>
      <w:r w:rsidR="005D4453">
        <w:noBreakHyphen/>
      </w:r>
      <w:fldSimple w:instr=" SEQ Table \* ARABIC \s 6 ">
        <w:r w:rsidR="005D5925">
          <w:rPr>
            <w:noProof/>
          </w:rPr>
          <w:t>3</w:t>
        </w:r>
      </w:fldSimple>
      <w:bookmarkEnd w:id="132"/>
      <w:r>
        <w:t xml:space="preserve">: </w:t>
      </w:r>
      <w:r w:rsidRPr="002374DC">
        <w:t>Fish collected during the 2015-2016 water year.</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109"/>
        <w:gridCol w:w="1003"/>
        <w:gridCol w:w="1004"/>
        <w:gridCol w:w="1004"/>
        <w:gridCol w:w="1004"/>
        <w:gridCol w:w="1004"/>
        <w:gridCol w:w="1004"/>
        <w:gridCol w:w="1004"/>
        <w:gridCol w:w="1004"/>
        <w:gridCol w:w="1004"/>
        <w:gridCol w:w="1004"/>
        <w:gridCol w:w="1004"/>
        <w:gridCol w:w="987"/>
      </w:tblGrid>
      <w:tr w:rsidR="00E809F1" w:rsidRPr="00E23B8D" w:rsidTr="00CC18AA">
        <w:trPr>
          <w:trHeight w:val="300"/>
        </w:trPr>
        <w:tc>
          <w:tcPr>
            <w:tcW w:w="746" w:type="pct"/>
            <w:vMerge w:val="restart"/>
            <w:shd w:val="clear" w:color="auto" w:fill="D9D9D9"/>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Species</w:t>
            </w:r>
          </w:p>
        </w:tc>
        <w:tc>
          <w:tcPr>
            <w:tcW w:w="2130" w:type="pct"/>
            <w:gridSpan w:val="6"/>
            <w:shd w:val="clear" w:color="auto" w:fill="D9D9D9"/>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Gwydir Wetland</w:t>
            </w:r>
          </w:p>
        </w:tc>
        <w:tc>
          <w:tcPr>
            <w:tcW w:w="1420" w:type="pct"/>
            <w:gridSpan w:val="4"/>
            <w:shd w:val="clear" w:color="auto" w:fill="D9D9D9"/>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Gingham Wetland</w:t>
            </w:r>
          </w:p>
        </w:tc>
        <w:tc>
          <w:tcPr>
            <w:tcW w:w="704" w:type="pct"/>
            <w:gridSpan w:val="2"/>
            <w:shd w:val="clear" w:color="auto" w:fill="D9D9D9"/>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Gwydir River</w:t>
            </w:r>
          </w:p>
        </w:tc>
      </w:tr>
      <w:tr w:rsidR="00E809F1" w:rsidRPr="00E23B8D" w:rsidTr="00CC18AA">
        <w:trPr>
          <w:trHeight w:val="300"/>
        </w:trPr>
        <w:tc>
          <w:tcPr>
            <w:tcW w:w="746" w:type="pct"/>
            <w:vMerge/>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p>
        </w:tc>
        <w:tc>
          <w:tcPr>
            <w:tcW w:w="710" w:type="pct"/>
            <w:gridSpan w:val="2"/>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Eastern Dam</w:t>
            </w:r>
          </w:p>
        </w:tc>
        <w:tc>
          <w:tcPr>
            <w:tcW w:w="710" w:type="pct"/>
            <w:gridSpan w:val="2"/>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Middle Dam</w:t>
            </w:r>
          </w:p>
        </w:tc>
        <w:tc>
          <w:tcPr>
            <w:tcW w:w="710" w:type="pct"/>
            <w:gridSpan w:val="2"/>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Western Dam</w:t>
            </w:r>
          </w:p>
        </w:tc>
        <w:tc>
          <w:tcPr>
            <w:tcW w:w="710" w:type="pct"/>
            <w:gridSpan w:val="2"/>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Bird Hide</w:t>
            </w:r>
          </w:p>
        </w:tc>
        <w:tc>
          <w:tcPr>
            <w:tcW w:w="710" w:type="pct"/>
            <w:gridSpan w:val="2"/>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Gingham Waterhole</w:t>
            </w:r>
          </w:p>
        </w:tc>
        <w:tc>
          <w:tcPr>
            <w:tcW w:w="704" w:type="pct"/>
            <w:gridSpan w:val="2"/>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Allambie Bridge</w:t>
            </w:r>
          </w:p>
        </w:tc>
      </w:tr>
      <w:tr w:rsidR="00E809F1" w:rsidRPr="00E23B8D" w:rsidTr="00CC18AA">
        <w:trPr>
          <w:trHeight w:val="300"/>
        </w:trPr>
        <w:tc>
          <w:tcPr>
            <w:tcW w:w="746" w:type="pct"/>
            <w:vMerge/>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p>
        </w:tc>
        <w:tc>
          <w:tcPr>
            <w:tcW w:w="355" w:type="pct"/>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Dec-15</w:t>
            </w:r>
          </w:p>
        </w:tc>
        <w:tc>
          <w:tcPr>
            <w:tcW w:w="355" w:type="pct"/>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Feb-16</w:t>
            </w:r>
          </w:p>
        </w:tc>
        <w:tc>
          <w:tcPr>
            <w:tcW w:w="355" w:type="pct"/>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Dec-15</w:t>
            </w:r>
          </w:p>
        </w:tc>
        <w:tc>
          <w:tcPr>
            <w:tcW w:w="355" w:type="pct"/>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Feb-16</w:t>
            </w:r>
          </w:p>
        </w:tc>
        <w:tc>
          <w:tcPr>
            <w:tcW w:w="355" w:type="pct"/>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Dec-15</w:t>
            </w:r>
          </w:p>
        </w:tc>
        <w:tc>
          <w:tcPr>
            <w:tcW w:w="355" w:type="pct"/>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Feb-16</w:t>
            </w:r>
          </w:p>
        </w:tc>
        <w:tc>
          <w:tcPr>
            <w:tcW w:w="355" w:type="pct"/>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Dec-15</w:t>
            </w:r>
          </w:p>
        </w:tc>
        <w:tc>
          <w:tcPr>
            <w:tcW w:w="355" w:type="pct"/>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Feb-16</w:t>
            </w:r>
          </w:p>
        </w:tc>
        <w:tc>
          <w:tcPr>
            <w:tcW w:w="355" w:type="pct"/>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Dec-15</w:t>
            </w:r>
          </w:p>
        </w:tc>
        <w:tc>
          <w:tcPr>
            <w:tcW w:w="355" w:type="pct"/>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Feb-16</w:t>
            </w:r>
          </w:p>
        </w:tc>
        <w:tc>
          <w:tcPr>
            <w:tcW w:w="355" w:type="pct"/>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Dec-15</w:t>
            </w:r>
          </w:p>
        </w:tc>
        <w:tc>
          <w:tcPr>
            <w:tcW w:w="349" w:type="pct"/>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Feb-16</w:t>
            </w:r>
          </w:p>
        </w:tc>
      </w:tr>
      <w:tr w:rsidR="00E809F1" w:rsidRPr="00E23B8D" w:rsidTr="00CB0896">
        <w:trPr>
          <w:trHeight w:val="510"/>
        </w:trPr>
        <w:tc>
          <w:tcPr>
            <w:tcW w:w="746" w:type="pct"/>
            <w:shd w:val="clear" w:color="auto" w:fill="auto"/>
            <w:vAlign w:val="center"/>
            <w:hideMark/>
          </w:tcPr>
          <w:p w:rsidR="00E809F1" w:rsidRPr="00E23B8D" w:rsidRDefault="00E809F1" w:rsidP="00433ED5">
            <w:pPr>
              <w:spacing w:before="60" w:after="60" w:line="240" w:lineRule="exact"/>
              <w:jc w:val="left"/>
              <w:rPr>
                <w:rFonts w:cs="Arial"/>
                <w:color w:val="000000"/>
                <w:szCs w:val="20"/>
                <w:lang w:eastAsia="en-AU"/>
              </w:rPr>
            </w:pPr>
            <w:r w:rsidRPr="00E23B8D">
              <w:rPr>
                <w:rFonts w:cs="Arial"/>
                <w:color w:val="000000"/>
                <w:szCs w:val="20"/>
                <w:lang w:eastAsia="en-AU"/>
              </w:rPr>
              <w:t xml:space="preserve">Carp </w:t>
            </w:r>
            <w:r w:rsidRPr="00E23B8D">
              <w:rPr>
                <w:rFonts w:cs="Arial"/>
                <w:color w:val="000000"/>
                <w:szCs w:val="20"/>
                <w:lang w:eastAsia="en-AU"/>
              </w:rPr>
              <w:br/>
              <w:t>(</w:t>
            </w:r>
            <w:r w:rsidRPr="00E23B8D">
              <w:rPr>
                <w:rFonts w:cs="Arial"/>
                <w:i/>
                <w:iCs/>
                <w:color w:val="000000"/>
                <w:szCs w:val="20"/>
                <w:lang w:eastAsia="en-AU"/>
              </w:rPr>
              <w:t>Cyprinus carpio)</w:t>
            </w:r>
          </w:p>
        </w:tc>
        <w:tc>
          <w:tcPr>
            <w:tcW w:w="355" w:type="pct"/>
            <w:shd w:val="clear" w:color="auto" w:fill="auto"/>
            <w:vAlign w:val="center"/>
            <w:hideMark/>
          </w:tcPr>
          <w:p w:rsidR="00E809F1" w:rsidRPr="00E23B8D" w:rsidRDefault="00E809F1" w:rsidP="00433ED5">
            <w:pPr>
              <w:spacing w:before="60" w:after="60" w:line="240" w:lineRule="exact"/>
              <w:jc w:val="center"/>
              <w:rPr>
                <w:rFonts w:cs="Arial"/>
                <w:color w:val="000000"/>
                <w:szCs w:val="20"/>
                <w:lang w:eastAsia="en-AU"/>
              </w:rPr>
            </w:pPr>
          </w:p>
        </w:tc>
        <w:tc>
          <w:tcPr>
            <w:tcW w:w="355" w:type="pct"/>
            <w:shd w:val="clear" w:color="auto" w:fill="auto"/>
            <w:vAlign w:val="center"/>
            <w:hideMark/>
          </w:tcPr>
          <w:p w:rsidR="00E809F1" w:rsidRPr="00E23B8D" w:rsidRDefault="00E809F1" w:rsidP="00433ED5">
            <w:pPr>
              <w:spacing w:before="60" w:after="60" w:line="240" w:lineRule="exact"/>
              <w:jc w:val="center"/>
              <w:rPr>
                <w:rFonts w:cs="Arial"/>
                <w:color w:val="000000"/>
                <w:szCs w:val="20"/>
                <w:lang w:eastAsia="en-AU"/>
              </w:rPr>
            </w:pPr>
          </w:p>
        </w:tc>
        <w:tc>
          <w:tcPr>
            <w:tcW w:w="355" w:type="pct"/>
            <w:shd w:val="clear" w:color="auto" w:fill="auto"/>
            <w:vAlign w:val="center"/>
            <w:hideMark/>
          </w:tcPr>
          <w:p w:rsidR="00E809F1" w:rsidRPr="00E23B8D" w:rsidRDefault="00E809F1" w:rsidP="00433ED5">
            <w:pPr>
              <w:spacing w:before="60" w:after="60" w:line="240" w:lineRule="exact"/>
              <w:jc w:val="center"/>
              <w:rPr>
                <w:rFonts w:cs="Arial"/>
                <w:color w:val="000000"/>
                <w:szCs w:val="20"/>
                <w:lang w:eastAsia="en-AU"/>
              </w:rPr>
            </w:pPr>
          </w:p>
        </w:tc>
        <w:tc>
          <w:tcPr>
            <w:tcW w:w="355" w:type="pct"/>
            <w:shd w:val="clear" w:color="auto" w:fill="auto"/>
            <w:vAlign w:val="center"/>
            <w:hideMark/>
          </w:tcPr>
          <w:p w:rsidR="00E809F1" w:rsidRPr="00E23B8D" w:rsidRDefault="00E809F1" w:rsidP="00433ED5">
            <w:pPr>
              <w:spacing w:before="60" w:after="60" w:line="240" w:lineRule="exact"/>
              <w:jc w:val="center"/>
              <w:rPr>
                <w:rFonts w:cs="Arial"/>
                <w:color w:val="000000"/>
                <w:szCs w:val="20"/>
                <w:lang w:eastAsia="en-AU"/>
              </w:rPr>
            </w:pPr>
          </w:p>
        </w:tc>
        <w:tc>
          <w:tcPr>
            <w:tcW w:w="355" w:type="pct"/>
            <w:shd w:val="clear" w:color="auto" w:fill="auto"/>
            <w:vAlign w:val="center"/>
            <w:hideMark/>
          </w:tcPr>
          <w:p w:rsidR="00E809F1" w:rsidRPr="00E23B8D" w:rsidRDefault="00E809F1" w:rsidP="002159C6">
            <w:pPr>
              <w:spacing w:before="60" w:after="60" w:line="240" w:lineRule="exact"/>
              <w:jc w:val="center"/>
              <w:rPr>
                <w:rFonts w:cs="Arial"/>
                <w:color w:val="000000"/>
                <w:szCs w:val="20"/>
                <w:lang w:eastAsia="en-AU"/>
              </w:rPr>
            </w:pPr>
            <w:r w:rsidRPr="00E23B8D">
              <w:rPr>
                <w:rFonts w:cs="Arial"/>
                <w:color w:val="000000"/>
                <w:szCs w:val="20"/>
                <w:lang w:eastAsia="en-AU"/>
              </w:rPr>
              <w:t>2</w:t>
            </w:r>
          </w:p>
        </w:tc>
        <w:tc>
          <w:tcPr>
            <w:tcW w:w="355" w:type="pct"/>
            <w:shd w:val="clear" w:color="auto" w:fill="auto"/>
            <w:vAlign w:val="center"/>
            <w:hideMark/>
          </w:tcPr>
          <w:p w:rsidR="00E809F1" w:rsidRPr="00E23B8D" w:rsidRDefault="00E809F1" w:rsidP="002159C6">
            <w:pPr>
              <w:spacing w:before="60" w:after="60" w:line="240" w:lineRule="exact"/>
              <w:jc w:val="center"/>
              <w:rPr>
                <w:rFonts w:cs="Arial"/>
                <w:color w:val="000000"/>
                <w:szCs w:val="20"/>
                <w:lang w:eastAsia="en-AU"/>
              </w:rPr>
            </w:pPr>
          </w:p>
        </w:tc>
        <w:tc>
          <w:tcPr>
            <w:tcW w:w="355" w:type="pct"/>
            <w:shd w:val="clear" w:color="auto" w:fill="auto"/>
            <w:vAlign w:val="center"/>
            <w:hideMark/>
          </w:tcPr>
          <w:p w:rsidR="00E809F1" w:rsidRPr="00E23B8D" w:rsidRDefault="00E809F1" w:rsidP="00704E86">
            <w:pPr>
              <w:spacing w:before="60" w:after="60" w:line="240" w:lineRule="exact"/>
              <w:jc w:val="center"/>
              <w:rPr>
                <w:rFonts w:cs="Arial"/>
                <w:color w:val="000000"/>
                <w:szCs w:val="20"/>
                <w:lang w:eastAsia="en-AU"/>
              </w:rPr>
            </w:pPr>
            <w:r w:rsidRPr="00E23B8D">
              <w:rPr>
                <w:rFonts w:cs="Arial"/>
                <w:color w:val="000000"/>
                <w:szCs w:val="20"/>
                <w:lang w:eastAsia="en-AU"/>
              </w:rPr>
              <w:t>2</w:t>
            </w:r>
          </w:p>
        </w:tc>
        <w:tc>
          <w:tcPr>
            <w:tcW w:w="355" w:type="pct"/>
            <w:shd w:val="clear" w:color="auto" w:fill="auto"/>
            <w:vAlign w:val="center"/>
            <w:hideMark/>
          </w:tcPr>
          <w:p w:rsidR="00E809F1" w:rsidRPr="00E23B8D" w:rsidRDefault="00E809F1" w:rsidP="00A5046E">
            <w:pPr>
              <w:spacing w:before="60" w:after="60" w:line="240" w:lineRule="exact"/>
              <w:jc w:val="center"/>
              <w:rPr>
                <w:rFonts w:cs="Arial"/>
                <w:color w:val="000000"/>
                <w:szCs w:val="20"/>
                <w:lang w:eastAsia="en-AU"/>
              </w:rPr>
            </w:pPr>
            <w:r w:rsidRPr="00E23B8D">
              <w:rPr>
                <w:rFonts w:cs="Arial"/>
                <w:color w:val="000000"/>
                <w:szCs w:val="20"/>
                <w:lang w:eastAsia="en-AU"/>
              </w:rPr>
              <w:t>6</w:t>
            </w:r>
          </w:p>
        </w:tc>
        <w:tc>
          <w:tcPr>
            <w:tcW w:w="355" w:type="pct"/>
            <w:shd w:val="clear" w:color="auto" w:fill="auto"/>
            <w:vAlign w:val="center"/>
            <w:hideMark/>
          </w:tcPr>
          <w:p w:rsidR="00E809F1" w:rsidRPr="00E23B8D" w:rsidRDefault="00E809F1" w:rsidP="00A5046E">
            <w:pPr>
              <w:spacing w:before="60" w:after="60" w:line="240" w:lineRule="exact"/>
              <w:jc w:val="center"/>
              <w:rPr>
                <w:rFonts w:cs="Arial"/>
                <w:color w:val="000000"/>
                <w:szCs w:val="20"/>
                <w:lang w:eastAsia="en-AU"/>
              </w:rPr>
            </w:pPr>
            <w:r w:rsidRPr="00E23B8D">
              <w:rPr>
                <w:rFonts w:cs="Arial"/>
                <w:color w:val="000000"/>
                <w:szCs w:val="20"/>
                <w:lang w:eastAsia="en-AU"/>
              </w:rPr>
              <w:t>3</w:t>
            </w:r>
          </w:p>
        </w:tc>
        <w:tc>
          <w:tcPr>
            <w:tcW w:w="355" w:type="pct"/>
            <w:shd w:val="clear" w:color="auto" w:fill="auto"/>
            <w:vAlign w:val="center"/>
            <w:hideMark/>
          </w:tcPr>
          <w:p w:rsidR="00E809F1" w:rsidRPr="00E23B8D" w:rsidRDefault="00E809F1" w:rsidP="00E060B9">
            <w:pPr>
              <w:spacing w:before="60" w:after="60" w:line="240" w:lineRule="exact"/>
              <w:jc w:val="center"/>
              <w:rPr>
                <w:rFonts w:cs="Arial"/>
                <w:color w:val="000000"/>
                <w:szCs w:val="20"/>
                <w:lang w:eastAsia="en-AU"/>
              </w:rPr>
            </w:pPr>
            <w:r w:rsidRPr="00E23B8D">
              <w:rPr>
                <w:rFonts w:cs="Arial"/>
                <w:color w:val="000000"/>
                <w:szCs w:val="20"/>
                <w:lang w:eastAsia="en-AU"/>
              </w:rPr>
              <w:t>1</w:t>
            </w:r>
          </w:p>
        </w:tc>
        <w:tc>
          <w:tcPr>
            <w:tcW w:w="355" w:type="pct"/>
            <w:shd w:val="clear" w:color="auto" w:fill="auto"/>
            <w:vAlign w:val="center"/>
            <w:hideMark/>
          </w:tcPr>
          <w:p w:rsidR="00E809F1" w:rsidRPr="00E23B8D" w:rsidRDefault="00E809F1" w:rsidP="009C1427">
            <w:pPr>
              <w:spacing w:before="60" w:after="60" w:line="240" w:lineRule="exact"/>
              <w:jc w:val="center"/>
              <w:rPr>
                <w:rFonts w:cs="Arial"/>
                <w:color w:val="000000"/>
                <w:szCs w:val="20"/>
                <w:lang w:eastAsia="en-AU"/>
              </w:rPr>
            </w:pPr>
          </w:p>
        </w:tc>
        <w:tc>
          <w:tcPr>
            <w:tcW w:w="349" w:type="pct"/>
            <w:shd w:val="clear" w:color="auto" w:fill="auto"/>
            <w:vAlign w:val="center"/>
            <w:hideMark/>
          </w:tcPr>
          <w:p w:rsidR="00E809F1" w:rsidRPr="00E23B8D" w:rsidRDefault="00E809F1" w:rsidP="009C1427">
            <w:pPr>
              <w:spacing w:before="60" w:after="60" w:line="240" w:lineRule="exact"/>
              <w:jc w:val="center"/>
              <w:rPr>
                <w:rFonts w:cs="Arial"/>
                <w:color w:val="000000"/>
                <w:szCs w:val="20"/>
                <w:lang w:eastAsia="en-AU"/>
              </w:rPr>
            </w:pPr>
            <w:r w:rsidRPr="00E23B8D">
              <w:rPr>
                <w:rFonts w:cs="Arial"/>
                <w:color w:val="000000"/>
                <w:szCs w:val="20"/>
                <w:lang w:eastAsia="en-AU"/>
              </w:rPr>
              <w:t>5</w:t>
            </w:r>
          </w:p>
        </w:tc>
      </w:tr>
      <w:tr w:rsidR="00E809F1" w:rsidRPr="00E23B8D" w:rsidTr="00CB0896">
        <w:trPr>
          <w:trHeight w:val="600"/>
        </w:trPr>
        <w:tc>
          <w:tcPr>
            <w:tcW w:w="746" w:type="pct"/>
            <w:shd w:val="clear" w:color="auto" w:fill="auto"/>
            <w:vAlign w:val="center"/>
            <w:hideMark/>
          </w:tcPr>
          <w:p w:rsidR="00E809F1" w:rsidRPr="00E23B8D" w:rsidRDefault="00E809F1" w:rsidP="00433ED5">
            <w:pPr>
              <w:spacing w:before="60" w:after="60" w:line="240" w:lineRule="exact"/>
              <w:jc w:val="left"/>
              <w:rPr>
                <w:rFonts w:cs="Arial"/>
                <w:color w:val="000000"/>
                <w:szCs w:val="20"/>
                <w:lang w:eastAsia="en-AU"/>
              </w:rPr>
            </w:pPr>
            <w:r w:rsidRPr="00E23B8D">
              <w:rPr>
                <w:rFonts w:cs="Arial"/>
                <w:color w:val="000000"/>
                <w:szCs w:val="20"/>
                <w:lang w:eastAsia="en-AU"/>
              </w:rPr>
              <w:t>Mosquitofish</w:t>
            </w:r>
            <w:r w:rsidRPr="00E23B8D">
              <w:rPr>
                <w:rFonts w:cs="Arial"/>
                <w:color w:val="000000"/>
                <w:szCs w:val="20"/>
                <w:lang w:eastAsia="en-AU"/>
              </w:rPr>
              <w:br/>
              <w:t>(</w:t>
            </w:r>
            <w:r w:rsidRPr="00E23B8D">
              <w:rPr>
                <w:rFonts w:cs="Arial"/>
                <w:i/>
                <w:iCs/>
                <w:color w:val="000000"/>
                <w:szCs w:val="20"/>
                <w:lang w:eastAsia="en-AU"/>
              </w:rPr>
              <w:t>Gambusia holbrooki</w:t>
            </w:r>
            <w:r w:rsidRPr="00E23B8D">
              <w:rPr>
                <w:rFonts w:cs="Arial"/>
                <w:color w:val="000000"/>
                <w:szCs w:val="20"/>
                <w:lang w:eastAsia="en-AU"/>
              </w:rPr>
              <w:t>)</w:t>
            </w:r>
          </w:p>
        </w:tc>
        <w:tc>
          <w:tcPr>
            <w:tcW w:w="355" w:type="pct"/>
            <w:shd w:val="clear" w:color="auto" w:fill="auto"/>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78</w:t>
            </w:r>
          </w:p>
        </w:tc>
        <w:tc>
          <w:tcPr>
            <w:tcW w:w="355" w:type="pct"/>
            <w:shd w:val="clear" w:color="auto" w:fill="auto"/>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23</w:t>
            </w:r>
          </w:p>
        </w:tc>
        <w:tc>
          <w:tcPr>
            <w:tcW w:w="355" w:type="pct"/>
            <w:shd w:val="clear" w:color="auto" w:fill="auto"/>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230</w:t>
            </w:r>
          </w:p>
        </w:tc>
        <w:tc>
          <w:tcPr>
            <w:tcW w:w="355" w:type="pct"/>
            <w:shd w:val="clear" w:color="auto" w:fill="auto"/>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20</w:t>
            </w:r>
          </w:p>
        </w:tc>
        <w:tc>
          <w:tcPr>
            <w:tcW w:w="355" w:type="pct"/>
            <w:shd w:val="clear" w:color="auto" w:fill="auto"/>
            <w:vAlign w:val="center"/>
            <w:hideMark/>
          </w:tcPr>
          <w:p w:rsidR="00E809F1" w:rsidRPr="00E23B8D" w:rsidRDefault="00E809F1" w:rsidP="002159C6">
            <w:pPr>
              <w:spacing w:before="60" w:after="60" w:line="240" w:lineRule="exact"/>
              <w:jc w:val="center"/>
              <w:rPr>
                <w:rFonts w:cs="Arial"/>
                <w:color w:val="000000"/>
                <w:szCs w:val="20"/>
                <w:lang w:eastAsia="en-AU"/>
              </w:rPr>
            </w:pPr>
            <w:r w:rsidRPr="00E23B8D">
              <w:rPr>
                <w:rFonts w:cs="Arial"/>
                <w:color w:val="000000"/>
                <w:szCs w:val="20"/>
                <w:lang w:eastAsia="en-AU"/>
              </w:rPr>
              <w:t>1000</w:t>
            </w:r>
          </w:p>
        </w:tc>
        <w:tc>
          <w:tcPr>
            <w:tcW w:w="355" w:type="pct"/>
            <w:shd w:val="clear" w:color="auto" w:fill="auto"/>
            <w:vAlign w:val="center"/>
            <w:hideMark/>
          </w:tcPr>
          <w:p w:rsidR="00E809F1" w:rsidRPr="00E23B8D" w:rsidRDefault="00E809F1" w:rsidP="002159C6">
            <w:pPr>
              <w:spacing w:before="60" w:after="60" w:line="240" w:lineRule="exact"/>
              <w:jc w:val="center"/>
              <w:rPr>
                <w:rFonts w:cs="Arial"/>
                <w:color w:val="000000"/>
                <w:szCs w:val="20"/>
                <w:lang w:eastAsia="en-AU"/>
              </w:rPr>
            </w:pPr>
          </w:p>
        </w:tc>
        <w:tc>
          <w:tcPr>
            <w:tcW w:w="355" w:type="pct"/>
            <w:shd w:val="clear" w:color="auto" w:fill="auto"/>
            <w:vAlign w:val="center"/>
            <w:hideMark/>
          </w:tcPr>
          <w:p w:rsidR="00E809F1" w:rsidRPr="00E23B8D" w:rsidRDefault="00E809F1" w:rsidP="00704E86">
            <w:pPr>
              <w:spacing w:before="60" w:after="60" w:line="240" w:lineRule="exact"/>
              <w:jc w:val="center"/>
              <w:rPr>
                <w:rFonts w:cs="Arial"/>
                <w:color w:val="000000"/>
                <w:szCs w:val="20"/>
                <w:lang w:eastAsia="en-AU"/>
              </w:rPr>
            </w:pPr>
            <w:r w:rsidRPr="00E23B8D">
              <w:rPr>
                <w:rFonts w:cs="Arial"/>
                <w:color w:val="000000"/>
                <w:szCs w:val="20"/>
                <w:lang w:eastAsia="en-AU"/>
              </w:rPr>
              <w:t>230</w:t>
            </w:r>
          </w:p>
        </w:tc>
        <w:tc>
          <w:tcPr>
            <w:tcW w:w="355" w:type="pct"/>
            <w:shd w:val="clear" w:color="auto" w:fill="auto"/>
            <w:vAlign w:val="center"/>
            <w:hideMark/>
          </w:tcPr>
          <w:p w:rsidR="00E809F1" w:rsidRPr="00E23B8D" w:rsidRDefault="00E809F1" w:rsidP="00A5046E">
            <w:pPr>
              <w:spacing w:before="60" w:after="60" w:line="240" w:lineRule="exact"/>
              <w:jc w:val="center"/>
              <w:rPr>
                <w:rFonts w:cs="Arial"/>
                <w:color w:val="000000"/>
                <w:szCs w:val="20"/>
                <w:lang w:eastAsia="en-AU"/>
              </w:rPr>
            </w:pPr>
            <w:r w:rsidRPr="00E23B8D">
              <w:rPr>
                <w:rFonts w:cs="Arial"/>
                <w:color w:val="000000"/>
                <w:szCs w:val="20"/>
                <w:lang w:eastAsia="en-AU"/>
              </w:rPr>
              <w:t>12</w:t>
            </w:r>
          </w:p>
        </w:tc>
        <w:tc>
          <w:tcPr>
            <w:tcW w:w="355" w:type="pct"/>
            <w:shd w:val="clear" w:color="auto" w:fill="auto"/>
            <w:vAlign w:val="center"/>
            <w:hideMark/>
          </w:tcPr>
          <w:p w:rsidR="00E809F1" w:rsidRPr="00E23B8D" w:rsidRDefault="00E809F1" w:rsidP="00A5046E">
            <w:pPr>
              <w:spacing w:before="60" w:after="60" w:line="240" w:lineRule="exact"/>
              <w:jc w:val="center"/>
              <w:rPr>
                <w:rFonts w:cs="Arial"/>
                <w:color w:val="000000"/>
                <w:szCs w:val="20"/>
                <w:lang w:eastAsia="en-AU"/>
              </w:rPr>
            </w:pPr>
            <w:r w:rsidRPr="00E23B8D">
              <w:rPr>
                <w:rFonts w:cs="Arial"/>
                <w:color w:val="000000"/>
                <w:szCs w:val="20"/>
                <w:lang w:eastAsia="en-AU"/>
              </w:rPr>
              <w:t>100</w:t>
            </w:r>
          </w:p>
        </w:tc>
        <w:tc>
          <w:tcPr>
            <w:tcW w:w="355" w:type="pct"/>
            <w:shd w:val="clear" w:color="auto" w:fill="auto"/>
            <w:vAlign w:val="center"/>
            <w:hideMark/>
          </w:tcPr>
          <w:p w:rsidR="00E809F1" w:rsidRPr="00E23B8D" w:rsidRDefault="00E809F1" w:rsidP="00E060B9">
            <w:pPr>
              <w:spacing w:before="60" w:after="60" w:line="240" w:lineRule="exact"/>
              <w:jc w:val="center"/>
              <w:rPr>
                <w:rFonts w:cs="Arial"/>
                <w:color w:val="000000"/>
                <w:szCs w:val="20"/>
                <w:lang w:eastAsia="en-AU"/>
              </w:rPr>
            </w:pPr>
            <w:r w:rsidRPr="00E23B8D">
              <w:rPr>
                <w:rFonts w:cs="Arial"/>
                <w:color w:val="000000"/>
                <w:szCs w:val="20"/>
                <w:lang w:eastAsia="en-AU"/>
              </w:rPr>
              <w:t>2</w:t>
            </w:r>
          </w:p>
        </w:tc>
        <w:tc>
          <w:tcPr>
            <w:tcW w:w="355" w:type="pct"/>
            <w:shd w:val="clear" w:color="auto" w:fill="auto"/>
            <w:vAlign w:val="center"/>
            <w:hideMark/>
          </w:tcPr>
          <w:p w:rsidR="00E809F1" w:rsidRPr="00E23B8D" w:rsidRDefault="00E809F1" w:rsidP="009C1427">
            <w:pPr>
              <w:spacing w:before="60" w:after="60" w:line="240" w:lineRule="exact"/>
              <w:jc w:val="center"/>
              <w:rPr>
                <w:rFonts w:cs="Arial"/>
                <w:color w:val="000000"/>
                <w:szCs w:val="20"/>
                <w:lang w:eastAsia="en-AU"/>
              </w:rPr>
            </w:pPr>
            <w:r w:rsidRPr="00E23B8D">
              <w:rPr>
                <w:rFonts w:cs="Arial"/>
                <w:color w:val="000000"/>
                <w:szCs w:val="20"/>
                <w:lang w:eastAsia="en-AU"/>
              </w:rPr>
              <w:t>120</w:t>
            </w:r>
          </w:p>
        </w:tc>
        <w:tc>
          <w:tcPr>
            <w:tcW w:w="349" w:type="pct"/>
            <w:shd w:val="clear" w:color="auto" w:fill="auto"/>
            <w:vAlign w:val="center"/>
            <w:hideMark/>
          </w:tcPr>
          <w:p w:rsidR="00E809F1" w:rsidRPr="00E23B8D" w:rsidRDefault="00E809F1" w:rsidP="009C1427">
            <w:pPr>
              <w:spacing w:before="60" w:after="60" w:line="240" w:lineRule="exact"/>
              <w:jc w:val="center"/>
              <w:rPr>
                <w:rFonts w:cs="Arial"/>
                <w:color w:val="000000"/>
                <w:szCs w:val="20"/>
                <w:lang w:eastAsia="en-AU"/>
              </w:rPr>
            </w:pPr>
          </w:p>
        </w:tc>
      </w:tr>
      <w:tr w:rsidR="00E809F1" w:rsidRPr="00E23B8D" w:rsidTr="00CB0896">
        <w:trPr>
          <w:trHeight w:val="765"/>
        </w:trPr>
        <w:tc>
          <w:tcPr>
            <w:tcW w:w="746" w:type="pct"/>
            <w:shd w:val="clear" w:color="auto" w:fill="auto"/>
            <w:vAlign w:val="center"/>
            <w:hideMark/>
          </w:tcPr>
          <w:p w:rsidR="00E809F1" w:rsidRPr="00E23B8D" w:rsidRDefault="00E809F1" w:rsidP="00433ED5">
            <w:pPr>
              <w:spacing w:before="60" w:after="60" w:line="240" w:lineRule="exact"/>
              <w:jc w:val="left"/>
              <w:rPr>
                <w:rFonts w:cs="Arial"/>
                <w:color w:val="000000"/>
                <w:szCs w:val="20"/>
                <w:lang w:eastAsia="en-AU"/>
              </w:rPr>
            </w:pPr>
            <w:r w:rsidRPr="00E23B8D">
              <w:rPr>
                <w:rFonts w:cs="Arial"/>
                <w:color w:val="000000"/>
                <w:szCs w:val="20"/>
                <w:lang w:eastAsia="en-AU"/>
              </w:rPr>
              <w:t>Spangled perch</w:t>
            </w:r>
            <w:r w:rsidRPr="00E23B8D">
              <w:rPr>
                <w:rFonts w:cs="Arial"/>
                <w:color w:val="000000"/>
                <w:szCs w:val="20"/>
                <w:lang w:eastAsia="en-AU"/>
              </w:rPr>
              <w:br/>
              <w:t>(</w:t>
            </w:r>
            <w:r w:rsidRPr="00E23B8D">
              <w:rPr>
                <w:rFonts w:cs="Arial"/>
                <w:i/>
                <w:iCs/>
                <w:color w:val="000000"/>
                <w:szCs w:val="20"/>
                <w:lang w:eastAsia="en-AU"/>
              </w:rPr>
              <w:t>Leiopotherapon unicolor</w:t>
            </w:r>
            <w:r w:rsidRPr="00E23B8D">
              <w:rPr>
                <w:rFonts w:cs="Arial"/>
                <w:color w:val="000000"/>
                <w:szCs w:val="20"/>
                <w:lang w:eastAsia="en-AU"/>
              </w:rPr>
              <w:t>)</w:t>
            </w:r>
          </w:p>
        </w:tc>
        <w:tc>
          <w:tcPr>
            <w:tcW w:w="355" w:type="pct"/>
            <w:shd w:val="clear" w:color="auto" w:fill="auto"/>
            <w:vAlign w:val="center"/>
            <w:hideMark/>
          </w:tcPr>
          <w:p w:rsidR="00E809F1" w:rsidRPr="00E23B8D" w:rsidRDefault="00E809F1" w:rsidP="00433ED5">
            <w:pPr>
              <w:spacing w:before="60" w:after="60" w:line="240" w:lineRule="exact"/>
              <w:jc w:val="center"/>
              <w:rPr>
                <w:rFonts w:cs="Arial"/>
                <w:color w:val="000000"/>
                <w:szCs w:val="20"/>
                <w:lang w:eastAsia="en-AU"/>
              </w:rPr>
            </w:pPr>
          </w:p>
        </w:tc>
        <w:tc>
          <w:tcPr>
            <w:tcW w:w="355" w:type="pct"/>
            <w:shd w:val="clear" w:color="auto" w:fill="auto"/>
            <w:vAlign w:val="center"/>
            <w:hideMark/>
          </w:tcPr>
          <w:p w:rsidR="00E809F1" w:rsidRPr="00E23B8D" w:rsidRDefault="00E809F1" w:rsidP="00433ED5">
            <w:pPr>
              <w:spacing w:before="60" w:after="60" w:line="240" w:lineRule="exact"/>
              <w:jc w:val="center"/>
              <w:rPr>
                <w:rFonts w:cs="Arial"/>
                <w:color w:val="000000"/>
                <w:szCs w:val="20"/>
                <w:lang w:eastAsia="en-AU"/>
              </w:rPr>
            </w:pPr>
          </w:p>
        </w:tc>
        <w:tc>
          <w:tcPr>
            <w:tcW w:w="355" w:type="pct"/>
            <w:shd w:val="clear" w:color="auto" w:fill="auto"/>
            <w:vAlign w:val="center"/>
            <w:hideMark/>
          </w:tcPr>
          <w:p w:rsidR="00E809F1" w:rsidRPr="00E23B8D" w:rsidRDefault="00E809F1" w:rsidP="00433ED5">
            <w:pPr>
              <w:spacing w:before="60" w:after="60" w:line="240" w:lineRule="exact"/>
              <w:jc w:val="center"/>
              <w:rPr>
                <w:rFonts w:cs="Arial"/>
                <w:color w:val="000000"/>
                <w:szCs w:val="20"/>
                <w:lang w:eastAsia="en-AU"/>
              </w:rPr>
            </w:pPr>
          </w:p>
        </w:tc>
        <w:tc>
          <w:tcPr>
            <w:tcW w:w="355" w:type="pct"/>
            <w:shd w:val="clear" w:color="auto" w:fill="auto"/>
            <w:vAlign w:val="center"/>
            <w:hideMark/>
          </w:tcPr>
          <w:p w:rsidR="00E809F1" w:rsidRPr="00E23B8D" w:rsidRDefault="00E809F1" w:rsidP="00433ED5">
            <w:pPr>
              <w:spacing w:before="60" w:after="60" w:line="240" w:lineRule="exact"/>
              <w:jc w:val="center"/>
              <w:rPr>
                <w:rFonts w:cs="Arial"/>
                <w:color w:val="000000"/>
                <w:szCs w:val="20"/>
                <w:lang w:eastAsia="en-AU"/>
              </w:rPr>
            </w:pPr>
          </w:p>
        </w:tc>
        <w:tc>
          <w:tcPr>
            <w:tcW w:w="355" w:type="pct"/>
            <w:shd w:val="clear" w:color="auto" w:fill="auto"/>
            <w:vAlign w:val="center"/>
            <w:hideMark/>
          </w:tcPr>
          <w:p w:rsidR="00E809F1" w:rsidRPr="00E23B8D" w:rsidRDefault="00E809F1" w:rsidP="002159C6">
            <w:pPr>
              <w:spacing w:before="60" w:after="60" w:line="240" w:lineRule="exact"/>
              <w:jc w:val="center"/>
              <w:rPr>
                <w:rFonts w:cs="Arial"/>
                <w:color w:val="000000"/>
                <w:szCs w:val="20"/>
                <w:lang w:eastAsia="en-AU"/>
              </w:rPr>
            </w:pPr>
          </w:p>
        </w:tc>
        <w:tc>
          <w:tcPr>
            <w:tcW w:w="355" w:type="pct"/>
            <w:shd w:val="clear" w:color="auto" w:fill="auto"/>
            <w:vAlign w:val="center"/>
            <w:hideMark/>
          </w:tcPr>
          <w:p w:rsidR="00E809F1" w:rsidRPr="00E23B8D" w:rsidRDefault="00E809F1" w:rsidP="002159C6">
            <w:pPr>
              <w:spacing w:before="60" w:after="60" w:line="240" w:lineRule="exact"/>
              <w:jc w:val="center"/>
              <w:rPr>
                <w:rFonts w:cs="Arial"/>
                <w:color w:val="000000"/>
                <w:szCs w:val="20"/>
                <w:lang w:eastAsia="en-AU"/>
              </w:rPr>
            </w:pPr>
            <w:r w:rsidRPr="00E23B8D">
              <w:rPr>
                <w:rFonts w:cs="Arial"/>
                <w:color w:val="000000"/>
                <w:szCs w:val="20"/>
                <w:lang w:eastAsia="en-AU"/>
              </w:rPr>
              <w:t>570</w:t>
            </w:r>
          </w:p>
        </w:tc>
        <w:tc>
          <w:tcPr>
            <w:tcW w:w="355" w:type="pct"/>
            <w:shd w:val="clear" w:color="auto" w:fill="auto"/>
            <w:vAlign w:val="center"/>
            <w:hideMark/>
          </w:tcPr>
          <w:p w:rsidR="00E809F1" w:rsidRPr="00E23B8D" w:rsidRDefault="00E809F1" w:rsidP="00704E86">
            <w:pPr>
              <w:spacing w:before="60" w:after="60" w:line="240" w:lineRule="exact"/>
              <w:jc w:val="center"/>
              <w:rPr>
                <w:rFonts w:cs="Arial"/>
                <w:color w:val="000000"/>
                <w:szCs w:val="20"/>
                <w:lang w:eastAsia="en-AU"/>
              </w:rPr>
            </w:pPr>
          </w:p>
        </w:tc>
        <w:tc>
          <w:tcPr>
            <w:tcW w:w="355" w:type="pct"/>
            <w:shd w:val="clear" w:color="auto" w:fill="auto"/>
            <w:vAlign w:val="center"/>
            <w:hideMark/>
          </w:tcPr>
          <w:p w:rsidR="00E809F1" w:rsidRPr="00E23B8D" w:rsidRDefault="00E809F1" w:rsidP="00A5046E">
            <w:pPr>
              <w:spacing w:before="60" w:after="60" w:line="240" w:lineRule="exact"/>
              <w:jc w:val="center"/>
              <w:rPr>
                <w:rFonts w:cs="Arial"/>
                <w:color w:val="000000"/>
                <w:szCs w:val="20"/>
                <w:lang w:eastAsia="en-AU"/>
              </w:rPr>
            </w:pPr>
            <w:r w:rsidRPr="00E23B8D">
              <w:rPr>
                <w:rFonts w:cs="Arial"/>
                <w:color w:val="000000"/>
                <w:szCs w:val="20"/>
                <w:lang w:eastAsia="en-AU"/>
              </w:rPr>
              <w:t>1</w:t>
            </w:r>
          </w:p>
        </w:tc>
        <w:tc>
          <w:tcPr>
            <w:tcW w:w="355" w:type="pct"/>
            <w:shd w:val="clear" w:color="auto" w:fill="auto"/>
            <w:vAlign w:val="center"/>
            <w:hideMark/>
          </w:tcPr>
          <w:p w:rsidR="00E809F1" w:rsidRPr="00E23B8D" w:rsidRDefault="00E809F1" w:rsidP="00A5046E">
            <w:pPr>
              <w:spacing w:before="60" w:after="60" w:line="240" w:lineRule="exact"/>
              <w:jc w:val="center"/>
              <w:rPr>
                <w:rFonts w:cs="Arial"/>
                <w:color w:val="000000"/>
                <w:szCs w:val="20"/>
                <w:lang w:eastAsia="en-AU"/>
              </w:rPr>
            </w:pPr>
            <w:r w:rsidRPr="00E23B8D">
              <w:rPr>
                <w:rFonts w:cs="Arial"/>
                <w:color w:val="000000"/>
                <w:szCs w:val="20"/>
                <w:lang w:eastAsia="en-AU"/>
              </w:rPr>
              <w:t>2</w:t>
            </w:r>
          </w:p>
        </w:tc>
        <w:tc>
          <w:tcPr>
            <w:tcW w:w="355" w:type="pct"/>
            <w:shd w:val="clear" w:color="auto" w:fill="auto"/>
            <w:vAlign w:val="center"/>
            <w:hideMark/>
          </w:tcPr>
          <w:p w:rsidR="00E809F1" w:rsidRPr="00E23B8D" w:rsidRDefault="00E809F1" w:rsidP="00E060B9">
            <w:pPr>
              <w:spacing w:before="60" w:after="60" w:line="240" w:lineRule="exact"/>
              <w:jc w:val="center"/>
              <w:rPr>
                <w:rFonts w:cs="Arial"/>
                <w:color w:val="000000"/>
                <w:szCs w:val="20"/>
                <w:lang w:eastAsia="en-AU"/>
              </w:rPr>
            </w:pPr>
            <w:r w:rsidRPr="00E23B8D">
              <w:rPr>
                <w:rFonts w:cs="Arial"/>
                <w:color w:val="000000"/>
                <w:szCs w:val="20"/>
                <w:lang w:eastAsia="en-AU"/>
              </w:rPr>
              <w:t>7</w:t>
            </w:r>
          </w:p>
        </w:tc>
        <w:tc>
          <w:tcPr>
            <w:tcW w:w="355" w:type="pct"/>
            <w:shd w:val="clear" w:color="auto" w:fill="auto"/>
            <w:vAlign w:val="center"/>
            <w:hideMark/>
          </w:tcPr>
          <w:p w:rsidR="00E809F1" w:rsidRPr="00E23B8D" w:rsidRDefault="00E809F1" w:rsidP="009C1427">
            <w:pPr>
              <w:spacing w:before="60" w:after="60" w:line="240" w:lineRule="exact"/>
              <w:jc w:val="center"/>
              <w:rPr>
                <w:rFonts w:cs="Arial"/>
                <w:color w:val="000000"/>
                <w:szCs w:val="20"/>
                <w:lang w:eastAsia="en-AU"/>
              </w:rPr>
            </w:pPr>
          </w:p>
        </w:tc>
        <w:tc>
          <w:tcPr>
            <w:tcW w:w="349" w:type="pct"/>
            <w:shd w:val="clear" w:color="auto" w:fill="auto"/>
            <w:vAlign w:val="center"/>
            <w:hideMark/>
          </w:tcPr>
          <w:p w:rsidR="00E809F1" w:rsidRPr="00E23B8D" w:rsidRDefault="00E809F1" w:rsidP="009C1427">
            <w:pPr>
              <w:spacing w:before="60" w:after="60" w:line="240" w:lineRule="exact"/>
              <w:jc w:val="center"/>
              <w:rPr>
                <w:rFonts w:cs="Arial"/>
                <w:color w:val="000000"/>
                <w:szCs w:val="20"/>
                <w:lang w:eastAsia="en-AU"/>
              </w:rPr>
            </w:pPr>
            <w:r w:rsidRPr="00E23B8D">
              <w:rPr>
                <w:rFonts w:cs="Arial"/>
                <w:color w:val="000000"/>
                <w:szCs w:val="20"/>
                <w:lang w:eastAsia="en-AU"/>
              </w:rPr>
              <w:t>20</w:t>
            </w:r>
          </w:p>
        </w:tc>
      </w:tr>
      <w:tr w:rsidR="00E809F1" w:rsidRPr="00E23B8D" w:rsidTr="00CB0896">
        <w:trPr>
          <w:trHeight w:val="1020"/>
        </w:trPr>
        <w:tc>
          <w:tcPr>
            <w:tcW w:w="746" w:type="pct"/>
            <w:shd w:val="clear" w:color="auto" w:fill="auto"/>
            <w:vAlign w:val="center"/>
            <w:hideMark/>
          </w:tcPr>
          <w:p w:rsidR="00E809F1" w:rsidRPr="00E23B8D" w:rsidRDefault="00E809F1" w:rsidP="00433ED5">
            <w:pPr>
              <w:spacing w:before="60" w:after="60" w:line="240" w:lineRule="exact"/>
              <w:jc w:val="left"/>
              <w:rPr>
                <w:rFonts w:cs="Arial"/>
                <w:color w:val="000000"/>
                <w:szCs w:val="20"/>
                <w:lang w:eastAsia="en-AU"/>
              </w:rPr>
            </w:pPr>
            <w:r w:rsidRPr="00E23B8D">
              <w:rPr>
                <w:rFonts w:cs="Arial"/>
                <w:color w:val="000000"/>
                <w:szCs w:val="20"/>
                <w:lang w:eastAsia="en-AU"/>
              </w:rPr>
              <w:t>Fly-specked hardyhead</w:t>
            </w:r>
            <w:r w:rsidRPr="00E23B8D">
              <w:rPr>
                <w:rFonts w:cs="Arial"/>
                <w:color w:val="000000"/>
                <w:szCs w:val="20"/>
                <w:lang w:eastAsia="en-AU"/>
              </w:rPr>
              <w:br/>
              <w:t>(</w:t>
            </w:r>
            <w:r w:rsidRPr="00E23B8D">
              <w:rPr>
                <w:rFonts w:cs="Arial"/>
                <w:i/>
                <w:iCs/>
                <w:color w:val="000000"/>
                <w:szCs w:val="20"/>
                <w:lang w:eastAsia="en-AU"/>
              </w:rPr>
              <w:t>Craterocephalus stercusmuscarum</w:t>
            </w:r>
            <w:r w:rsidRPr="00E23B8D">
              <w:rPr>
                <w:rFonts w:cs="Arial"/>
                <w:color w:val="000000"/>
                <w:szCs w:val="20"/>
                <w:lang w:eastAsia="en-AU"/>
              </w:rPr>
              <w:t>)</w:t>
            </w:r>
          </w:p>
        </w:tc>
        <w:tc>
          <w:tcPr>
            <w:tcW w:w="355" w:type="pct"/>
            <w:shd w:val="clear" w:color="auto" w:fill="auto"/>
            <w:vAlign w:val="center"/>
            <w:hideMark/>
          </w:tcPr>
          <w:p w:rsidR="00E809F1" w:rsidRPr="00E23B8D" w:rsidRDefault="00E809F1" w:rsidP="00433ED5">
            <w:pPr>
              <w:spacing w:before="60" w:after="60" w:line="240" w:lineRule="exact"/>
              <w:jc w:val="center"/>
              <w:rPr>
                <w:rFonts w:cs="Arial"/>
                <w:color w:val="000000"/>
                <w:szCs w:val="20"/>
                <w:lang w:eastAsia="en-AU"/>
              </w:rPr>
            </w:pPr>
          </w:p>
        </w:tc>
        <w:tc>
          <w:tcPr>
            <w:tcW w:w="355" w:type="pct"/>
            <w:shd w:val="clear" w:color="auto" w:fill="auto"/>
            <w:vAlign w:val="center"/>
            <w:hideMark/>
          </w:tcPr>
          <w:p w:rsidR="00E809F1" w:rsidRPr="00E23B8D" w:rsidRDefault="00E809F1" w:rsidP="00433ED5">
            <w:pPr>
              <w:spacing w:before="60" w:after="60" w:line="240" w:lineRule="exact"/>
              <w:jc w:val="center"/>
              <w:rPr>
                <w:rFonts w:cs="Arial"/>
                <w:color w:val="000000"/>
                <w:szCs w:val="20"/>
                <w:lang w:eastAsia="en-AU"/>
              </w:rPr>
            </w:pPr>
          </w:p>
        </w:tc>
        <w:tc>
          <w:tcPr>
            <w:tcW w:w="355" w:type="pct"/>
            <w:shd w:val="clear" w:color="auto" w:fill="auto"/>
            <w:vAlign w:val="center"/>
            <w:hideMark/>
          </w:tcPr>
          <w:p w:rsidR="00E809F1" w:rsidRPr="00E23B8D" w:rsidRDefault="00E809F1" w:rsidP="00433ED5">
            <w:pPr>
              <w:spacing w:before="60" w:after="60" w:line="240" w:lineRule="exact"/>
              <w:jc w:val="center"/>
              <w:rPr>
                <w:rFonts w:cs="Arial"/>
                <w:color w:val="000000"/>
                <w:szCs w:val="20"/>
                <w:lang w:eastAsia="en-AU"/>
              </w:rPr>
            </w:pPr>
          </w:p>
        </w:tc>
        <w:tc>
          <w:tcPr>
            <w:tcW w:w="355" w:type="pct"/>
            <w:shd w:val="clear" w:color="auto" w:fill="auto"/>
            <w:vAlign w:val="center"/>
            <w:hideMark/>
          </w:tcPr>
          <w:p w:rsidR="00E809F1" w:rsidRPr="00E23B8D" w:rsidRDefault="00E809F1" w:rsidP="00433ED5">
            <w:pPr>
              <w:spacing w:before="60" w:after="60" w:line="240" w:lineRule="exact"/>
              <w:jc w:val="center"/>
              <w:rPr>
                <w:rFonts w:cs="Arial"/>
                <w:color w:val="000000"/>
                <w:szCs w:val="20"/>
                <w:lang w:eastAsia="en-AU"/>
              </w:rPr>
            </w:pPr>
          </w:p>
        </w:tc>
        <w:tc>
          <w:tcPr>
            <w:tcW w:w="355" w:type="pct"/>
            <w:shd w:val="clear" w:color="auto" w:fill="auto"/>
            <w:vAlign w:val="center"/>
            <w:hideMark/>
          </w:tcPr>
          <w:p w:rsidR="00E809F1" w:rsidRPr="00E23B8D" w:rsidRDefault="00E809F1" w:rsidP="002159C6">
            <w:pPr>
              <w:spacing w:before="60" w:after="60" w:line="240" w:lineRule="exact"/>
              <w:jc w:val="center"/>
              <w:rPr>
                <w:rFonts w:cs="Arial"/>
                <w:color w:val="000000"/>
                <w:szCs w:val="20"/>
                <w:lang w:eastAsia="en-AU"/>
              </w:rPr>
            </w:pPr>
          </w:p>
        </w:tc>
        <w:tc>
          <w:tcPr>
            <w:tcW w:w="355" w:type="pct"/>
            <w:shd w:val="clear" w:color="auto" w:fill="auto"/>
            <w:vAlign w:val="center"/>
            <w:hideMark/>
          </w:tcPr>
          <w:p w:rsidR="00E809F1" w:rsidRPr="00E23B8D" w:rsidRDefault="00E809F1" w:rsidP="002159C6">
            <w:pPr>
              <w:spacing w:before="60" w:after="60" w:line="240" w:lineRule="exact"/>
              <w:jc w:val="center"/>
              <w:rPr>
                <w:rFonts w:cs="Arial"/>
                <w:color w:val="000000"/>
                <w:szCs w:val="20"/>
                <w:lang w:eastAsia="en-AU"/>
              </w:rPr>
            </w:pPr>
          </w:p>
        </w:tc>
        <w:tc>
          <w:tcPr>
            <w:tcW w:w="355" w:type="pct"/>
            <w:shd w:val="clear" w:color="auto" w:fill="auto"/>
            <w:vAlign w:val="center"/>
            <w:hideMark/>
          </w:tcPr>
          <w:p w:rsidR="00E809F1" w:rsidRPr="00E23B8D" w:rsidRDefault="00E809F1" w:rsidP="00704E86">
            <w:pPr>
              <w:spacing w:before="60" w:after="60" w:line="240" w:lineRule="exact"/>
              <w:jc w:val="center"/>
              <w:rPr>
                <w:rFonts w:cs="Arial"/>
                <w:color w:val="000000"/>
                <w:szCs w:val="20"/>
                <w:lang w:eastAsia="en-AU"/>
              </w:rPr>
            </w:pPr>
          </w:p>
        </w:tc>
        <w:tc>
          <w:tcPr>
            <w:tcW w:w="355" w:type="pct"/>
            <w:shd w:val="clear" w:color="auto" w:fill="auto"/>
            <w:vAlign w:val="center"/>
            <w:hideMark/>
          </w:tcPr>
          <w:p w:rsidR="00E809F1" w:rsidRPr="00E23B8D" w:rsidRDefault="00E809F1" w:rsidP="00A5046E">
            <w:pPr>
              <w:spacing w:before="60" w:after="60" w:line="240" w:lineRule="exact"/>
              <w:jc w:val="center"/>
              <w:rPr>
                <w:rFonts w:cs="Arial"/>
                <w:color w:val="000000"/>
                <w:szCs w:val="20"/>
                <w:lang w:eastAsia="en-AU"/>
              </w:rPr>
            </w:pPr>
          </w:p>
        </w:tc>
        <w:tc>
          <w:tcPr>
            <w:tcW w:w="355" w:type="pct"/>
            <w:shd w:val="clear" w:color="auto" w:fill="auto"/>
            <w:vAlign w:val="center"/>
            <w:hideMark/>
          </w:tcPr>
          <w:p w:rsidR="00E809F1" w:rsidRPr="00E23B8D" w:rsidRDefault="00E809F1" w:rsidP="00A5046E">
            <w:pPr>
              <w:spacing w:before="60" w:after="60" w:line="240" w:lineRule="exact"/>
              <w:jc w:val="center"/>
              <w:rPr>
                <w:rFonts w:cs="Arial"/>
                <w:color w:val="000000"/>
                <w:szCs w:val="20"/>
                <w:lang w:eastAsia="en-AU"/>
              </w:rPr>
            </w:pPr>
            <w:r w:rsidRPr="00E23B8D">
              <w:rPr>
                <w:rFonts w:cs="Arial"/>
                <w:color w:val="000000"/>
                <w:szCs w:val="20"/>
                <w:lang w:eastAsia="en-AU"/>
              </w:rPr>
              <w:t>1</w:t>
            </w:r>
          </w:p>
        </w:tc>
        <w:tc>
          <w:tcPr>
            <w:tcW w:w="355" w:type="pct"/>
            <w:shd w:val="clear" w:color="auto" w:fill="auto"/>
            <w:vAlign w:val="center"/>
            <w:hideMark/>
          </w:tcPr>
          <w:p w:rsidR="00E809F1" w:rsidRPr="00E23B8D" w:rsidRDefault="00E809F1" w:rsidP="00E060B9">
            <w:pPr>
              <w:spacing w:before="60" w:after="60" w:line="240" w:lineRule="exact"/>
              <w:jc w:val="center"/>
              <w:rPr>
                <w:rFonts w:cs="Arial"/>
                <w:color w:val="000000"/>
                <w:szCs w:val="20"/>
                <w:lang w:eastAsia="en-AU"/>
              </w:rPr>
            </w:pPr>
            <w:r w:rsidRPr="00E23B8D">
              <w:rPr>
                <w:rFonts w:cs="Arial"/>
                <w:color w:val="000000"/>
                <w:szCs w:val="20"/>
                <w:lang w:eastAsia="en-AU"/>
              </w:rPr>
              <w:t>8</w:t>
            </w:r>
          </w:p>
        </w:tc>
        <w:tc>
          <w:tcPr>
            <w:tcW w:w="355" w:type="pct"/>
            <w:shd w:val="clear" w:color="auto" w:fill="auto"/>
            <w:vAlign w:val="center"/>
            <w:hideMark/>
          </w:tcPr>
          <w:p w:rsidR="00E809F1" w:rsidRPr="00E23B8D" w:rsidRDefault="00E809F1" w:rsidP="009C1427">
            <w:pPr>
              <w:spacing w:before="60" w:after="60" w:line="240" w:lineRule="exact"/>
              <w:jc w:val="center"/>
              <w:rPr>
                <w:rFonts w:cs="Arial"/>
                <w:color w:val="000000"/>
                <w:szCs w:val="20"/>
                <w:lang w:eastAsia="en-AU"/>
              </w:rPr>
            </w:pPr>
          </w:p>
        </w:tc>
        <w:tc>
          <w:tcPr>
            <w:tcW w:w="349" w:type="pct"/>
            <w:shd w:val="clear" w:color="auto" w:fill="auto"/>
            <w:vAlign w:val="center"/>
            <w:hideMark/>
          </w:tcPr>
          <w:p w:rsidR="00E809F1" w:rsidRPr="00E23B8D" w:rsidRDefault="00E809F1" w:rsidP="009C1427">
            <w:pPr>
              <w:spacing w:before="60" w:after="60" w:line="240" w:lineRule="exact"/>
              <w:jc w:val="center"/>
              <w:rPr>
                <w:rFonts w:cs="Arial"/>
                <w:color w:val="000000"/>
                <w:szCs w:val="20"/>
                <w:lang w:eastAsia="en-AU"/>
              </w:rPr>
            </w:pPr>
          </w:p>
        </w:tc>
      </w:tr>
      <w:tr w:rsidR="00E809F1" w:rsidRPr="00E23B8D" w:rsidTr="00CB0896">
        <w:trPr>
          <w:trHeight w:val="1020"/>
        </w:trPr>
        <w:tc>
          <w:tcPr>
            <w:tcW w:w="746" w:type="pct"/>
            <w:shd w:val="clear" w:color="auto" w:fill="auto"/>
            <w:vAlign w:val="center"/>
            <w:hideMark/>
          </w:tcPr>
          <w:p w:rsidR="00E809F1" w:rsidRPr="00E23B8D" w:rsidRDefault="00E809F1" w:rsidP="00433ED5">
            <w:pPr>
              <w:spacing w:before="60" w:after="60" w:line="240" w:lineRule="exact"/>
              <w:jc w:val="left"/>
              <w:rPr>
                <w:rFonts w:cs="Arial"/>
                <w:color w:val="000000"/>
                <w:szCs w:val="20"/>
                <w:lang w:eastAsia="en-AU"/>
              </w:rPr>
            </w:pPr>
            <w:r w:rsidRPr="00E23B8D">
              <w:rPr>
                <w:rFonts w:cs="Arial"/>
                <w:color w:val="000000"/>
                <w:szCs w:val="20"/>
                <w:lang w:eastAsia="en-AU"/>
              </w:rPr>
              <w:t>Western carp gudgeon</w:t>
            </w:r>
            <w:r w:rsidRPr="00E23B8D">
              <w:rPr>
                <w:rFonts w:cs="Arial"/>
                <w:color w:val="000000"/>
                <w:szCs w:val="20"/>
                <w:lang w:eastAsia="en-AU"/>
              </w:rPr>
              <w:br/>
              <w:t>(</w:t>
            </w:r>
            <w:r w:rsidRPr="00E23B8D">
              <w:rPr>
                <w:rFonts w:cs="Arial"/>
                <w:i/>
                <w:iCs/>
                <w:color w:val="000000"/>
                <w:szCs w:val="20"/>
                <w:lang w:eastAsia="en-AU"/>
              </w:rPr>
              <w:t>Hypseleotris klunzingeri</w:t>
            </w:r>
            <w:r w:rsidRPr="00E23B8D">
              <w:rPr>
                <w:rFonts w:cs="Arial"/>
                <w:color w:val="000000"/>
                <w:szCs w:val="20"/>
                <w:lang w:eastAsia="en-AU"/>
              </w:rPr>
              <w:t>)</w:t>
            </w:r>
          </w:p>
        </w:tc>
        <w:tc>
          <w:tcPr>
            <w:tcW w:w="355" w:type="pct"/>
            <w:shd w:val="clear" w:color="auto" w:fill="auto"/>
            <w:vAlign w:val="center"/>
            <w:hideMark/>
          </w:tcPr>
          <w:p w:rsidR="00E809F1" w:rsidRPr="00E23B8D" w:rsidRDefault="00E809F1" w:rsidP="00433ED5">
            <w:pPr>
              <w:spacing w:before="60" w:after="60" w:line="240" w:lineRule="exact"/>
              <w:jc w:val="center"/>
              <w:rPr>
                <w:rFonts w:cs="Arial"/>
                <w:color w:val="000000"/>
                <w:szCs w:val="20"/>
                <w:lang w:eastAsia="en-AU"/>
              </w:rPr>
            </w:pPr>
          </w:p>
        </w:tc>
        <w:tc>
          <w:tcPr>
            <w:tcW w:w="355" w:type="pct"/>
            <w:shd w:val="clear" w:color="auto" w:fill="auto"/>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8</w:t>
            </w:r>
          </w:p>
        </w:tc>
        <w:tc>
          <w:tcPr>
            <w:tcW w:w="355" w:type="pct"/>
            <w:shd w:val="clear" w:color="auto" w:fill="auto"/>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22</w:t>
            </w:r>
          </w:p>
        </w:tc>
        <w:tc>
          <w:tcPr>
            <w:tcW w:w="355" w:type="pct"/>
            <w:shd w:val="clear" w:color="auto" w:fill="auto"/>
            <w:vAlign w:val="center"/>
            <w:hideMark/>
          </w:tcPr>
          <w:p w:rsidR="00E809F1" w:rsidRPr="00E23B8D" w:rsidRDefault="00E809F1" w:rsidP="00433ED5">
            <w:pPr>
              <w:spacing w:before="60" w:after="60" w:line="240" w:lineRule="exact"/>
              <w:jc w:val="center"/>
              <w:rPr>
                <w:rFonts w:cs="Arial"/>
                <w:color w:val="000000"/>
                <w:szCs w:val="20"/>
                <w:lang w:eastAsia="en-AU"/>
              </w:rPr>
            </w:pPr>
          </w:p>
        </w:tc>
        <w:tc>
          <w:tcPr>
            <w:tcW w:w="355" w:type="pct"/>
            <w:shd w:val="clear" w:color="auto" w:fill="auto"/>
            <w:vAlign w:val="center"/>
            <w:hideMark/>
          </w:tcPr>
          <w:p w:rsidR="00E809F1" w:rsidRPr="00E23B8D" w:rsidRDefault="00E809F1" w:rsidP="002159C6">
            <w:pPr>
              <w:spacing w:before="60" w:after="60" w:line="240" w:lineRule="exact"/>
              <w:jc w:val="center"/>
              <w:rPr>
                <w:rFonts w:cs="Arial"/>
                <w:color w:val="000000"/>
                <w:szCs w:val="20"/>
                <w:lang w:eastAsia="en-AU"/>
              </w:rPr>
            </w:pPr>
            <w:r w:rsidRPr="00E23B8D">
              <w:rPr>
                <w:rFonts w:cs="Arial"/>
                <w:color w:val="000000"/>
                <w:szCs w:val="20"/>
                <w:lang w:eastAsia="en-AU"/>
              </w:rPr>
              <w:t>500</w:t>
            </w:r>
          </w:p>
        </w:tc>
        <w:tc>
          <w:tcPr>
            <w:tcW w:w="355" w:type="pct"/>
            <w:shd w:val="clear" w:color="auto" w:fill="auto"/>
            <w:vAlign w:val="center"/>
            <w:hideMark/>
          </w:tcPr>
          <w:p w:rsidR="00E809F1" w:rsidRPr="00E23B8D" w:rsidRDefault="00E809F1" w:rsidP="002159C6">
            <w:pPr>
              <w:spacing w:before="60" w:after="60" w:line="240" w:lineRule="exact"/>
              <w:jc w:val="center"/>
              <w:rPr>
                <w:rFonts w:cs="Arial"/>
                <w:color w:val="000000"/>
                <w:szCs w:val="20"/>
                <w:lang w:eastAsia="en-AU"/>
              </w:rPr>
            </w:pPr>
            <w:r w:rsidRPr="00E23B8D">
              <w:rPr>
                <w:rFonts w:cs="Arial"/>
                <w:color w:val="000000"/>
                <w:szCs w:val="20"/>
                <w:lang w:eastAsia="en-AU"/>
              </w:rPr>
              <w:t>26</w:t>
            </w:r>
          </w:p>
        </w:tc>
        <w:tc>
          <w:tcPr>
            <w:tcW w:w="355" w:type="pct"/>
            <w:shd w:val="clear" w:color="auto" w:fill="auto"/>
            <w:vAlign w:val="center"/>
            <w:hideMark/>
          </w:tcPr>
          <w:p w:rsidR="00E809F1" w:rsidRPr="00E23B8D" w:rsidRDefault="00E809F1" w:rsidP="00704E86">
            <w:pPr>
              <w:spacing w:before="60" w:after="60" w:line="240" w:lineRule="exact"/>
              <w:jc w:val="center"/>
              <w:rPr>
                <w:rFonts w:cs="Arial"/>
                <w:color w:val="000000"/>
                <w:szCs w:val="20"/>
                <w:lang w:eastAsia="en-AU"/>
              </w:rPr>
            </w:pPr>
          </w:p>
        </w:tc>
        <w:tc>
          <w:tcPr>
            <w:tcW w:w="355" w:type="pct"/>
            <w:shd w:val="clear" w:color="auto" w:fill="auto"/>
            <w:vAlign w:val="center"/>
            <w:hideMark/>
          </w:tcPr>
          <w:p w:rsidR="00E809F1" w:rsidRPr="00E23B8D" w:rsidRDefault="00E809F1" w:rsidP="00A5046E">
            <w:pPr>
              <w:spacing w:before="60" w:after="60" w:line="240" w:lineRule="exact"/>
              <w:jc w:val="center"/>
              <w:rPr>
                <w:rFonts w:cs="Arial"/>
                <w:color w:val="000000"/>
                <w:szCs w:val="20"/>
                <w:lang w:eastAsia="en-AU"/>
              </w:rPr>
            </w:pPr>
            <w:r w:rsidRPr="00E23B8D">
              <w:rPr>
                <w:rFonts w:cs="Arial"/>
                <w:color w:val="000000"/>
                <w:szCs w:val="20"/>
                <w:lang w:eastAsia="en-AU"/>
              </w:rPr>
              <w:t>23</w:t>
            </w:r>
          </w:p>
        </w:tc>
        <w:tc>
          <w:tcPr>
            <w:tcW w:w="355" w:type="pct"/>
            <w:shd w:val="clear" w:color="auto" w:fill="auto"/>
            <w:vAlign w:val="center"/>
            <w:hideMark/>
          </w:tcPr>
          <w:p w:rsidR="00E809F1" w:rsidRPr="00E23B8D" w:rsidRDefault="00E809F1" w:rsidP="00A5046E">
            <w:pPr>
              <w:spacing w:before="60" w:after="60" w:line="240" w:lineRule="exact"/>
              <w:jc w:val="center"/>
              <w:rPr>
                <w:rFonts w:cs="Arial"/>
                <w:color w:val="000000"/>
                <w:szCs w:val="20"/>
                <w:lang w:eastAsia="en-AU"/>
              </w:rPr>
            </w:pPr>
          </w:p>
        </w:tc>
        <w:tc>
          <w:tcPr>
            <w:tcW w:w="355" w:type="pct"/>
            <w:shd w:val="clear" w:color="auto" w:fill="auto"/>
            <w:vAlign w:val="center"/>
            <w:hideMark/>
          </w:tcPr>
          <w:p w:rsidR="00E809F1" w:rsidRPr="00E23B8D" w:rsidRDefault="00E809F1" w:rsidP="00E060B9">
            <w:pPr>
              <w:spacing w:before="60" w:after="60" w:line="240" w:lineRule="exact"/>
              <w:jc w:val="center"/>
              <w:rPr>
                <w:rFonts w:cs="Arial"/>
                <w:color w:val="000000"/>
                <w:szCs w:val="20"/>
                <w:lang w:eastAsia="en-AU"/>
              </w:rPr>
            </w:pPr>
          </w:p>
        </w:tc>
        <w:tc>
          <w:tcPr>
            <w:tcW w:w="355" w:type="pct"/>
            <w:shd w:val="clear" w:color="auto" w:fill="auto"/>
            <w:vAlign w:val="center"/>
            <w:hideMark/>
          </w:tcPr>
          <w:p w:rsidR="00E809F1" w:rsidRPr="00E23B8D" w:rsidRDefault="00E809F1" w:rsidP="009C1427">
            <w:pPr>
              <w:spacing w:before="60" w:after="60" w:line="240" w:lineRule="exact"/>
              <w:jc w:val="center"/>
              <w:rPr>
                <w:rFonts w:cs="Arial"/>
                <w:color w:val="000000"/>
                <w:szCs w:val="20"/>
                <w:lang w:eastAsia="en-AU"/>
              </w:rPr>
            </w:pPr>
          </w:p>
        </w:tc>
        <w:tc>
          <w:tcPr>
            <w:tcW w:w="349" w:type="pct"/>
            <w:shd w:val="clear" w:color="auto" w:fill="auto"/>
            <w:vAlign w:val="center"/>
            <w:hideMark/>
          </w:tcPr>
          <w:p w:rsidR="00E809F1" w:rsidRPr="00E23B8D" w:rsidRDefault="00E809F1" w:rsidP="009C1427">
            <w:pPr>
              <w:spacing w:before="60" w:after="60" w:line="240" w:lineRule="exact"/>
              <w:jc w:val="center"/>
              <w:rPr>
                <w:rFonts w:cs="Arial"/>
                <w:color w:val="000000"/>
                <w:szCs w:val="20"/>
                <w:lang w:eastAsia="en-AU"/>
              </w:rPr>
            </w:pPr>
          </w:p>
        </w:tc>
      </w:tr>
      <w:tr w:rsidR="00E809F1" w:rsidRPr="00E23B8D" w:rsidTr="00CB0896">
        <w:trPr>
          <w:trHeight w:val="510"/>
        </w:trPr>
        <w:tc>
          <w:tcPr>
            <w:tcW w:w="746" w:type="pct"/>
            <w:shd w:val="clear" w:color="auto" w:fill="auto"/>
            <w:vAlign w:val="center"/>
            <w:hideMark/>
          </w:tcPr>
          <w:p w:rsidR="00E809F1" w:rsidRPr="00E23B8D" w:rsidRDefault="00E809F1" w:rsidP="00433ED5">
            <w:pPr>
              <w:spacing w:before="60" w:after="60" w:line="240" w:lineRule="exact"/>
              <w:jc w:val="left"/>
              <w:rPr>
                <w:rFonts w:cs="Arial"/>
                <w:color w:val="000000"/>
                <w:szCs w:val="20"/>
                <w:lang w:eastAsia="en-AU"/>
              </w:rPr>
            </w:pPr>
            <w:r w:rsidRPr="00E23B8D">
              <w:rPr>
                <w:rFonts w:cs="Arial"/>
                <w:color w:val="000000"/>
                <w:szCs w:val="20"/>
                <w:lang w:eastAsia="en-AU"/>
              </w:rPr>
              <w:t>Bony bream</w:t>
            </w:r>
            <w:r w:rsidRPr="00E23B8D">
              <w:rPr>
                <w:rFonts w:cs="Arial"/>
                <w:color w:val="000000"/>
                <w:szCs w:val="20"/>
                <w:lang w:eastAsia="en-AU"/>
              </w:rPr>
              <w:br/>
              <w:t>(</w:t>
            </w:r>
            <w:r w:rsidRPr="00E23B8D">
              <w:rPr>
                <w:rFonts w:cs="Arial"/>
                <w:i/>
                <w:iCs/>
                <w:color w:val="000000"/>
                <w:szCs w:val="20"/>
                <w:lang w:eastAsia="en-AU"/>
              </w:rPr>
              <w:t>Nematalosa erebi</w:t>
            </w:r>
            <w:r w:rsidRPr="00E23B8D">
              <w:rPr>
                <w:rFonts w:cs="Arial"/>
                <w:color w:val="000000"/>
                <w:szCs w:val="20"/>
                <w:lang w:eastAsia="en-AU"/>
              </w:rPr>
              <w:t>)</w:t>
            </w:r>
          </w:p>
        </w:tc>
        <w:tc>
          <w:tcPr>
            <w:tcW w:w="355" w:type="pct"/>
            <w:shd w:val="clear" w:color="auto" w:fill="auto"/>
            <w:vAlign w:val="center"/>
            <w:hideMark/>
          </w:tcPr>
          <w:p w:rsidR="00E809F1" w:rsidRPr="00E23B8D" w:rsidRDefault="00E809F1" w:rsidP="00433ED5">
            <w:pPr>
              <w:spacing w:before="60" w:after="60" w:line="240" w:lineRule="exact"/>
              <w:jc w:val="center"/>
              <w:rPr>
                <w:rFonts w:cs="Arial"/>
                <w:color w:val="000000"/>
                <w:szCs w:val="20"/>
                <w:lang w:eastAsia="en-AU"/>
              </w:rPr>
            </w:pPr>
          </w:p>
        </w:tc>
        <w:tc>
          <w:tcPr>
            <w:tcW w:w="355" w:type="pct"/>
            <w:shd w:val="clear" w:color="auto" w:fill="auto"/>
            <w:vAlign w:val="center"/>
            <w:hideMark/>
          </w:tcPr>
          <w:p w:rsidR="00E809F1" w:rsidRPr="00E23B8D" w:rsidRDefault="00E809F1" w:rsidP="00433ED5">
            <w:pPr>
              <w:spacing w:before="60" w:after="60" w:line="240" w:lineRule="exact"/>
              <w:jc w:val="center"/>
              <w:rPr>
                <w:rFonts w:cs="Arial"/>
                <w:color w:val="000000"/>
                <w:szCs w:val="20"/>
                <w:lang w:eastAsia="en-AU"/>
              </w:rPr>
            </w:pPr>
          </w:p>
        </w:tc>
        <w:tc>
          <w:tcPr>
            <w:tcW w:w="355" w:type="pct"/>
            <w:shd w:val="clear" w:color="auto" w:fill="auto"/>
            <w:vAlign w:val="center"/>
            <w:hideMark/>
          </w:tcPr>
          <w:p w:rsidR="00E809F1" w:rsidRPr="00E23B8D" w:rsidRDefault="00E809F1" w:rsidP="00433ED5">
            <w:pPr>
              <w:spacing w:before="60" w:after="60" w:line="240" w:lineRule="exact"/>
              <w:jc w:val="center"/>
              <w:rPr>
                <w:rFonts w:cs="Arial"/>
                <w:color w:val="000000"/>
                <w:szCs w:val="20"/>
                <w:lang w:eastAsia="en-AU"/>
              </w:rPr>
            </w:pPr>
          </w:p>
        </w:tc>
        <w:tc>
          <w:tcPr>
            <w:tcW w:w="355" w:type="pct"/>
            <w:shd w:val="clear" w:color="auto" w:fill="auto"/>
            <w:vAlign w:val="center"/>
            <w:hideMark/>
          </w:tcPr>
          <w:p w:rsidR="00E809F1" w:rsidRPr="00E23B8D" w:rsidRDefault="00E809F1" w:rsidP="00433ED5">
            <w:pPr>
              <w:spacing w:before="60" w:after="60" w:line="240" w:lineRule="exact"/>
              <w:jc w:val="center"/>
              <w:rPr>
                <w:rFonts w:cs="Arial"/>
                <w:color w:val="000000"/>
                <w:szCs w:val="20"/>
                <w:lang w:eastAsia="en-AU"/>
              </w:rPr>
            </w:pPr>
          </w:p>
        </w:tc>
        <w:tc>
          <w:tcPr>
            <w:tcW w:w="355" w:type="pct"/>
            <w:shd w:val="clear" w:color="auto" w:fill="auto"/>
            <w:vAlign w:val="center"/>
            <w:hideMark/>
          </w:tcPr>
          <w:p w:rsidR="00E809F1" w:rsidRPr="00E23B8D" w:rsidRDefault="00E809F1" w:rsidP="002159C6">
            <w:pPr>
              <w:spacing w:before="60" w:after="60" w:line="240" w:lineRule="exact"/>
              <w:jc w:val="center"/>
              <w:rPr>
                <w:rFonts w:cs="Arial"/>
                <w:color w:val="000000"/>
                <w:szCs w:val="20"/>
                <w:lang w:eastAsia="en-AU"/>
              </w:rPr>
            </w:pPr>
          </w:p>
        </w:tc>
        <w:tc>
          <w:tcPr>
            <w:tcW w:w="355" w:type="pct"/>
            <w:shd w:val="clear" w:color="auto" w:fill="auto"/>
            <w:vAlign w:val="center"/>
            <w:hideMark/>
          </w:tcPr>
          <w:p w:rsidR="00E809F1" w:rsidRPr="00E23B8D" w:rsidRDefault="00E809F1" w:rsidP="002159C6">
            <w:pPr>
              <w:spacing w:before="60" w:after="60" w:line="240" w:lineRule="exact"/>
              <w:jc w:val="center"/>
              <w:rPr>
                <w:rFonts w:cs="Arial"/>
                <w:color w:val="000000"/>
                <w:szCs w:val="20"/>
                <w:lang w:eastAsia="en-AU"/>
              </w:rPr>
            </w:pPr>
          </w:p>
        </w:tc>
        <w:tc>
          <w:tcPr>
            <w:tcW w:w="355" w:type="pct"/>
            <w:shd w:val="clear" w:color="auto" w:fill="auto"/>
            <w:vAlign w:val="center"/>
            <w:hideMark/>
          </w:tcPr>
          <w:p w:rsidR="00E809F1" w:rsidRPr="00E23B8D" w:rsidRDefault="00E809F1" w:rsidP="00704E86">
            <w:pPr>
              <w:spacing w:before="60" w:after="60" w:line="240" w:lineRule="exact"/>
              <w:jc w:val="center"/>
              <w:rPr>
                <w:rFonts w:cs="Arial"/>
                <w:color w:val="000000"/>
                <w:szCs w:val="20"/>
                <w:lang w:eastAsia="en-AU"/>
              </w:rPr>
            </w:pPr>
          </w:p>
        </w:tc>
        <w:tc>
          <w:tcPr>
            <w:tcW w:w="355" w:type="pct"/>
            <w:shd w:val="clear" w:color="auto" w:fill="auto"/>
            <w:vAlign w:val="center"/>
            <w:hideMark/>
          </w:tcPr>
          <w:p w:rsidR="00E809F1" w:rsidRPr="00E23B8D" w:rsidRDefault="00E809F1" w:rsidP="00A5046E">
            <w:pPr>
              <w:spacing w:before="60" w:after="60" w:line="240" w:lineRule="exact"/>
              <w:jc w:val="center"/>
              <w:rPr>
                <w:rFonts w:cs="Arial"/>
                <w:color w:val="000000"/>
                <w:szCs w:val="20"/>
                <w:lang w:eastAsia="en-AU"/>
              </w:rPr>
            </w:pPr>
            <w:r w:rsidRPr="00E23B8D">
              <w:rPr>
                <w:rFonts w:cs="Arial"/>
                <w:color w:val="000000"/>
                <w:szCs w:val="20"/>
                <w:lang w:eastAsia="en-AU"/>
              </w:rPr>
              <w:t>12</w:t>
            </w:r>
          </w:p>
        </w:tc>
        <w:tc>
          <w:tcPr>
            <w:tcW w:w="355" w:type="pct"/>
            <w:shd w:val="clear" w:color="auto" w:fill="auto"/>
            <w:vAlign w:val="center"/>
            <w:hideMark/>
          </w:tcPr>
          <w:p w:rsidR="00E809F1" w:rsidRPr="00E23B8D" w:rsidRDefault="00E809F1" w:rsidP="00A5046E">
            <w:pPr>
              <w:spacing w:before="60" w:after="60" w:line="240" w:lineRule="exact"/>
              <w:jc w:val="center"/>
              <w:rPr>
                <w:rFonts w:cs="Arial"/>
                <w:color w:val="000000"/>
                <w:szCs w:val="20"/>
                <w:lang w:eastAsia="en-AU"/>
              </w:rPr>
            </w:pPr>
            <w:r w:rsidRPr="00E23B8D">
              <w:rPr>
                <w:rFonts w:cs="Arial"/>
                <w:color w:val="000000"/>
                <w:szCs w:val="20"/>
                <w:lang w:eastAsia="en-AU"/>
              </w:rPr>
              <w:t>14</w:t>
            </w:r>
          </w:p>
        </w:tc>
        <w:tc>
          <w:tcPr>
            <w:tcW w:w="355" w:type="pct"/>
            <w:shd w:val="clear" w:color="auto" w:fill="auto"/>
            <w:vAlign w:val="center"/>
            <w:hideMark/>
          </w:tcPr>
          <w:p w:rsidR="00E809F1" w:rsidRPr="00E23B8D" w:rsidRDefault="00E809F1" w:rsidP="00E060B9">
            <w:pPr>
              <w:spacing w:before="60" w:after="60" w:line="240" w:lineRule="exact"/>
              <w:jc w:val="center"/>
              <w:rPr>
                <w:rFonts w:cs="Arial"/>
                <w:color w:val="000000"/>
                <w:szCs w:val="20"/>
                <w:lang w:eastAsia="en-AU"/>
              </w:rPr>
            </w:pPr>
            <w:r w:rsidRPr="00E23B8D">
              <w:rPr>
                <w:rFonts w:cs="Arial"/>
                <w:color w:val="000000"/>
                <w:szCs w:val="20"/>
                <w:lang w:eastAsia="en-AU"/>
              </w:rPr>
              <w:t>35</w:t>
            </w:r>
          </w:p>
        </w:tc>
        <w:tc>
          <w:tcPr>
            <w:tcW w:w="355" w:type="pct"/>
            <w:shd w:val="clear" w:color="auto" w:fill="auto"/>
            <w:vAlign w:val="center"/>
            <w:hideMark/>
          </w:tcPr>
          <w:p w:rsidR="00E809F1" w:rsidRPr="00E23B8D" w:rsidRDefault="00E809F1" w:rsidP="009C1427">
            <w:pPr>
              <w:spacing w:before="60" w:after="60" w:line="240" w:lineRule="exact"/>
              <w:jc w:val="center"/>
              <w:rPr>
                <w:rFonts w:cs="Arial"/>
                <w:color w:val="000000"/>
                <w:szCs w:val="20"/>
                <w:lang w:eastAsia="en-AU"/>
              </w:rPr>
            </w:pPr>
          </w:p>
        </w:tc>
        <w:tc>
          <w:tcPr>
            <w:tcW w:w="349" w:type="pct"/>
            <w:shd w:val="clear" w:color="auto" w:fill="auto"/>
            <w:vAlign w:val="center"/>
            <w:hideMark/>
          </w:tcPr>
          <w:p w:rsidR="00E809F1" w:rsidRPr="00E23B8D" w:rsidRDefault="00E809F1" w:rsidP="009C1427">
            <w:pPr>
              <w:spacing w:before="60" w:after="60" w:line="240" w:lineRule="exact"/>
              <w:jc w:val="center"/>
              <w:rPr>
                <w:rFonts w:cs="Arial"/>
                <w:color w:val="000000"/>
                <w:szCs w:val="20"/>
                <w:lang w:eastAsia="en-AU"/>
              </w:rPr>
            </w:pPr>
            <w:r w:rsidRPr="00E23B8D">
              <w:rPr>
                <w:rFonts w:cs="Arial"/>
                <w:color w:val="000000"/>
                <w:szCs w:val="20"/>
                <w:lang w:eastAsia="en-AU"/>
              </w:rPr>
              <w:t>120</w:t>
            </w:r>
          </w:p>
        </w:tc>
      </w:tr>
      <w:tr w:rsidR="00E809F1" w:rsidRPr="00E23B8D" w:rsidTr="00CB0896">
        <w:trPr>
          <w:trHeight w:val="510"/>
        </w:trPr>
        <w:tc>
          <w:tcPr>
            <w:tcW w:w="746" w:type="pct"/>
            <w:shd w:val="clear" w:color="auto" w:fill="auto"/>
            <w:vAlign w:val="center"/>
            <w:hideMark/>
          </w:tcPr>
          <w:p w:rsidR="00E809F1" w:rsidRPr="00E23B8D" w:rsidRDefault="00E809F1" w:rsidP="00433ED5">
            <w:pPr>
              <w:spacing w:before="60" w:after="60" w:line="240" w:lineRule="exact"/>
              <w:jc w:val="left"/>
              <w:rPr>
                <w:rFonts w:cs="Arial"/>
                <w:color w:val="000000"/>
                <w:szCs w:val="20"/>
                <w:lang w:eastAsia="en-AU"/>
              </w:rPr>
            </w:pPr>
            <w:r w:rsidRPr="00E23B8D">
              <w:rPr>
                <w:rFonts w:cs="Arial"/>
                <w:color w:val="000000"/>
                <w:szCs w:val="20"/>
                <w:lang w:eastAsia="en-AU"/>
              </w:rPr>
              <w:t>Olive perchlet</w:t>
            </w:r>
            <w:r w:rsidRPr="00E23B8D">
              <w:rPr>
                <w:rFonts w:cs="Arial"/>
                <w:color w:val="000000"/>
                <w:szCs w:val="20"/>
                <w:lang w:eastAsia="en-AU"/>
              </w:rPr>
              <w:br/>
              <w:t>(</w:t>
            </w:r>
            <w:r w:rsidRPr="00E23B8D">
              <w:rPr>
                <w:rFonts w:cs="Arial"/>
                <w:i/>
                <w:iCs/>
                <w:color w:val="000000"/>
                <w:szCs w:val="20"/>
                <w:lang w:eastAsia="en-AU"/>
              </w:rPr>
              <w:t>Ambassis agassizii</w:t>
            </w:r>
            <w:r w:rsidRPr="00E23B8D">
              <w:rPr>
                <w:rFonts w:cs="Arial"/>
                <w:color w:val="000000"/>
                <w:szCs w:val="20"/>
                <w:lang w:eastAsia="en-AU"/>
              </w:rPr>
              <w:t>)</w:t>
            </w:r>
          </w:p>
        </w:tc>
        <w:tc>
          <w:tcPr>
            <w:tcW w:w="355" w:type="pct"/>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p>
        </w:tc>
        <w:tc>
          <w:tcPr>
            <w:tcW w:w="355" w:type="pct"/>
            <w:shd w:val="clear" w:color="auto" w:fill="auto"/>
            <w:vAlign w:val="center"/>
            <w:hideMark/>
          </w:tcPr>
          <w:p w:rsidR="00E809F1" w:rsidRPr="00E23B8D" w:rsidRDefault="00E809F1" w:rsidP="00433ED5">
            <w:pPr>
              <w:spacing w:before="60" w:after="60" w:line="240" w:lineRule="exact"/>
              <w:jc w:val="center"/>
              <w:rPr>
                <w:rFonts w:cs="Arial"/>
                <w:color w:val="000000"/>
                <w:szCs w:val="20"/>
                <w:lang w:eastAsia="en-AU"/>
              </w:rPr>
            </w:pPr>
          </w:p>
        </w:tc>
        <w:tc>
          <w:tcPr>
            <w:tcW w:w="355" w:type="pct"/>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p>
        </w:tc>
        <w:tc>
          <w:tcPr>
            <w:tcW w:w="355" w:type="pct"/>
            <w:shd w:val="clear" w:color="auto" w:fill="auto"/>
            <w:vAlign w:val="center"/>
            <w:hideMark/>
          </w:tcPr>
          <w:p w:rsidR="00E809F1" w:rsidRPr="00E23B8D" w:rsidRDefault="00E809F1" w:rsidP="00433ED5">
            <w:pPr>
              <w:spacing w:before="60" w:after="60" w:line="240" w:lineRule="exact"/>
              <w:jc w:val="center"/>
              <w:rPr>
                <w:rFonts w:cs="Arial"/>
                <w:color w:val="000000"/>
                <w:szCs w:val="20"/>
                <w:lang w:eastAsia="en-AU"/>
              </w:rPr>
            </w:pPr>
          </w:p>
        </w:tc>
        <w:tc>
          <w:tcPr>
            <w:tcW w:w="355" w:type="pct"/>
            <w:shd w:val="clear" w:color="auto" w:fill="auto"/>
            <w:noWrap/>
            <w:vAlign w:val="center"/>
            <w:hideMark/>
          </w:tcPr>
          <w:p w:rsidR="00E809F1" w:rsidRPr="00E23B8D" w:rsidRDefault="00E809F1" w:rsidP="002159C6">
            <w:pPr>
              <w:spacing w:before="60" w:after="60" w:line="240" w:lineRule="exact"/>
              <w:jc w:val="center"/>
              <w:rPr>
                <w:rFonts w:cs="Arial"/>
                <w:color w:val="000000"/>
                <w:szCs w:val="20"/>
                <w:lang w:eastAsia="en-AU"/>
              </w:rPr>
            </w:pPr>
          </w:p>
        </w:tc>
        <w:tc>
          <w:tcPr>
            <w:tcW w:w="355" w:type="pct"/>
            <w:shd w:val="clear" w:color="auto" w:fill="auto"/>
            <w:vAlign w:val="center"/>
            <w:hideMark/>
          </w:tcPr>
          <w:p w:rsidR="00E809F1" w:rsidRPr="00E23B8D" w:rsidRDefault="00E809F1" w:rsidP="002159C6">
            <w:pPr>
              <w:spacing w:before="60" w:after="60" w:line="240" w:lineRule="exact"/>
              <w:jc w:val="center"/>
              <w:rPr>
                <w:rFonts w:cs="Arial"/>
                <w:color w:val="000000"/>
                <w:szCs w:val="20"/>
                <w:lang w:eastAsia="en-AU"/>
              </w:rPr>
            </w:pPr>
          </w:p>
        </w:tc>
        <w:tc>
          <w:tcPr>
            <w:tcW w:w="355" w:type="pct"/>
            <w:shd w:val="clear" w:color="auto" w:fill="auto"/>
            <w:noWrap/>
            <w:vAlign w:val="center"/>
            <w:hideMark/>
          </w:tcPr>
          <w:p w:rsidR="00E809F1" w:rsidRPr="00E23B8D" w:rsidRDefault="00E809F1" w:rsidP="00704E86">
            <w:pPr>
              <w:spacing w:before="60" w:after="60" w:line="240" w:lineRule="exact"/>
              <w:jc w:val="center"/>
              <w:rPr>
                <w:rFonts w:cs="Arial"/>
                <w:color w:val="000000"/>
                <w:szCs w:val="20"/>
                <w:lang w:eastAsia="en-AU"/>
              </w:rPr>
            </w:pPr>
          </w:p>
        </w:tc>
        <w:tc>
          <w:tcPr>
            <w:tcW w:w="355" w:type="pct"/>
            <w:shd w:val="clear" w:color="auto" w:fill="auto"/>
            <w:vAlign w:val="center"/>
            <w:hideMark/>
          </w:tcPr>
          <w:p w:rsidR="00E809F1" w:rsidRPr="00E23B8D" w:rsidRDefault="00E809F1" w:rsidP="00A5046E">
            <w:pPr>
              <w:spacing w:before="60" w:after="60" w:line="240" w:lineRule="exact"/>
              <w:jc w:val="center"/>
              <w:rPr>
                <w:rFonts w:cs="Arial"/>
                <w:color w:val="000000"/>
                <w:szCs w:val="20"/>
                <w:lang w:eastAsia="en-AU"/>
              </w:rPr>
            </w:pPr>
          </w:p>
        </w:tc>
        <w:tc>
          <w:tcPr>
            <w:tcW w:w="355" w:type="pct"/>
            <w:shd w:val="clear" w:color="auto" w:fill="auto"/>
            <w:noWrap/>
            <w:vAlign w:val="center"/>
            <w:hideMark/>
          </w:tcPr>
          <w:p w:rsidR="00E809F1" w:rsidRPr="00E23B8D" w:rsidRDefault="00E809F1" w:rsidP="00A5046E">
            <w:pPr>
              <w:spacing w:before="60" w:after="60" w:line="240" w:lineRule="exact"/>
              <w:jc w:val="center"/>
              <w:rPr>
                <w:rFonts w:cs="Arial"/>
                <w:color w:val="000000"/>
                <w:szCs w:val="20"/>
                <w:lang w:eastAsia="en-AU"/>
              </w:rPr>
            </w:pPr>
          </w:p>
        </w:tc>
        <w:tc>
          <w:tcPr>
            <w:tcW w:w="355" w:type="pct"/>
            <w:shd w:val="clear" w:color="auto" w:fill="auto"/>
            <w:vAlign w:val="center"/>
            <w:hideMark/>
          </w:tcPr>
          <w:p w:rsidR="00E809F1" w:rsidRPr="00E23B8D" w:rsidRDefault="00E809F1" w:rsidP="00E060B9">
            <w:pPr>
              <w:spacing w:before="60" w:after="60" w:line="240" w:lineRule="exact"/>
              <w:jc w:val="center"/>
              <w:rPr>
                <w:rFonts w:cs="Arial"/>
                <w:color w:val="000000"/>
                <w:szCs w:val="20"/>
                <w:lang w:eastAsia="en-AU"/>
              </w:rPr>
            </w:pPr>
            <w:r w:rsidRPr="00E23B8D">
              <w:rPr>
                <w:rFonts w:cs="Arial"/>
                <w:color w:val="000000"/>
                <w:szCs w:val="20"/>
                <w:lang w:eastAsia="en-AU"/>
              </w:rPr>
              <w:t>2</w:t>
            </w:r>
          </w:p>
        </w:tc>
        <w:tc>
          <w:tcPr>
            <w:tcW w:w="355" w:type="pct"/>
            <w:shd w:val="clear" w:color="auto" w:fill="auto"/>
            <w:noWrap/>
            <w:vAlign w:val="center"/>
            <w:hideMark/>
          </w:tcPr>
          <w:p w:rsidR="00E809F1" w:rsidRPr="00E23B8D" w:rsidRDefault="00E809F1" w:rsidP="009C1427">
            <w:pPr>
              <w:spacing w:before="60" w:after="60" w:line="240" w:lineRule="exact"/>
              <w:jc w:val="center"/>
              <w:rPr>
                <w:rFonts w:cs="Arial"/>
                <w:color w:val="000000"/>
                <w:szCs w:val="20"/>
                <w:lang w:eastAsia="en-AU"/>
              </w:rPr>
            </w:pPr>
          </w:p>
        </w:tc>
        <w:tc>
          <w:tcPr>
            <w:tcW w:w="349" w:type="pct"/>
            <w:shd w:val="clear" w:color="auto" w:fill="auto"/>
            <w:vAlign w:val="center"/>
            <w:hideMark/>
          </w:tcPr>
          <w:p w:rsidR="00E809F1" w:rsidRPr="00E23B8D" w:rsidRDefault="00E809F1" w:rsidP="009C1427">
            <w:pPr>
              <w:spacing w:before="60" w:after="60" w:line="240" w:lineRule="exact"/>
              <w:jc w:val="center"/>
              <w:rPr>
                <w:rFonts w:cs="Arial"/>
                <w:color w:val="000000"/>
                <w:szCs w:val="20"/>
                <w:lang w:eastAsia="en-AU"/>
              </w:rPr>
            </w:pPr>
          </w:p>
        </w:tc>
      </w:tr>
    </w:tbl>
    <w:p w:rsidR="00E809F1" w:rsidRDefault="00E809F1" w:rsidP="00E809F1"/>
    <w:p w:rsidR="00E809F1" w:rsidRDefault="00E809F1" w:rsidP="00E809F1"/>
    <w:p w:rsidR="00E809F1" w:rsidRDefault="00E809F1" w:rsidP="00E809F1"/>
    <w:p w:rsidR="00E809F1" w:rsidRDefault="00E809F1" w:rsidP="00E809F1">
      <w:pPr>
        <w:pStyle w:val="Caption"/>
        <w:keepNext/>
      </w:pPr>
      <w:bookmarkStart w:id="134" w:name="_Ref453232846"/>
      <w:r>
        <w:t xml:space="preserve">Table </w:t>
      </w:r>
      <w:fldSimple w:instr=" STYLEREF 6 \s ">
        <w:r w:rsidR="005D5925">
          <w:rPr>
            <w:noProof/>
          </w:rPr>
          <w:t>H</w:t>
        </w:r>
      </w:fldSimple>
      <w:r w:rsidR="005D4453">
        <w:noBreakHyphen/>
      </w:r>
      <w:fldSimple w:instr=" SEQ Table \* ARABIC \s 6 ">
        <w:r w:rsidR="005D5925">
          <w:rPr>
            <w:noProof/>
          </w:rPr>
          <w:t>4</w:t>
        </w:r>
      </w:fldSimple>
      <w:bookmarkEnd w:id="133"/>
      <w:bookmarkEnd w:id="134"/>
      <w:r>
        <w:t>: Frogs observed or heard at Gwydir Wetland sites for the 2015-16 water year.</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980"/>
        <w:gridCol w:w="910"/>
        <w:gridCol w:w="949"/>
        <w:gridCol w:w="911"/>
        <w:gridCol w:w="956"/>
        <w:gridCol w:w="911"/>
        <w:gridCol w:w="950"/>
        <w:gridCol w:w="911"/>
        <w:gridCol w:w="950"/>
        <w:gridCol w:w="911"/>
        <w:gridCol w:w="950"/>
        <w:gridCol w:w="911"/>
        <w:gridCol w:w="939"/>
      </w:tblGrid>
      <w:tr w:rsidR="00E809F1" w:rsidRPr="00E23B8D" w:rsidTr="00CC18AA">
        <w:trPr>
          <w:trHeight w:val="300"/>
        </w:trPr>
        <w:tc>
          <w:tcPr>
            <w:tcW w:w="1054" w:type="pct"/>
            <w:vMerge w:val="restart"/>
            <w:shd w:val="clear" w:color="auto" w:fill="D9D9D9"/>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Site</w:t>
            </w:r>
          </w:p>
        </w:tc>
        <w:tc>
          <w:tcPr>
            <w:tcW w:w="3946" w:type="pct"/>
            <w:gridSpan w:val="12"/>
            <w:shd w:val="clear" w:color="auto" w:fill="D9D9D9"/>
            <w:noWrap/>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Gwydir Wetlands</w:t>
            </w:r>
          </w:p>
        </w:tc>
      </w:tr>
      <w:tr w:rsidR="00E809F1" w:rsidRPr="00E23B8D" w:rsidTr="00CC18AA">
        <w:trPr>
          <w:trHeight w:val="300"/>
        </w:trPr>
        <w:tc>
          <w:tcPr>
            <w:tcW w:w="1054" w:type="pct"/>
            <w:vMerge/>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p>
        </w:tc>
        <w:tc>
          <w:tcPr>
            <w:tcW w:w="1318" w:type="pct"/>
            <w:gridSpan w:val="4"/>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Eastern Dam</w:t>
            </w:r>
          </w:p>
        </w:tc>
        <w:tc>
          <w:tcPr>
            <w:tcW w:w="1316" w:type="pct"/>
            <w:gridSpan w:val="4"/>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Middle Dam</w:t>
            </w:r>
          </w:p>
        </w:tc>
        <w:tc>
          <w:tcPr>
            <w:tcW w:w="1312" w:type="pct"/>
            <w:gridSpan w:val="4"/>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Western Dam</w:t>
            </w:r>
          </w:p>
        </w:tc>
      </w:tr>
      <w:tr w:rsidR="00E809F1" w:rsidRPr="00E23B8D" w:rsidTr="00CC18AA">
        <w:trPr>
          <w:trHeight w:val="300"/>
        </w:trPr>
        <w:tc>
          <w:tcPr>
            <w:tcW w:w="1054" w:type="pct"/>
            <w:vMerge/>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p>
        </w:tc>
        <w:tc>
          <w:tcPr>
            <w:tcW w:w="657" w:type="pct"/>
            <w:gridSpan w:val="2"/>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Dec-15</w:t>
            </w:r>
          </w:p>
        </w:tc>
        <w:tc>
          <w:tcPr>
            <w:tcW w:w="660" w:type="pct"/>
            <w:gridSpan w:val="2"/>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Feb-16</w:t>
            </w:r>
          </w:p>
        </w:tc>
        <w:tc>
          <w:tcPr>
            <w:tcW w:w="658" w:type="pct"/>
            <w:gridSpan w:val="2"/>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Dec-15</w:t>
            </w:r>
          </w:p>
        </w:tc>
        <w:tc>
          <w:tcPr>
            <w:tcW w:w="658" w:type="pct"/>
            <w:gridSpan w:val="2"/>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Feb-16</w:t>
            </w:r>
          </w:p>
        </w:tc>
        <w:tc>
          <w:tcPr>
            <w:tcW w:w="658" w:type="pct"/>
            <w:gridSpan w:val="2"/>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Dec-15</w:t>
            </w:r>
          </w:p>
        </w:tc>
        <w:tc>
          <w:tcPr>
            <w:tcW w:w="654" w:type="pct"/>
            <w:gridSpan w:val="2"/>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Feb-16</w:t>
            </w:r>
          </w:p>
        </w:tc>
      </w:tr>
      <w:tr w:rsidR="005F23F1" w:rsidRPr="00E23B8D" w:rsidTr="00CC18AA">
        <w:trPr>
          <w:trHeight w:val="600"/>
        </w:trPr>
        <w:tc>
          <w:tcPr>
            <w:tcW w:w="1054" w:type="pct"/>
            <w:vMerge/>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p>
        </w:tc>
        <w:tc>
          <w:tcPr>
            <w:tcW w:w="322" w:type="pct"/>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Call activity</w:t>
            </w:r>
          </w:p>
        </w:tc>
        <w:tc>
          <w:tcPr>
            <w:tcW w:w="336" w:type="pct"/>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No. sighted</w:t>
            </w:r>
          </w:p>
        </w:tc>
        <w:tc>
          <w:tcPr>
            <w:tcW w:w="322" w:type="pct"/>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Call activity</w:t>
            </w:r>
          </w:p>
        </w:tc>
        <w:tc>
          <w:tcPr>
            <w:tcW w:w="338" w:type="pct"/>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No. sighted</w:t>
            </w:r>
          </w:p>
        </w:tc>
        <w:tc>
          <w:tcPr>
            <w:tcW w:w="322" w:type="pct"/>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Call activity</w:t>
            </w:r>
          </w:p>
        </w:tc>
        <w:tc>
          <w:tcPr>
            <w:tcW w:w="336" w:type="pct"/>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No. sighted</w:t>
            </w:r>
          </w:p>
        </w:tc>
        <w:tc>
          <w:tcPr>
            <w:tcW w:w="322" w:type="pct"/>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Call activity</w:t>
            </w:r>
          </w:p>
        </w:tc>
        <w:tc>
          <w:tcPr>
            <w:tcW w:w="336" w:type="pct"/>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No. sighted</w:t>
            </w:r>
          </w:p>
        </w:tc>
        <w:tc>
          <w:tcPr>
            <w:tcW w:w="322" w:type="pct"/>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Call activity</w:t>
            </w:r>
          </w:p>
        </w:tc>
        <w:tc>
          <w:tcPr>
            <w:tcW w:w="336" w:type="pct"/>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No. sighted</w:t>
            </w:r>
          </w:p>
        </w:tc>
        <w:tc>
          <w:tcPr>
            <w:tcW w:w="322" w:type="pct"/>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Call activity</w:t>
            </w:r>
          </w:p>
        </w:tc>
        <w:tc>
          <w:tcPr>
            <w:tcW w:w="332" w:type="pct"/>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No. sighted</w:t>
            </w:r>
          </w:p>
        </w:tc>
      </w:tr>
      <w:tr w:rsidR="00E809F1" w:rsidRPr="00E23B8D" w:rsidTr="00E23B8D">
        <w:trPr>
          <w:trHeight w:val="600"/>
        </w:trPr>
        <w:tc>
          <w:tcPr>
            <w:tcW w:w="1054" w:type="pct"/>
            <w:shd w:val="clear" w:color="auto" w:fill="auto"/>
            <w:vAlign w:val="center"/>
            <w:hideMark/>
          </w:tcPr>
          <w:p w:rsidR="00E809F1" w:rsidRPr="00E23B8D" w:rsidRDefault="00E809F1" w:rsidP="00433ED5">
            <w:pPr>
              <w:spacing w:before="60" w:after="60" w:line="240" w:lineRule="exact"/>
              <w:jc w:val="left"/>
              <w:rPr>
                <w:rFonts w:cs="Arial"/>
                <w:color w:val="000000"/>
                <w:szCs w:val="20"/>
                <w:lang w:eastAsia="en-AU"/>
              </w:rPr>
            </w:pPr>
            <w:r w:rsidRPr="00E23B8D">
              <w:rPr>
                <w:rFonts w:cs="Arial"/>
                <w:color w:val="000000"/>
                <w:szCs w:val="20"/>
                <w:lang w:eastAsia="en-AU"/>
              </w:rPr>
              <w:t xml:space="preserve">Peron’s tree frog </w:t>
            </w:r>
            <w:r w:rsidRPr="00E23B8D">
              <w:rPr>
                <w:rFonts w:cs="Arial"/>
                <w:color w:val="000000"/>
                <w:szCs w:val="20"/>
                <w:lang w:eastAsia="en-AU"/>
              </w:rPr>
              <w:br/>
              <w:t>(</w:t>
            </w:r>
            <w:r w:rsidRPr="00E23B8D">
              <w:rPr>
                <w:rFonts w:cs="Arial"/>
                <w:i/>
                <w:iCs/>
                <w:color w:val="000000"/>
                <w:szCs w:val="20"/>
                <w:lang w:eastAsia="en-AU"/>
              </w:rPr>
              <w:t>Litoria peroni</w:t>
            </w:r>
            <w:r w:rsidRPr="00E23B8D">
              <w:rPr>
                <w:rFonts w:cs="Arial"/>
                <w:color w:val="000000"/>
                <w:szCs w:val="20"/>
                <w:lang w:eastAsia="en-AU"/>
              </w:rPr>
              <w:t>)</w:t>
            </w:r>
          </w:p>
        </w:tc>
        <w:tc>
          <w:tcPr>
            <w:tcW w:w="322" w:type="pct"/>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p>
        </w:tc>
        <w:tc>
          <w:tcPr>
            <w:tcW w:w="336" w:type="pct"/>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p>
        </w:tc>
        <w:tc>
          <w:tcPr>
            <w:tcW w:w="322" w:type="pct"/>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Low</w:t>
            </w:r>
          </w:p>
        </w:tc>
        <w:tc>
          <w:tcPr>
            <w:tcW w:w="338" w:type="pct"/>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p>
        </w:tc>
        <w:tc>
          <w:tcPr>
            <w:tcW w:w="322" w:type="pct"/>
            <w:shd w:val="clear" w:color="auto" w:fill="auto"/>
            <w:noWrap/>
            <w:vAlign w:val="center"/>
            <w:hideMark/>
          </w:tcPr>
          <w:p w:rsidR="00E809F1" w:rsidRPr="00E23B8D" w:rsidRDefault="00E809F1" w:rsidP="002159C6">
            <w:pPr>
              <w:spacing w:before="60" w:after="60" w:line="240" w:lineRule="exact"/>
              <w:jc w:val="center"/>
              <w:rPr>
                <w:rFonts w:cs="Arial"/>
                <w:color w:val="000000"/>
                <w:szCs w:val="20"/>
                <w:lang w:eastAsia="en-AU"/>
              </w:rPr>
            </w:pPr>
          </w:p>
        </w:tc>
        <w:tc>
          <w:tcPr>
            <w:tcW w:w="336" w:type="pct"/>
            <w:shd w:val="clear" w:color="auto" w:fill="auto"/>
            <w:noWrap/>
            <w:vAlign w:val="center"/>
            <w:hideMark/>
          </w:tcPr>
          <w:p w:rsidR="00E809F1" w:rsidRPr="00E23B8D" w:rsidRDefault="00E809F1" w:rsidP="002159C6">
            <w:pPr>
              <w:spacing w:before="60" w:after="60" w:line="240" w:lineRule="exact"/>
              <w:jc w:val="center"/>
              <w:rPr>
                <w:rFonts w:cs="Arial"/>
                <w:color w:val="000000"/>
                <w:szCs w:val="20"/>
                <w:lang w:eastAsia="en-AU"/>
              </w:rPr>
            </w:pPr>
          </w:p>
        </w:tc>
        <w:tc>
          <w:tcPr>
            <w:tcW w:w="322" w:type="pct"/>
            <w:shd w:val="clear" w:color="auto" w:fill="auto"/>
            <w:noWrap/>
            <w:vAlign w:val="center"/>
            <w:hideMark/>
          </w:tcPr>
          <w:p w:rsidR="00E809F1" w:rsidRPr="00E23B8D" w:rsidRDefault="00E809F1" w:rsidP="00704E86">
            <w:pPr>
              <w:spacing w:before="60" w:after="60" w:line="240" w:lineRule="exact"/>
              <w:jc w:val="center"/>
              <w:rPr>
                <w:rFonts w:cs="Arial"/>
                <w:color w:val="000000"/>
                <w:szCs w:val="20"/>
                <w:lang w:eastAsia="en-AU"/>
              </w:rPr>
            </w:pPr>
            <w:r w:rsidRPr="00E23B8D">
              <w:rPr>
                <w:rFonts w:cs="Arial"/>
                <w:color w:val="000000"/>
                <w:szCs w:val="20"/>
                <w:lang w:eastAsia="en-AU"/>
              </w:rPr>
              <w:t>Low</w:t>
            </w:r>
          </w:p>
        </w:tc>
        <w:tc>
          <w:tcPr>
            <w:tcW w:w="336" w:type="pct"/>
            <w:shd w:val="clear" w:color="auto" w:fill="auto"/>
            <w:noWrap/>
            <w:vAlign w:val="center"/>
            <w:hideMark/>
          </w:tcPr>
          <w:p w:rsidR="00E809F1" w:rsidRPr="00E23B8D" w:rsidRDefault="00E809F1" w:rsidP="00A5046E">
            <w:pPr>
              <w:spacing w:before="60" w:after="60" w:line="240" w:lineRule="exact"/>
              <w:jc w:val="center"/>
              <w:rPr>
                <w:rFonts w:cs="Arial"/>
                <w:color w:val="000000"/>
                <w:szCs w:val="20"/>
                <w:lang w:eastAsia="en-AU"/>
              </w:rPr>
            </w:pPr>
          </w:p>
        </w:tc>
        <w:tc>
          <w:tcPr>
            <w:tcW w:w="322" w:type="pct"/>
            <w:shd w:val="clear" w:color="auto" w:fill="auto"/>
            <w:noWrap/>
            <w:vAlign w:val="center"/>
            <w:hideMark/>
          </w:tcPr>
          <w:p w:rsidR="00E809F1" w:rsidRPr="00E23B8D" w:rsidRDefault="00E809F1" w:rsidP="00A5046E">
            <w:pPr>
              <w:spacing w:before="60" w:after="60" w:line="240" w:lineRule="exact"/>
              <w:jc w:val="center"/>
              <w:rPr>
                <w:rFonts w:cs="Arial"/>
                <w:color w:val="000000"/>
                <w:szCs w:val="20"/>
                <w:lang w:eastAsia="en-AU"/>
              </w:rPr>
            </w:pPr>
            <w:r w:rsidRPr="00E23B8D">
              <w:rPr>
                <w:rFonts w:cs="Arial"/>
                <w:color w:val="000000"/>
                <w:szCs w:val="20"/>
                <w:lang w:eastAsia="en-AU"/>
              </w:rPr>
              <w:t>Low</w:t>
            </w:r>
          </w:p>
        </w:tc>
        <w:tc>
          <w:tcPr>
            <w:tcW w:w="336" w:type="pct"/>
            <w:shd w:val="clear" w:color="auto" w:fill="auto"/>
            <w:noWrap/>
            <w:vAlign w:val="center"/>
            <w:hideMark/>
          </w:tcPr>
          <w:p w:rsidR="00E809F1" w:rsidRPr="00E23B8D" w:rsidRDefault="00E809F1" w:rsidP="00E060B9">
            <w:pPr>
              <w:spacing w:before="60" w:after="60" w:line="240" w:lineRule="exact"/>
              <w:jc w:val="center"/>
              <w:rPr>
                <w:rFonts w:cs="Arial"/>
                <w:color w:val="000000"/>
                <w:szCs w:val="20"/>
                <w:lang w:eastAsia="en-AU"/>
              </w:rPr>
            </w:pPr>
            <w:r w:rsidRPr="00E23B8D">
              <w:rPr>
                <w:rFonts w:cs="Arial"/>
                <w:color w:val="000000"/>
                <w:szCs w:val="20"/>
                <w:lang w:eastAsia="en-AU"/>
              </w:rPr>
              <w:t>2</w:t>
            </w:r>
          </w:p>
        </w:tc>
        <w:tc>
          <w:tcPr>
            <w:tcW w:w="322" w:type="pct"/>
            <w:shd w:val="clear" w:color="auto" w:fill="auto"/>
            <w:noWrap/>
            <w:vAlign w:val="center"/>
            <w:hideMark/>
          </w:tcPr>
          <w:p w:rsidR="00E809F1" w:rsidRPr="00E23B8D" w:rsidRDefault="00E809F1" w:rsidP="009C1427">
            <w:pPr>
              <w:spacing w:before="60" w:after="60" w:line="240" w:lineRule="exact"/>
              <w:jc w:val="center"/>
              <w:rPr>
                <w:rFonts w:cs="Arial"/>
                <w:color w:val="000000"/>
                <w:szCs w:val="20"/>
                <w:lang w:eastAsia="en-AU"/>
              </w:rPr>
            </w:pPr>
          </w:p>
        </w:tc>
        <w:tc>
          <w:tcPr>
            <w:tcW w:w="332" w:type="pct"/>
            <w:shd w:val="clear" w:color="auto" w:fill="auto"/>
            <w:noWrap/>
            <w:vAlign w:val="center"/>
            <w:hideMark/>
          </w:tcPr>
          <w:p w:rsidR="00E809F1" w:rsidRPr="00E23B8D" w:rsidRDefault="00E809F1" w:rsidP="009C1427">
            <w:pPr>
              <w:spacing w:before="60" w:after="60" w:line="240" w:lineRule="exact"/>
              <w:jc w:val="center"/>
              <w:rPr>
                <w:rFonts w:cs="Arial"/>
                <w:color w:val="000000"/>
                <w:szCs w:val="20"/>
                <w:lang w:eastAsia="en-AU"/>
              </w:rPr>
            </w:pPr>
          </w:p>
        </w:tc>
      </w:tr>
      <w:tr w:rsidR="00E809F1" w:rsidRPr="00E23B8D" w:rsidTr="00E23B8D">
        <w:trPr>
          <w:trHeight w:val="600"/>
        </w:trPr>
        <w:tc>
          <w:tcPr>
            <w:tcW w:w="1054" w:type="pct"/>
            <w:shd w:val="clear" w:color="auto" w:fill="auto"/>
            <w:vAlign w:val="center"/>
            <w:hideMark/>
          </w:tcPr>
          <w:p w:rsidR="00E809F1" w:rsidRPr="00E23B8D" w:rsidRDefault="00E809F1" w:rsidP="00433ED5">
            <w:pPr>
              <w:spacing w:before="60" w:after="60" w:line="240" w:lineRule="exact"/>
              <w:jc w:val="left"/>
              <w:rPr>
                <w:rFonts w:cs="Arial"/>
                <w:color w:val="000000"/>
                <w:szCs w:val="20"/>
                <w:lang w:eastAsia="en-AU"/>
              </w:rPr>
            </w:pPr>
            <w:r w:rsidRPr="00E23B8D">
              <w:rPr>
                <w:rFonts w:cs="Arial"/>
                <w:color w:val="000000"/>
                <w:szCs w:val="20"/>
                <w:lang w:eastAsia="en-AU"/>
              </w:rPr>
              <w:t xml:space="preserve">Broad-palmed rocket frog </w:t>
            </w:r>
            <w:r w:rsidRPr="00E23B8D">
              <w:rPr>
                <w:rFonts w:cs="Arial"/>
                <w:color w:val="000000"/>
                <w:szCs w:val="20"/>
                <w:lang w:eastAsia="en-AU"/>
              </w:rPr>
              <w:br/>
              <w:t>(</w:t>
            </w:r>
            <w:r w:rsidRPr="00E23B8D">
              <w:rPr>
                <w:rFonts w:cs="Arial"/>
                <w:i/>
                <w:iCs/>
                <w:color w:val="000000"/>
                <w:szCs w:val="20"/>
                <w:lang w:eastAsia="en-AU"/>
              </w:rPr>
              <w:t>Litoria latopalmata</w:t>
            </w:r>
            <w:r w:rsidRPr="00E23B8D">
              <w:rPr>
                <w:rFonts w:cs="Arial"/>
                <w:color w:val="000000"/>
                <w:szCs w:val="20"/>
                <w:lang w:eastAsia="en-AU"/>
              </w:rPr>
              <w:t>)</w:t>
            </w:r>
          </w:p>
        </w:tc>
        <w:tc>
          <w:tcPr>
            <w:tcW w:w="322" w:type="pct"/>
            <w:shd w:val="clear" w:color="auto" w:fill="auto"/>
            <w:noWrap/>
            <w:vAlign w:val="center"/>
            <w:hideMark/>
          </w:tcPr>
          <w:p w:rsidR="00E809F1" w:rsidRPr="00E23B8D" w:rsidRDefault="00617870" w:rsidP="00433ED5">
            <w:pPr>
              <w:spacing w:before="60" w:after="60" w:line="240" w:lineRule="exact"/>
              <w:jc w:val="center"/>
              <w:rPr>
                <w:rFonts w:cs="Arial"/>
                <w:color w:val="000000"/>
                <w:szCs w:val="20"/>
                <w:lang w:eastAsia="en-AU"/>
              </w:rPr>
            </w:pPr>
            <w:r w:rsidRPr="00E23B8D">
              <w:rPr>
                <w:rFonts w:cs="Arial"/>
                <w:color w:val="000000"/>
                <w:szCs w:val="20"/>
                <w:lang w:eastAsia="en-AU"/>
              </w:rPr>
              <w:t>Nil</w:t>
            </w:r>
          </w:p>
        </w:tc>
        <w:tc>
          <w:tcPr>
            <w:tcW w:w="336" w:type="pct"/>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2</w:t>
            </w:r>
          </w:p>
        </w:tc>
        <w:tc>
          <w:tcPr>
            <w:tcW w:w="322" w:type="pct"/>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Low</w:t>
            </w:r>
          </w:p>
        </w:tc>
        <w:tc>
          <w:tcPr>
            <w:tcW w:w="338" w:type="pct"/>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p>
        </w:tc>
        <w:tc>
          <w:tcPr>
            <w:tcW w:w="322" w:type="pct"/>
            <w:shd w:val="clear" w:color="auto" w:fill="auto"/>
            <w:noWrap/>
            <w:vAlign w:val="center"/>
            <w:hideMark/>
          </w:tcPr>
          <w:p w:rsidR="00E809F1" w:rsidRPr="00E23B8D" w:rsidRDefault="00E809F1" w:rsidP="002159C6">
            <w:pPr>
              <w:spacing w:before="60" w:after="60" w:line="240" w:lineRule="exact"/>
              <w:jc w:val="center"/>
              <w:rPr>
                <w:rFonts w:cs="Arial"/>
                <w:color w:val="000000"/>
                <w:szCs w:val="20"/>
                <w:lang w:eastAsia="en-AU"/>
              </w:rPr>
            </w:pPr>
          </w:p>
        </w:tc>
        <w:tc>
          <w:tcPr>
            <w:tcW w:w="336" w:type="pct"/>
            <w:shd w:val="clear" w:color="auto" w:fill="auto"/>
            <w:noWrap/>
            <w:vAlign w:val="center"/>
            <w:hideMark/>
          </w:tcPr>
          <w:p w:rsidR="00E809F1" w:rsidRPr="00E23B8D" w:rsidRDefault="00E809F1" w:rsidP="002159C6">
            <w:pPr>
              <w:spacing w:before="60" w:after="60" w:line="240" w:lineRule="exact"/>
              <w:jc w:val="center"/>
              <w:rPr>
                <w:rFonts w:cs="Arial"/>
                <w:color w:val="000000"/>
                <w:szCs w:val="20"/>
                <w:lang w:eastAsia="en-AU"/>
              </w:rPr>
            </w:pPr>
          </w:p>
        </w:tc>
        <w:tc>
          <w:tcPr>
            <w:tcW w:w="322" w:type="pct"/>
            <w:shd w:val="clear" w:color="auto" w:fill="auto"/>
            <w:noWrap/>
            <w:vAlign w:val="center"/>
            <w:hideMark/>
          </w:tcPr>
          <w:p w:rsidR="00E809F1" w:rsidRPr="00E23B8D" w:rsidRDefault="00E809F1" w:rsidP="00704E86">
            <w:pPr>
              <w:spacing w:before="60" w:after="60" w:line="240" w:lineRule="exact"/>
              <w:jc w:val="center"/>
              <w:rPr>
                <w:rFonts w:cs="Arial"/>
                <w:color w:val="000000"/>
                <w:szCs w:val="20"/>
                <w:lang w:eastAsia="en-AU"/>
              </w:rPr>
            </w:pPr>
          </w:p>
        </w:tc>
        <w:tc>
          <w:tcPr>
            <w:tcW w:w="336" w:type="pct"/>
            <w:shd w:val="clear" w:color="auto" w:fill="auto"/>
            <w:noWrap/>
            <w:vAlign w:val="center"/>
            <w:hideMark/>
          </w:tcPr>
          <w:p w:rsidR="00E809F1" w:rsidRPr="00E23B8D" w:rsidRDefault="00E809F1" w:rsidP="00A5046E">
            <w:pPr>
              <w:spacing w:before="60" w:after="60" w:line="240" w:lineRule="exact"/>
              <w:jc w:val="center"/>
              <w:rPr>
                <w:rFonts w:cs="Arial"/>
                <w:color w:val="000000"/>
                <w:szCs w:val="20"/>
                <w:lang w:eastAsia="en-AU"/>
              </w:rPr>
            </w:pPr>
            <w:r w:rsidRPr="00E23B8D">
              <w:rPr>
                <w:rFonts w:cs="Arial"/>
                <w:color w:val="000000"/>
                <w:szCs w:val="20"/>
                <w:lang w:eastAsia="en-AU"/>
              </w:rPr>
              <w:t>1</w:t>
            </w:r>
          </w:p>
        </w:tc>
        <w:tc>
          <w:tcPr>
            <w:tcW w:w="322" w:type="pct"/>
            <w:shd w:val="clear" w:color="auto" w:fill="auto"/>
            <w:noWrap/>
            <w:vAlign w:val="center"/>
            <w:hideMark/>
          </w:tcPr>
          <w:p w:rsidR="00E809F1" w:rsidRPr="00E23B8D" w:rsidRDefault="00E809F1" w:rsidP="00A5046E">
            <w:pPr>
              <w:spacing w:before="60" w:after="60" w:line="240" w:lineRule="exact"/>
              <w:jc w:val="center"/>
              <w:rPr>
                <w:rFonts w:cs="Arial"/>
                <w:color w:val="000000"/>
                <w:szCs w:val="20"/>
                <w:lang w:eastAsia="en-AU"/>
              </w:rPr>
            </w:pPr>
          </w:p>
        </w:tc>
        <w:tc>
          <w:tcPr>
            <w:tcW w:w="336" w:type="pct"/>
            <w:shd w:val="clear" w:color="auto" w:fill="auto"/>
            <w:noWrap/>
            <w:vAlign w:val="center"/>
            <w:hideMark/>
          </w:tcPr>
          <w:p w:rsidR="00E809F1" w:rsidRPr="00E23B8D" w:rsidRDefault="00E809F1" w:rsidP="00E060B9">
            <w:pPr>
              <w:spacing w:before="60" w:after="60" w:line="240" w:lineRule="exact"/>
              <w:jc w:val="center"/>
              <w:rPr>
                <w:rFonts w:cs="Arial"/>
                <w:color w:val="000000"/>
                <w:szCs w:val="20"/>
                <w:lang w:eastAsia="en-AU"/>
              </w:rPr>
            </w:pPr>
            <w:r w:rsidRPr="00E23B8D">
              <w:rPr>
                <w:rFonts w:cs="Arial"/>
                <w:color w:val="000000"/>
                <w:szCs w:val="20"/>
                <w:lang w:eastAsia="en-AU"/>
              </w:rPr>
              <w:t>4</w:t>
            </w:r>
          </w:p>
        </w:tc>
        <w:tc>
          <w:tcPr>
            <w:tcW w:w="322" w:type="pct"/>
            <w:shd w:val="clear" w:color="auto" w:fill="auto"/>
            <w:noWrap/>
            <w:vAlign w:val="center"/>
            <w:hideMark/>
          </w:tcPr>
          <w:p w:rsidR="00E809F1" w:rsidRPr="00E23B8D" w:rsidRDefault="00E809F1" w:rsidP="009C1427">
            <w:pPr>
              <w:spacing w:before="60" w:after="60" w:line="240" w:lineRule="exact"/>
              <w:jc w:val="center"/>
              <w:rPr>
                <w:rFonts w:cs="Arial"/>
                <w:color w:val="000000"/>
                <w:szCs w:val="20"/>
                <w:lang w:eastAsia="en-AU"/>
              </w:rPr>
            </w:pPr>
          </w:p>
        </w:tc>
        <w:tc>
          <w:tcPr>
            <w:tcW w:w="332" w:type="pct"/>
            <w:shd w:val="clear" w:color="auto" w:fill="auto"/>
            <w:noWrap/>
            <w:vAlign w:val="center"/>
            <w:hideMark/>
          </w:tcPr>
          <w:p w:rsidR="00E809F1" w:rsidRPr="00E23B8D" w:rsidRDefault="00E809F1" w:rsidP="009C1427">
            <w:pPr>
              <w:spacing w:before="60" w:after="60" w:line="240" w:lineRule="exact"/>
              <w:jc w:val="center"/>
              <w:rPr>
                <w:rFonts w:cs="Arial"/>
                <w:color w:val="000000"/>
                <w:szCs w:val="20"/>
                <w:lang w:eastAsia="en-AU"/>
              </w:rPr>
            </w:pPr>
          </w:p>
        </w:tc>
      </w:tr>
      <w:tr w:rsidR="00E809F1" w:rsidRPr="00E23B8D" w:rsidTr="00E23B8D">
        <w:trPr>
          <w:trHeight w:val="600"/>
        </w:trPr>
        <w:tc>
          <w:tcPr>
            <w:tcW w:w="1054" w:type="pct"/>
            <w:shd w:val="clear" w:color="auto" w:fill="auto"/>
            <w:vAlign w:val="center"/>
            <w:hideMark/>
          </w:tcPr>
          <w:p w:rsidR="00E809F1" w:rsidRPr="00E23B8D" w:rsidRDefault="00E809F1" w:rsidP="00433ED5">
            <w:pPr>
              <w:spacing w:before="60" w:after="60" w:line="240" w:lineRule="exact"/>
              <w:jc w:val="left"/>
              <w:rPr>
                <w:rFonts w:cs="Arial"/>
                <w:color w:val="000000"/>
                <w:szCs w:val="20"/>
                <w:lang w:eastAsia="en-AU"/>
              </w:rPr>
            </w:pPr>
            <w:r w:rsidRPr="00E23B8D">
              <w:rPr>
                <w:rFonts w:cs="Arial"/>
                <w:color w:val="000000"/>
                <w:szCs w:val="20"/>
                <w:lang w:eastAsia="en-AU"/>
              </w:rPr>
              <w:t xml:space="preserve">Striped burrowing frog </w:t>
            </w:r>
            <w:r w:rsidRPr="00E23B8D">
              <w:rPr>
                <w:rFonts w:cs="Arial"/>
                <w:color w:val="000000"/>
                <w:szCs w:val="20"/>
                <w:lang w:eastAsia="en-AU"/>
              </w:rPr>
              <w:br/>
              <w:t>(</w:t>
            </w:r>
            <w:r w:rsidRPr="00E23B8D">
              <w:rPr>
                <w:rFonts w:cs="Arial"/>
                <w:i/>
                <w:iCs/>
                <w:color w:val="000000"/>
                <w:szCs w:val="20"/>
                <w:lang w:eastAsia="en-AU"/>
              </w:rPr>
              <w:t>Cyclorana alboguttata)</w:t>
            </w:r>
          </w:p>
        </w:tc>
        <w:tc>
          <w:tcPr>
            <w:tcW w:w="322" w:type="pct"/>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p>
        </w:tc>
        <w:tc>
          <w:tcPr>
            <w:tcW w:w="336" w:type="pct"/>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p>
        </w:tc>
        <w:tc>
          <w:tcPr>
            <w:tcW w:w="322" w:type="pct"/>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Low</w:t>
            </w:r>
          </w:p>
        </w:tc>
        <w:tc>
          <w:tcPr>
            <w:tcW w:w="338" w:type="pct"/>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p>
        </w:tc>
        <w:tc>
          <w:tcPr>
            <w:tcW w:w="322" w:type="pct"/>
            <w:shd w:val="clear" w:color="auto" w:fill="auto"/>
            <w:noWrap/>
            <w:vAlign w:val="center"/>
            <w:hideMark/>
          </w:tcPr>
          <w:p w:rsidR="00E809F1" w:rsidRPr="00E23B8D" w:rsidRDefault="00E809F1" w:rsidP="002159C6">
            <w:pPr>
              <w:spacing w:before="60" w:after="60" w:line="240" w:lineRule="exact"/>
              <w:jc w:val="center"/>
              <w:rPr>
                <w:rFonts w:cs="Arial"/>
                <w:color w:val="000000"/>
                <w:szCs w:val="20"/>
                <w:lang w:eastAsia="en-AU"/>
              </w:rPr>
            </w:pPr>
          </w:p>
        </w:tc>
        <w:tc>
          <w:tcPr>
            <w:tcW w:w="336" w:type="pct"/>
            <w:shd w:val="clear" w:color="auto" w:fill="auto"/>
            <w:noWrap/>
            <w:vAlign w:val="center"/>
            <w:hideMark/>
          </w:tcPr>
          <w:p w:rsidR="00E809F1" w:rsidRPr="00E23B8D" w:rsidRDefault="00E809F1" w:rsidP="002159C6">
            <w:pPr>
              <w:spacing w:before="60" w:after="60" w:line="240" w:lineRule="exact"/>
              <w:jc w:val="center"/>
              <w:rPr>
                <w:rFonts w:cs="Arial"/>
                <w:color w:val="000000"/>
                <w:szCs w:val="20"/>
                <w:lang w:eastAsia="en-AU"/>
              </w:rPr>
            </w:pPr>
          </w:p>
        </w:tc>
        <w:tc>
          <w:tcPr>
            <w:tcW w:w="322" w:type="pct"/>
            <w:shd w:val="clear" w:color="auto" w:fill="auto"/>
            <w:noWrap/>
            <w:vAlign w:val="center"/>
            <w:hideMark/>
          </w:tcPr>
          <w:p w:rsidR="00E809F1" w:rsidRPr="00E23B8D" w:rsidRDefault="00E809F1" w:rsidP="00704E86">
            <w:pPr>
              <w:spacing w:before="60" w:after="60" w:line="240" w:lineRule="exact"/>
              <w:jc w:val="center"/>
              <w:rPr>
                <w:rFonts w:cs="Arial"/>
                <w:color w:val="000000"/>
                <w:szCs w:val="20"/>
                <w:lang w:eastAsia="en-AU"/>
              </w:rPr>
            </w:pPr>
          </w:p>
        </w:tc>
        <w:tc>
          <w:tcPr>
            <w:tcW w:w="336" w:type="pct"/>
            <w:shd w:val="clear" w:color="auto" w:fill="auto"/>
            <w:noWrap/>
            <w:vAlign w:val="center"/>
            <w:hideMark/>
          </w:tcPr>
          <w:p w:rsidR="00E809F1" w:rsidRPr="00E23B8D" w:rsidRDefault="00E809F1" w:rsidP="00A5046E">
            <w:pPr>
              <w:spacing w:before="60" w:after="60" w:line="240" w:lineRule="exact"/>
              <w:jc w:val="center"/>
              <w:rPr>
                <w:rFonts w:cs="Arial"/>
                <w:color w:val="000000"/>
                <w:szCs w:val="20"/>
                <w:lang w:eastAsia="en-AU"/>
              </w:rPr>
            </w:pPr>
          </w:p>
        </w:tc>
        <w:tc>
          <w:tcPr>
            <w:tcW w:w="322" w:type="pct"/>
            <w:shd w:val="clear" w:color="auto" w:fill="auto"/>
            <w:noWrap/>
            <w:vAlign w:val="center"/>
            <w:hideMark/>
          </w:tcPr>
          <w:p w:rsidR="00E809F1" w:rsidRPr="00E23B8D" w:rsidRDefault="00E809F1" w:rsidP="00A5046E">
            <w:pPr>
              <w:spacing w:before="60" w:after="60" w:line="240" w:lineRule="exact"/>
              <w:jc w:val="center"/>
              <w:rPr>
                <w:rFonts w:cs="Arial"/>
                <w:color w:val="000000"/>
                <w:szCs w:val="20"/>
                <w:lang w:eastAsia="en-AU"/>
              </w:rPr>
            </w:pPr>
          </w:p>
        </w:tc>
        <w:tc>
          <w:tcPr>
            <w:tcW w:w="336" w:type="pct"/>
            <w:shd w:val="clear" w:color="auto" w:fill="auto"/>
            <w:noWrap/>
            <w:vAlign w:val="center"/>
            <w:hideMark/>
          </w:tcPr>
          <w:p w:rsidR="00E809F1" w:rsidRPr="00E23B8D" w:rsidRDefault="00E809F1" w:rsidP="00E060B9">
            <w:pPr>
              <w:spacing w:before="60" w:after="60" w:line="240" w:lineRule="exact"/>
              <w:jc w:val="center"/>
              <w:rPr>
                <w:rFonts w:cs="Arial"/>
                <w:color w:val="000000"/>
                <w:szCs w:val="20"/>
                <w:lang w:eastAsia="en-AU"/>
              </w:rPr>
            </w:pPr>
          </w:p>
        </w:tc>
        <w:tc>
          <w:tcPr>
            <w:tcW w:w="322" w:type="pct"/>
            <w:shd w:val="clear" w:color="auto" w:fill="auto"/>
            <w:noWrap/>
            <w:vAlign w:val="center"/>
            <w:hideMark/>
          </w:tcPr>
          <w:p w:rsidR="00E809F1" w:rsidRPr="00E23B8D" w:rsidRDefault="00E809F1" w:rsidP="009C1427">
            <w:pPr>
              <w:spacing w:before="60" w:after="60" w:line="240" w:lineRule="exact"/>
              <w:jc w:val="center"/>
              <w:rPr>
                <w:rFonts w:cs="Arial"/>
                <w:color w:val="000000"/>
                <w:szCs w:val="20"/>
                <w:lang w:eastAsia="en-AU"/>
              </w:rPr>
            </w:pPr>
            <w:r w:rsidRPr="00E23B8D">
              <w:rPr>
                <w:rFonts w:cs="Arial"/>
                <w:color w:val="000000"/>
                <w:szCs w:val="20"/>
                <w:lang w:eastAsia="en-AU"/>
              </w:rPr>
              <w:t>Low</w:t>
            </w:r>
          </w:p>
        </w:tc>
        <w:tc>
          <w:tcPr>
            <w:tcW w:w="332" w:type="pct"/>
            <w:shd w:val="clear" w:color="auto" w:fill="auto"/>
            <w:noWrap/>
            <w:vAlign w:val="center"/>
            <w:hideMark/>
          </w:tcPr>
          <w:p w:rsidR="00E809F1" w:rsidRPr="00E23B8D" w:rsidRDefault="00E809F1" w:rsidP="009C1427">
            <w:pPr>
              <w:spacing w:before="60" w:after="60" w:line="240" w:lineRule="exact"/>
              <w:jc w:val="center"/>
              <w:rPr>
                <w:rFonts w:cs="Arial"/>
                <w:color w:val="000000"/>
                <w:szCs w:val="20"/>
                <w:lang w:eastAsia="en-AU"/>
              </w:rPr>
            </w:pPr>
            <w:r w:rsidRPr="00E23B8D">
              <w:rPr>
                <w:rFonts w:cs="Arial"/>
                <w:color w:val="000000"/>
                <w:szCs w:val="20"/>
                <w:lang w:eastAsia="en-AU"/>
              </w:rPr>
              <w:t>1</w:t>
            </w:r>
          </w:p>
        </w:tc>
      </w:tr>
      <w:tr w:rsidR="00E809F1" w:rsidRPr="00E23B8D" w:rsidTr="00E23B8D">
        <w:trPr>
          <w:trHeight w:val="600"/>
        </w:trPr>
        <w:tc>
          <w:tcPr>
            <w:tcW w:w="1054" w:type="pct"/>
            <w:shd w:val="clear" w:color="auto" w:fill="auto"/>
            <w:vAlign w:val="center"/>
            <w:hideMark/>
          </w:tcPr>
          <w:p w:rsidR="00E809F1" w:rsidRPr="00E23B8D" w:rsidRDefault="00E809F1" w:rsidP="00433ED5">
            <w:pPr>
              <w:spacing w:before="60" w:after="60" w:line="240" w:lineRule="exact"/>
              <w:jc w:val="left"/>
              <w:rPr>
                <w:rFonts w:cs="Arial"/>
                <w:color w:val="000000"/>
                <w:szCs w:val="20"/>
                <w:lang w:eastAsia="en-AU"/>
              </w:rPr>
            </w:pPr>
            <w:r w:rsidRPr="00E23B8D">
              <w:rPr>
                <w:rFonts w:cs="Arial"/>
                <w:color w:val="000000"/>
                <w:szCs w:val="20"/>
                <w:lang w:eastAsia="en-AU"/>
              </w:rPr>
              <w:t xml:space="preserve">Spotted marsh frog </w:t>
            </w:r>
            <w:r w:rsidRPr="00E23B8D">
              <w:rPr>
                <w:rFonts w:cs="Arial"/>
                <w:color w:val="000000"/>
                <w:szCs w:val="20"/>
                <w:lang w:eastAsia="en-AU"/>
              </w:rPr>
              <w:br/>
              <w:t>(</w:t>
            </w:r>
            <w:r w:rsidRPr="00E23B8D">
              <w:rPr>
                <w:rFonts w:cs="Arial"/>
                <w:i/>
                <w:iCs/>
                <w:color w:val="000000"/>
                <w:szCs w:val="20"/>
                <w:lang w:eastAsia="en-AU"/>
              </w:rPr>
              <w:t>Limnodynastes tasmaniensis</w:t>
            </w:r>
            <w:r w:rsidRPr="00E23B8D">
              <w:rPr>
                <w:rFonts w:cs="Arial"/>
                <w:color w:val="000000"/>
                <w:szCs w:val="20"/>
                <w:lang w:eastAsia="en-AU"/>
              </w:rPr>
              <w:t>)</w:t>
            </w:r>
          </w:p>
        </w:tc>
        <w:tc>
          <w:tcPr>
            <w:tcW w:w="322" w:type="pct"/>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p>
        </w:tc>
        <w:tc>
          <w:tcPr>
            <w:tcW w:w="336" w:type="pct"/>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p>
        </w:tc>
        <w:tc>
          <w:tcPr>
            <w:tcW w:w="322" w:type="pct"/>
            <w:shd w:val="clear" w:color="auto" w:fill="auto"/>
            <w:noWrap/>
            <w:vAlign w:val="center"/>
            <w:hideMark/>
          </w:tcPr>
          <w:p w:rsidR="00E809F1" w:rsidRPr="00E23B8D" w:rsidRDefault="00617870" w:rsidP="00433ED5">
            <w:pPr>
              <w:spacing w:before="60" w:after="60" w:line="240" w:lineRule="exact"/>
              <w:jc w:val="center"/>
              <w:rPr>
                <w:rFonts w:cs="Arial"/>
                <w:color w:val="000000"/>
                <w:szCs w:val="20"/>
                <w:lang w:eastAsia="en-AU"/>
              </w:rPr>
            </w:pPr>
            <w:r w:rsidRPr="00E23B8D">
              <w:rPr>
                <w:rFonts w:cs="Arial"/>
                <w:color w:val="000000"/>
                <w:szCs w:val="20"/>
                <w:lang w:eastAsia="en-AU"/>
              </w:rPr>
              <w:t>Nil</w:t>
            </w:r>
          </w:p>
        </w:tc>
        <w:tc>
          <w:tcPr>
            <w:tcW w:w="338" w:type="pct"/>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1</w:t>
            </w:r>
          </w:p>
        </w:tc>
        <w:tc>
          <w:tcPr>
            <w:tcW w:w="322" w:type="pct"/>
            <w:shd w:val="clear" w:color="auto" w:fill="auto"/>
            <w:noWrap/>
            <w:vAlign w:val="center"/>
            <w:hideMark/>
          </w:tcPr>
          <w:p w:rsidR="00E809F1" w:rsidRPr="00E23B8D" w:rsidRDefault="00617870" w:rsidP="002159C6">
            <w:pPr>
              <w:spacing w:before="60" w:after="60" w:line="240" w:lineRule="exact"/>
              <w:jc w:val="center"/>
              <w:rPr>
                <w:rFonts w:cs="Arial"/>
                <w:color w:val="000000"/>
                <w:szCs w:val="20"/>
                <w:lang w:eastAsia="en-AU"/>
              </w:rPr>
            </w:pPr>
            <w:r w:rsidRPr="00E23B8D">
              <w:rPr>
                <w:rFonts w:cs="Arial"/>
                <w:color w:val="000000"/>
                <w:szCs w:val="20"/>
                <w:lang w:eastAsia="en-AU"/>
              </w:rPr>
              <w:t>Nil</w:t>
            </w:r>
          </w:p>
        </w:tc>
        <w:tc>
          <w:tcPr>
            <w:tcW w:w="336" w:type="pct"/>
            <w:shd w:val="clear" w:color="auto" w:fill="auto"/>
            <w:noWrap/>
            <w:vAlign w:val="center"/>
            <w:hideMark/>
          </w:tcPr>
          <w:p w:rsidR="00E809F1" w:rsidRPr="00E23B8D" w:rsidRDefault="00E809F1" w:rsidP="002159C6">
            <w:pPr>
              <w:spacing w:before="60" w:after="60" w:line="240" w:lineRule="exact"/>
              <w:jc w:val="center"/>
              <w:rPr>
                <w:rFonts w:cs="Arial"/>
                <w:color w:val="000000"/>
                <w:szCs w:val="20"/>
                <w:lang w:eastAsia="en-AU"/>
              </w:rPr>
            </w:pPr>
            <w:r w:rsidRPr="00E23B8D">
              <w:rPr>
                <w:rFonts w:cs="Arial"/>
                <w:color w:val="000000"/>
                <w:szCs w:val="20"/>
                <w:lang w:eastAsia="en-AU"/>
              </w:rPr>
              <w:t>23</w:t>
            </w:r>
          </w:p>
        </w:tc>
        <w:tc>
          <w:tcPr>
            <w:tcW w:w="322" w:type="pct"/>
            <w:shd w:val="clear" w:color="auto" w:fill="auto"/>
            <w:noWrap/>
            <w:vAlign w:val="center"/>
            <w:hideMark/>
          </w:tcPr>
          <w:p w:rsidR="00E809F1" w:rsidRPr="00E23B8D" w:rsidRDefault="00E809F1" w:rsidP="00704E86">
            <w:pPr>
              <w:spacing w:before="60" w:after="60" w:line="240" w:lineRule="exact"/>
              <w:jc w:val="center"/>
              <w:rPr>
                <w:rFonts w:cs="Arial"/>
                <w:color w:val="000000"/>
                <w:szCs w:val="20"/>
                <w:lang w:eastAsia="en-AU"/>
              </w:rPr>
            </w:pPr>
          </w:p>
        </w:tc>
        <w:tc>
          <w:tcPr>
            <w:tcW w:w="336" w:type="pct"/>
            <w:shd w:val="clear" w:color="auto" w:fill="auto"/>
            <w:noWrap/>
            <w:vAlign w:val="center"/>
            <w:hideMark/>
          </w:tcPr>
          <w:p w:rsidR="00E809F1" w:rsidRPr="00E23B8D" w:rsidRDefault="00E809F1" w:rsidP="00A5046E">
            <w:pPr>
              <w:spacing w:before="60" w:after="60" w:line="240" w:lineRule="exact"/>
              <w:jc w:val="center"/>
              <w:rPr>
                <w:rFonts w:cs="Arial"/>
                <w:color w:val="000000"/>
                <w:szCs w:val="20"/>
                <w:lang w:eastAsia="en-AU"/>
              </w:rPr>
            </w:pPr>
          </w:p>
        </w:tc>
        <w:tc>
          <w:tcPr>
            <w:tcW w:w="322" w:type="pct"/>
            <w:shd w:val="clear" w:color="auto" w:fill="auto"/>
            <w:noWrap/>
            <w:vAlign w:val="center"/>
            <w:hideMark/>
          </w:tcPr>
          <w:p w:rsidR="00E809F1" w:rsidRPr="00E23B8D" w:rsidRDefault="00617870" w:rsidP="00A5046E">
            <w:pPr>
              <w:spacing w:before="60" w:after="60" w:line="240" w:lineRule="exact"/>
              <w:jc w:val="center"/>
              <w:rPr>
                <w:rFonts w:cs="Arial"/>
                <w:color w:val="000000"/>
                <w:szCs w:val="20"/>
                <w:lang w:eastAsia="en-AU"/>
              </w:rPr>
            </w:pPr>
            <w:r w:rsidRPr="00E23B8D">
              <w:rPr>
                <w:rFonts w:cs="Arial"/>
                <w:color w:val="000000"/>
                <w:szCs w:val="20"/>
                <w:lang w:eastAsia="en-AU"/>
              </w:rPr>
              <w:t>Nil</w:t>
            </w:r>
          </w:p>
        </w:tc>
        <w:tc>
          <w:tcPr>
            <w:tcW w:w="336" w:type="pct"/>
            <w:shd w:val="clear" w:color="auto" w:fill="auto"/>
            <w:noWrap/>
            <w:vAlign w:val="center"/>
            <w:hideMark/>
          </w:tcPr>
          <w:p w:rsidR="00E809F1" w:rsidRPr="00E23B8D" w:rsidRDefault="00E809F1" w:rsidP="00E060B9">
            <w:pPr>
              <w:spacing w:before="60" w:after="60" w:line="240" w:lineRule="exact"/>
              <w:jc w:val="center"/>
              <w:rPr>
                <w:rFonts w:cs="Arial"/>
                <w:color w:val="000000"/>
                <w:szCs w:val="20"/>
                <w:lang w:eastAsia="en-AU"/>
              </w:rPr>
            </w:pPr>
            <w:r w:rsidRPr="00E23B8D">
              <w:rPr>
                <w:rFonts w:cs="Arial"/>
                <w:color w:val="000000"/>
                <w:szCs w:val="20"/>
                <w:lang w:eastAsia="en-AU"/>
              </w:rPr>
              <w:t>4</w:t>
            </w:r>
          </w:p>
        </w:tc>
        <w:tc>
          <w:tcPr>
            <w:tcW w:w="322" w:type="pct"/>
            <w:shd w:val="clear" w:color="auto" w:fill="auto"/>
            <w:noWrap/>
            <w:vAlign w:val="center"/>
            <w:hideMark/>
          </w:tcPr>
          <w:p w:rsidR="00E809F1" w:rsidRPr="00E23B8D" w:rsidRDefault="00E809F1" w:rsidP="009C1427">
            <w:pPr>
              <w:spacing w:before="60" w:after="60" w:line="240" w:lineRule="exact"/>
              <w:jc w:val="center"/>
              <w:rPr>
                <w:rFonts w:cs="Arial"/>
                <w:color w:val="000000"/>
                <w:szCs w:val="20"/>
                <w:lang w:eastAsia="en-AU"/>
              </w:rPr>
            </w:pPr>
          </w:p>
        </w:tc>
        <w:tc>
          <w:tcPr>
            <w:tcW w:w="332" w:type="pct"/>
            <w:shd w:val="clear" w:color="auto" w:fill="auto"/>
            <w:noWrap/>
            <w:vAlign w:val="center"/>
            <w:hideMark/>
          </w:tcPr>
          <w:p w:rsidR="00E809F1" w:rsidRPr="00E23B8D" w:rsidRDefault="00E809F1" w:rsidP="009C1427">
            <w:pPr>
              <w:spacing w:before="60" w:after="60" w:line="240" w:lineRule="exact"/>
              <w:jc w:val="center"/>
              <w:rPr>
                <w:rFonts w:cs="Arial"/>
                <w:color w:val="000000"/>
                <w:szCs w:val="20"/>
                <w:lang w:eastAsia="en-AU"/>
              </w:rPr>
            </w:pPr>
          </w:p>
        </w:tc>
      </w:tr>
      <w:tr w:rsidR="00E809F1" w:rsidRPr="00E23B8D" w:rsidTr="00E23B8D">
        <w:trPr>
          <w:trHeight w:val="600"/>
        </w:trPr>
        <w:tc>
          <w:tcPr>
            <w:tcW w:w="1054" w:type="pct"/>
            <w:shd w:val="clear" w:color="auto" w:fill="auto"/>
            <w:vAlign w:val="center"/>
            <w:hideMark/>
          </w:tcPr>
          <w:p w:rsidR="00E809F1" w:rsidRPr="00E23B8D" w:rsidRDefault="00E809F1" w:rsidP="00433ED5">
            <w:pPr>
              <w:spacing w:before="60" w:after="60" w:line="240" w:lineRule="exact"/>
              <w:jc w:val="left"/>
              <w:rPr>
                <w:rFonts w:cs="Arial"/>
                <w:color w:val="000000"/>
                <w:szCs w:val="20"/>
                <w:lang w:eastAsia="en-AU"/>
              </w:rPr>
            </w:pPr>
            <w:r w:rsidRPr="00E23B8D">
              <w:rPr>
                <w:rFonts w:cs="Arial"/>
                <w:color w:val="000000"/>
                <w:szCs w:val="20"/>
                <w:lang w:eastAsia="en-AU"/>
              </w:rPr>
              <w:t>Barking marsh frog</w:t>
            </w:r>
            <w:r w:rsidRPr="00E23B8D">
              <w:rPr>
                <w:rFonts w:cs="Arial"/>
                <w:i/>
                <w:iCs/>
                <w:color w:val="000000"/>
                <w:szCs w:val="20"/>
                <w:lang w:eastAsia="en-AU"/>
              </w:rPr>
              <w:t xml:space="preserve"> </w:t>
            </w:r>
            <w:r w:rsidRPr="00E23B8D">
              <w:rPr>
                <w:rFonts w:cs="Arial"/>
                <w:i/>
                <w:iCs/>
                <w:color w:val="000000"/>
                <w:szCs w:val="20"/>
                <w:lang w:eastAsia="en-AU"/>
              </w:rPr>
              <w:br/>
              <w:t>(Limnodynastes fletcheri</w:t>
            </w:r>
            <w:r w:rsidRPr="00E23B8D">
              <w:rPr>
                <w:rFonts w:cs="Arial"/>
                <w:color w:val="000000"/>
                <w:szCs w:val="20"/>
                <w:lang w:eastAsia="en-AU"/>
              </w:rPr>
              <w:t>)</w:t>
            </w:r>
          </w:p>
        </w:tc>
        <w:tc>
          <w:tcPr>
            <w:tcW w:w="322" w:type="pct"/>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High</w:t>
            </w:r>
          </w:p>
        </w:tc>
        <w:tc>
          <w:tcPr>
            <w:tcW w:w="336" w:type="pct"/>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1</w:t>
            </w:r>
          </w:p>
        </w:tc>
        <w:tc>
          <w:tcPr>
            <w:tcW w:w="322" w:type="pct"/>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Low</w:t>
            </w:r>
          </w:p>
        </w:tc>
        <w:tc>
          <w:tcPr>
            <w:tcW w:w="338" w:type="pct"/>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9</w:t>
            </w:r>
          </w:p>
        </w:tc>
        <w:tc>
          <w:tcPr>
            <w:tcW w:w="322" w:type="pct"/>
            <w:shd w:val="clear" w:color="auto" w:fill="auto"/>
            <w:noWrap/>
            <w:vAlign w:val="center"/>
            <w:hideMark/>
          </w:tcPr>
          <w:p w:rsidR="00E809F1" w:rsidRPr="00E23B8D" w:rsidRDefault="00E809F1" w:rsidP="002159C6">
            <w:pPr>
              <w:spacing w:before="60" w:after="60" w:line="240" w:lineRule="exact"/>
              <w:jc w:val="center"/>
              <w:rPr>
                <w:rFonts w:cs="Arial"/>
                <w:color w:val="000000"/>
                <w:szCs w:val="20"/>
                <w:lang w:eastAsia="en-AU"/>
              </w:rPr>
            </w:pPr>
            <w:r w:rsidRPr="00E23B8D">
              <w:rPr>
                <w:rFonts w:cs="Arial"/>
                <w:color w:val="000000"/>
                <w:szCs w:val="20"/>
                <w:lang w:eastAsia="en-AU"/>
              </w:rPr>
              <w:t>Low</w:t>
            </w:r>
          </w:p>
        </w:tc>
        <w:tc>
          <w:tcPr>
            <w:tcW w:w="336" w:type="pct"/>
            <w:shd w:val="clear" w:color="auto" w:fill="auto"/>
            <w:noWrap/>
            <w:vAlign w:val="center"/>
            <w:hideMark/>
          </w:tcPr>
          <w:p w:rsidR="00E809F1" w:rsidRPr="00E23B8D" w:rsidRDefault="00E809F1" w:rsidP="002159C6">
            <w:pPr>
              <w:spacing w:before="60" w:after="60" w:line="240" w:lineRule="exact"/>
              <w:jc w:val="center"/>
              <w:rPr>
                <w:rFonts w:cs="Arial"/>
                <w:color w:val="000000"/>
                <w:szCs w:val="20"/>
                <w:lang w:eastAsia="en-AU"/>
              </w:rPr>
            </w:pPr>
            <w:r w:rsidRPr="00E23B8D">
              <w:rPr>
                <w:rFonts w:cs="Arial"/>
                <w:color w:val="000000"/>
                <w:szCs w:val="20"/>
                <w:lang w:eastAsia="en-AU"/>
              </w:rPr>
              <w:t>72</w:t>
            </w:r>
          </w:p>
        </w:tc>
        <w:tc>
          <w:tcPr>
            <w:tcW w:w="322" w:type="pct"/>
            <w:shd w:val="clear" w:color="auto" w:fill="auto"/>
            <w:noWrap/>
            <w:vAlign w:val="center"/>
            <w:hideMark/>
          </w:tcPr>
          <w:p w:rsidR="00E809F1" w:rsidRPr="00E23B8D" w:rsidRDefault="00E809F1" w:rsidP="00704E86">
            <w:pPr>
              <w:spacing w:before="60" w:after="60" w:line="240" w:lineRule="exact"/>
              <w:jc w:val="center"/>
              <w:rPr>
                <w:rFonts w:cs="Arial"/>
                <w:color w:val="000000"/>
                <w:szCs w:val="20"/>
                <w:lang w:eastAsia="en-AU"/>
              </w:rPr>
            </w:pPr>
          </w:p>
        </w:tc>
        <w:tc>
          <w:tcPr>
            <w:tcW w:w="336" w:type="pct"/>
            <w:shd w:val="clear" w:color="auto" w:fill="auto"/>
            <w:noWrap/>
            <w:vAlign w:val="center"/>
            <w:hideMark/>
          </w:tcPr>
          <w:p w:rsidR="00E809F1" w:rsidRPr="00E23B8D" w:rsidRDefault="00E809F1" w:rsidP="00A5046E">
            <w:pPr>
              <w:spacing w:before="60" w:after="60" w:line="240" w:lineRule="exact"/>
              <w:jc w:val="center"/>
              <w:rPr>
                <w:rFonts w:cs="Arial"/>
                <w:color w:val="000000"/>
                <w:szCs w:val="20"/>
                <w:lang w:eastAsia="en-AU"/>
              </w:rPr>
            </w:pPr>
            <w:r w:rsidRPr="00E23B8D">
              <w:rPr>
                <w:rFonts w:cs="Arial"/>
                <w:color w:val="000000"/>
                <w:szCs w:val="20"/>
                <w:lang w:eastAsia="en-AU"/>
              </w:rPr>
              <w:t>18</w:t>
            </w:r>
          </w:p>
        </w:tc>
        <w:tc>
          <w:tcPr>
            <w:tcW w:w="322" w:type="pct"/>
            <w:shd w:val="clear" w:color="auto" w:fill="auto"/>
            <w:noWrap/>
            <w:vAlign w:val="center"/>
            <w:hideMark/>
          </w:tcPr>
          <w:p w:rsidR="00E809F1" w:rsidRPr="00E23B8D" w:rsidRDefault="00E809F1" w:rsidP="00A5046E">
            <w:pPr>
              <w:spacing w:before="60" w:after="60" w:line="240" w:lineRule="exact"/>
              <w:jc w:val="center"/>
              <w:rPr>
                <w:rFonts w:cs="Arial"/>
                <w:color w:val="000000"/>
                <w:szCs w:val="20"/>
                <w:lang w:eastAsia="en-AU"/>
              </w:rPr>
            </w:pPr>
            <w:r w:rsidRPr="00E23B8D">
              <w:rPr>
                <w:rFonts w:cs="Arial"/>
                <w:color w:val="000000"/>
                <w:szCs w:val="20"/>
                <w:lang w:eastAsia="en-AU"/>
              </w:rPr>
              <w:t>Low</w:t>
            </w:r>
          </w:p>
        </w:tc>
        <w:tc>
          <w:tcPr>
            <w:tcW w:w="336" w:type="pct"/>
            <w:shd w:val="clear" w:color="auto" w:fill="auto"/>
            <w:noWrap/>
            <w:vAlign w:val="center"/>
            <w:hideMark/>
          </w:tcPr>
          <w:p w:rsidR="00E809F1" w:rsidRPr="00E23B8D" w:rsidRDefault="00E809F1" w:rsidP="00E060B9">
            <w:pPr>
              <w:spacing w:before="60" w:after="60" w:line="240" w:lineRule="exact"/>
              <w:jc w:val="center"/>
              <w:rPr>
                <w:rFonts w:cs="Arial"/>
                <w:color w:val="000000"/>
                <w:szCs w:val="20"/>
                <w:lang w:eastAsia="en-AU"/>
              </w:rPr>
            </w:pPr>
            <w:r w:rsidRPr="00E23B8D">
              <w:rPr>
                <w:rFonts w:cs="Arial"/>
                <w:color w:val="000000"/>
                <w:szCs w:val="20"/>
                <w:lang w:eastAsia="en-AU"/>
              </w:rPr>
              <w:t>10</w:t>
            </w:r>
          </w:p>
        </w:tc>
        <w:tc>
          <w:tcPr>
            <w:tcW w:w="322" w:type="pct"/>
            <w:shd w:val="clear" w:color="auto" w:fill="auto"/>
            <w:noWrap/>
            <w:vAlign w:val="center"/>
            <w:hideMark/>
          </w:tcPr>
          <w:p w:rsidR="00E809F1" w:rsidRPr="00E23B8D" w:rsidRDefault="00617870" w:rsidP="009C1427">
            <w:pPr>
              <w:spacing w:before="60" w:after="60" w:line="240" w:lineRule="exact"/>
              <w:jc w:val="center"/>
              <w:rPr>
                <w:rFonts w:cs="Arial"/>
                <w:color w:val="000000"/>
                <w:szCs w:val="20"/>
                <w:lang w:eastAsia="en-AU"/>
              </w:rPr>
            </w:pPr>
            <w:r w:rsidRPr="00E23B8D">
              <w:rPr>
                <w:rFonts w:cs="Arial"/>
                <w:color w:val="000000"/>
                <w:szCs w:val="20"/>
                <w:lang w:eastAsia="en-AU"/>
              </w:rPr>
              <w:t>Nil</w:t>
            </w:r>
          </w:p>
        </w:tc>
        <w:tc>
          <w:tcPr>
            <w:tcW w:w="332" w:type="pct"/>
            <w:shd w:val="clear" w:color="auto" w:fill="auto"/>
            <w:noWrap/>
            <w:vAlign w:val="center"/>
            <w:hideMark/>
          </w:tcPr>
          <w:p w:rsidR="00E809F1" w:rsidRPr="00E23B8D" w:rsidRDefault="00E809F1" w:rsidP="009C1427">
            <w:pPr>
              <w:spacing w:before="60" w:after="60" w:line="240" w:lineRule="exact"/>
              <w:jc w:val="center"/>
              <w:rPr>
                <w:rFonts w:cs="Arial"/>
                <w:color w:val="000000"/>
                <w:szCs w:val="20"/>
                <w:lang w:eastAsia="en-AU"/>
              </w:rPr>
            </w:pPr>
            <w:r w:rsidRPr="00E23B8D">
              <w:rPr>
                <w:rFonts w:cs="Arial"/>
                <w:color w:val="000000"/>
                <w:szCs w:val="20"/>
                <w:lang w:eastAsia="en-AU"/>
              </w:rPr>
              <w:t>2</w:t>
            </w:r>
          </w:p>
        </w:tc>
      </w:tr>
      <w:tr w:rsidR="00E809F1" w:rsidRPr="00E23B8D" w:rsidTr="00E23B8D">
        <w:trPr>
          <w:trHeight w:val="600"/>
        </w:trPr>
        <w:tc>
          <w:tcPr>
            <w:tcW w:w="1054" w:type="pct"/>
            <w:shd w:val="clear" w:color="auto" w:fill="auto"/>
            <w:vAlign w:val="center"/>
            <w:hideMark/>
          </w:tcPr>
          <w:p w:rsidR="00E809F1" w:rsidRPr="00E23B8D" w:rsidRDefault="00E809F1" w:rsidP="00433ED5">
            <w:pPr>
              <w:spacing w:before="60" w:after="60" w:line="240" w:lineRule="exact"/>
              <w:jc w:val="left"/>
              <w:rPr>
                <w:rFonts w:cs="Arial"/>
                <w:color w:val="000000"/>
                <w:szCs w:val="20"/>
                <w:lang w:eastAsia="en-AU"/>
              </w:rPr>
            </w:pPr>
            <w:r w:rsidRPr="00E23B8D">
              <w:rPr>
                <w:rFonts w:cs="Arial"/>
                <w:color w:val="000000"/>
                <w:szCs w:val="20"/>
                <w:lang w:eastAsia="en-AU"/>
              </w:rPr>
              <w:t xml:space="preserve">Eastern sign-bearing froglet </w:t>
            </w:r>
            <w:r w:rsidRPr="00E23B8D">
              <w:rPr>
                <w:rFonts w:cs="Arial"/>
                <w:color w:val="000000"/>
                <w:szCs w:val="20"/>
                <w:lang w:eastAsia="en-AU"/>
              </w:rPr>
              <w:br/>
              <w:t>(</w:t>
            </w:r>
            <w:r w:rsidRPr="00E23B8D">
              <w:rPr>
                <w:rFonts w:cs="Arial"/>
                <w:i/>
                <w:iCs/>
                <w:color w:val="000000"/>
                <w:szCs w:val="20"/>
                <w:lang w:eastAsia="en-AU"/>
              </w:rPr>
              <w:t>Crinia parinsignifera)</w:t>
            </w:r>
          </w:p>
        </w:tc>
        <w:tc>
          <w:tcPr>
            <w:tcW w:w="322" w:type="pct"/>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p>
        </w:tc>
        <w:tc>
          <w:tcPr>
            <w:tcW w:w="336" w:type="pct"/>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p>
        </w:tc>
        <w:tc>
          <w:tcPr>
            <w:tcW w:w="322" w:type="pct"/>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p>
        </w:tc>
        <w:tc>
          <w:tcPr>
            <w:tcW w:w="338" w:type="pct"/>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p>
        </w:tc>
        <w:tc>
          <w:tcPr>
            <w:tcW w:w="322" w:type="pct"/>
            <w:shd w:val="clear" w:color="auto" w:fill="auto"/>
            <w:noWrap/>
            <w:vAlign w:val="center"/>
            <w:hideMark/>
          </w:tcPr>
          <w:p w:rsidR="00E809F1" w:rsidRPr="00E23B8D" w:rsidRDefault="00E809F1" w:rsidP="002159C6">
            <w:pPr>
              <w:spacing w:before="60" w:after="60" w:line="240" w:lineRule="exact"/>
              <w:jc w:val="center"/>
              <w:rPr>
                <w:rFonts w:cs="Arial"/>
                <w:color w:val="000000"/>
                <w:szCs w:val="20"/>
                <w:lang w:eastAsia="en-AU"/>
              </w:rPr>
            </w:pPr>
          </w:p>
        </w:tc>
        <w:tc>
          <w:tcPr>
            <w:tcW w:w="336" w:type="pct"/>
            <w:shd w:val="clear" w:color="auto" w:fill="auto"/>
            <w:noWrap/>
            <w:vAlign w:val="center"/>
            <w:hideMark/>
          </w:tcPr>
          <w:p w:rsidR="00E809F1" w:rsidRPr="00E23B8D" w:rsidRDefault="00E809F1" w:rsidP="002159C6">
            <w:pPr>
              <w:spacing w:before="60" w:after="60" w:line="240" w:lineRule="exact"/>
              <w:jc w:val="center"/>
              <w:rPr>
                <w:rFonts w:cs="Arial"/>
                <w:color w:val="000000"/>
                <w:szCs w:val="20"/>
                <w:lang w:eastAsia="en-AU"/>
              </w:rPr>
            </w:pPr>
          </w:p>
        </w:tc>
        <w:tc>
          <w:tcPr>
            <w:tcW w:w="322" w:type="pct"/>
            <w:shd w:val="clear" w:color="auto" w:fill="auto"/>
            <w:noWrap/>
            <w:vAlign w:val="center"/>
            <w:hideMark/>
          </w:tcPr>
          <w:p w:rsidR="00E809F1" w:rsidRPr="00E23B8D" w:rsidRDefault="00E809F1" w:rsidP="00704E86">
            <w:pPr>
              <w:spacing w:before="60" w:after="60" w:line="240" w:lineRule="exact"/>
              <w:jc w:val="center"/>
              <w:rPr>
                <w:rFonts w:cs="Arial"/>
                <w:color w:val="000000"/>
                <w:szCs w:val="20"/>
                <w:lang w:eastAsia="en-AU"/>
              </w:rPr>
            </w:pPr>
          </w:p>
        </w:tc>
        <w:tc>
          <w:tcPr>
            <w:tcW w:w="336" w:type="pct"/>
            <w:shd w:val="clear" w:color="auto" w:fill="auto"/>
            <w:noWrap/>
            <w:vAlign w:val="center"/>
            <w:hideMark/>
          </w:tcPr>
          <w:p w:rsidR="00E809F1" w:rsidRPr="00E23B8D" w:rsidRDefault="00E809F1" w:rsidP="00A5046E">
            <w:pPr>
              <w:spacing w:before="60" w:after="60" w:line="240" w:lineRule="exact"/>
              <w:jc w:val="center"/>
              <w:rPr>
                <w:rFonts w:cs="Arial"/>
                <w:color w:val="000000"/>
                <w:szCs w:val="20"/>
                <w:lang w:eastAsia="en-AU"/>
              </w:rPr>
            </w:pPr>
          </w:p>
        </w:tc>
        <w:tc>
          <w:tcPr>
            <w:tcW w:w="322" w:type="pct"/>
            <w:shd w:val="clear" w:color="auto" w:fill="auto"/>
            <w:noWrap/>
            <w:vAlign w:val="center"/>
            <w:hideMark/>
          </w:tcPr>
          <w:p w:rsidR="00E809F1" w:rsidRPr="00E23B8D" w:rsidRDefault="00E809F1" w:rsidP="00A5046E">
            <w:pPr>
              <w:spacing w:before="60" w:after="60" w:line="240" w:lineRule="exact"/>
              <w:jc w:val="center"/>
              <w:rPr>
                <w:rFonts w:cs="Arial"/>
                <w:color w:val="000000"/>
                <w:szCs w:val="20"/>
                <w:lang w:eastAsia="en-AU"/>
              </w:rPr>
            </w:pPr>
          </w:p>
        </w:tc>
        <w:tc>
          <w:tcPr>
            <w:tcW w:w="336" w:type="pct"/>
            <w:shd w:val="clear" w:color="auto" w:fill="auto"/>
            <w:noWrap/>
            <w:vAlign w:val="center"/>
            <w:hideMark/>
          </w:tcPr>
          <w:p w:rsidR="00E809F1" w:rsidRPr="00E23B8D" w:rsidRDefault="00E809F1" w:rsidP="00E060B9">
            <w:pPr>
              <w:spacing w:before="60" w:after="60" w:line="240" w:lineRule="exact"/>
              <w:jc w:val="center"/>
              <w:rPr>
                <w:rFonts w:cs="Arial"/>
                <w:color w:val="000000"/>
                <w:szCs w:val="20"/>
                <w:lang w:eastAsia="en-AU"/>
              </w:rPr>
            </w:pPr>
          </w:p>
        </w:tc>
        <w:tc>
          <w:tcPr>
            <w:tcW w:w="322" w:type="pct"/>
            <w:shd w:val="clear" w:color="auto" w:fill="auto"/>
            <w:noWrap/>
            <w:vAlign w:val="center"/>
            <w:hideMark/>
          </w:tcPr>
          <w:p w:rsidR="00E809F1" w:rsidRPr="00E23B8D" w:rsidRDefault="00E809F1" w:rsidP="009C1427">
            <w:pPr>
              <w:spacing w:before="60" w:after="60" w:line="240" w:lineRule="exact"/>
              <w:jc w:val="center"/>
              <w:rPr>
                <w:rFonts w:cs="Arial"/>
                <w:color w:val="000000"/>
                <w:szCs w:val="20"/>
                <w:lang w:eastAsia="en-AU"/>
              </w:rPr>
            </w:pPr>
          </w:p>
        </w:tc>
        <w:tc>
          <w:tcPr>
            <w:tcW w:w="332" w:type="pct"/>
            <w:shd w:val="clear" w:color="auto" w:fill="auto"/>
            <w:noWrap/>
            <w:vAlign w:val="center"/>
            <w:hideMark/>
          </w:tcPr>
          <w:p w:rsidR="00E809F1" w:rsidRPr="00E23B8D" w:rsidRDefault="00E809F1" w:rsidP="009C1427">
            <w:pPr>
              <w:spacing w:before="60" w:after="60" w:line="240" w:lineRule="exact"/>
              <w:jc w:val="center"/>
              <w:rPr>
                <w:rFonts w:cs="Arial"/>
                <w:color w:val="000000"/>
                <w:szCs w:val="20"/>
                <w:lang w:eastAsia="en-AU"/>
              </w:rPr>
            </w:pPr>
          </w:p>
        </w:tc>
      </w:tr>
      <w:tr w:rsidR="00E809F1" w:rsidRPr="00E23B8D" w:rsidTr="00E23B8D">
        <w:trPr>
          <w:trHeight w:val="300"/>
        </w:trPr>
        <w:tc>
          <w:tcPr>
            <w:tcW w:w="1054" w:type="pct"/>
            <w:shd w:val="clear" w:color="auto" w:fill="auto"/>
            <w:vAlign w:val="center"/>
            <w:hideMark/>
          </w:tcPr>
          <w:p w:rsidR="00E809F1" w:rsidRPr="00E23B8D" w:rsidRDefault="00E809F1" w:rsidP="00433ED5">
            <w:pPr>
              <w:spacing w:before="60" w:after="60" w:line="240" w:lineRule="exact"/>
              <w:jc w:val="right"/>
              <w:rPr>
                <w:rFonts w:cs="Arial"/>
                <w:color w:val="000000"/>
                <w:szCs w:val="20"/>
                <w:lang w:eastAsia="en-AU"/>
              </w:rPr>
            </w:pPr>
            <w:r w:rsidRPr="00E23B8D">
              <w:rPr>
                <w:rFonts w:cs="Arial"/>
                <w:color w:val="000000"/>
                <w:szCs w:val="20"/>
                <w:lang w:eastAsia="en-AU"/>
              </w:rPr>
              <w:t>Date</w:t>
            </w:r>
          </w:p>
        </w:tc>
        <w:tc>
          <w:tcPr>
            <w:tcW w:w="657" w:type="pct"/>
            <w:gridSpan w:val="2"/>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8/12/2015</w:t>
            </w:r>
          </w:p>
        </w:tc>
        <w:tc>
          <w:tcPr>
            <w:tcW w:w="660" w:type="pct"/>
            <w:gridSpan w:val="2"/>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11/02/2016</w:t>
            </w:r>
          </w:p>
        </w:tc>
        <w:tc>
          <w:tcPr>
            <w:tcW w:w="658" w:type="pct"/>
            <w:gridSpan w:val="2"/>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8/12/2015</w:t>
            </w:r>
          </w:p>
        </w:tc>
        <w:tc>
          <w:tcPr>
            <w:tcW w:w="658" w:type="pct"/>
            <w:gridSpan w:val="2"/>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11/02/2016</w:t>
            </w:r>
          </w:p>
        </w:tc>
        <w:tc>
          <w:tcPr>
            <w:tcW w:w="658" w:type="pct"/>
            <w:gridSpan w:val="2"/>
            <w:shd w:val="clear" w:color="auto" w:fill="auto"/>
            <w:noWrap/>
            <w:vAlign w:val="center"/>
            <w:hideMark/>
          </w:tcPr>
          <w:p w:rsidR="00E809F1" w:rsidRPr="00E23B8D" w:rsidRDefault="00E809F1" w:rsidP="002159C6">
            <w:pPr>
              <w:spacing w:before="60" w:after="60" w:line="240" w:lineRule="exact"/>
              <w:jc w:val="center"/>
              <w:rPr>
                <w:rFonts w:cs="Arial"/>
                <w:color w:val="000000"/>
                <w:szCs w:val="20"/>
                <w:lang w:eastAsia="en-AU"/>
              </w:rPr>
            </w:pPr>
            <w:r w:rsidRPr="00E23B8D">
              <w:rPr>
                <w:rFonts w:cs="Arial"/>
                <w:color w:val="000000"/>
                <w:szCs w:val="20"/>
                <w:lang w:eastAsia="en-AU"/>
              </w:rPr>
              <w:t>8/12/2015</w:t>
            </w:r>
          </w:p>
        </w:tc>
        <w:tc>
          <w:tcPr>
            <w:tcW w:w="654" w:type="pct"/>
            <w:gridSpan w:val="2"/>
            <w:shd w:val="clear" w:color="auto" w:fill="auto"/>
            <w:noWrap/>
            <w:vAlign w:val="center"/>
            <w:hideMark/>
          </w:tcPr>
          <w:p w:rsidR="00E809F1" w:rsidRPr="00E23B8D" w:rsidRDefault="00E809F1" w:rsidP="002159C6">
            <w:pPr>
              <w:spacing w:before="60" w:after="60" w:line="240" w:lineRule="exact"/>
              <w:jc w:val="center"/>
              <w:rPr>
                <w:rFonts w:cs="Arial"/>
                <w:color w:val="000000"/>
                <w:szCs w:val="20"/>
                <w:lang w:eastAsia="en-AU"/>
              </w:rPr>
            </w:pPr>
            <w:r w:rsidRPr="00E23B8D">
              <w:rPr>
                <w:rFonts w:cs="Arial"/>
                <w:color w:val="000000"/>
                <w:szCs w:val="20"/>
                <w:lang w:eastAsia="en-AU"/>
              </w:rPr>
              <w:t>11/02/2016</w:t>
            </w:r>
          </w:p>
        </w:tc>
      </w:tr>
      <w:tr w:rsidR="00E809F1" w:rsidRPr="00E23B8D" w:rsidTr="00E23B8D">
        <w:trPr>
          <w:trHeight w:val="300"/>
        </w:trPr>
        <w:tc>
          <w:tcPr>
            <w:tcW w:w="1054" w:type="pct"/>
            <w:shd w:val="clear" w:color="auto" w:fill="auto"/>
            <w:vAlign w:val="center"/>
            <w:hideMark/>
          </w:tcPr>
          <w:p w:rsidR="00E809F1" w:rsidRPr="00E23B8D" w:rsidRDefault="00A52CAF" w:rsidP="00A52CAF">
            <w:pPr>
              <w:spacing w:before="60" w:after="60" w:line="240" w:lineRule="exact"/>
              <w:jc w:val="right"/>
              <w:rPr>
                <w:rFonts w:cs="Arial"/>
                <w:color w:val="000000"/>
                <w:szCs w:val="20"/>
                <w:lang w:eastAsia="en-AU"/>
              </w:rPr>
            </w:pPr>
            <w:r w:rsidRPr="00E23B8D">
              <w:rPr>
                <w:rFonts w:cs="Arial"/>
                <w:color w:val="000000"/>
                <w:szCs w:val="20"/>
                <w:lang w:eastAsia="en-AU"/>
              </w:rPr>
              <w:t>Air t</w:t>
            </w:r>
            <w:r w:rsidR="00E809F1" w:rsidRPr="00E23B8D">
              <w:rPr>
                <w:rFonts w:cs="Arial"/>
                <w:color w:val="000000"/>
                <w:szCs w:val="20"/>
                <w:lang w:eastAsia="en-AU"/>
              </w:rPr>
              <w:t>emperature (°C)</w:t>
            </w:r>
          </w:p>
        </w:tc>
        <w:tc>
          <w:tcPr>
            <w:tcW w:w="657" w:type="pct"/>
            <w:gridSpan w:val="2"/>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22</w:t>
            </w:r>
          </w:p>
        </w:tc>
        <w:tc>
          <w:tcPr>
            <w:tcW w:w="660" w:type="pct"/>
            <w:gridSpan w:val="2"/>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27</w:t>
            </w:r>
          </w:p>
        </w:tc>
        <w:tc>
          <w:tcPr>
            <w:tcW w:w="658" w:type="pct"/>
            <w:gridSpan w:val="2"/>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24</w:t>
            </w:r>
          </w:p>
        </w:tc>
        <w:tc>
          <w:tcPr>
            <w:tcW w:w="658" w:type="pct"/>
            <w:gridSpan w:val="2"/>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25</w:t>
            </w:r>
          </w:p>
        </w:tc>
        <w:tc>
          <w:tcPr>
            <w:tcW w:w="658" w:type="pct"/>
            <w:gridSpan w:val="2"/>
            <w:shd w:val="clear" w:color="auto" w:fill="auto"/>
            <w:noWrap/>
            <w:vAlign w:val="center"/>
            <w:hideMark/>
          </w:tcPr>
          <w:p w:rsidR="00E809F1" w:rsidRPr="00E23B8D" w:rsidRDefault="00E809F1" w:rsidP="002159C6">
            <w:pPr>
              <w:spacing w:before="60" w:after="60" w:line="240" w:lineRule="exact"/>
              <w:jc w:val="center"/>
              <w:rPr>
                <w:rFonts w:cs="Arial"/>
                <w:color w:val="000000"/>
                <w:szCs w:val="20"/>
                <w:lang w:eastAsia="en-AU"/>
              </w:rPr>
            </w:pPr>
            <w:r w:rsidRPr="00E23B8D">
              <w:rPr>
                <w:rFonts w:cs="Arial"/>
                <w:color w:val="000000"/>
                <w:szCs w:val="20"/>
                <w:lang w:eastAsia="en-AU"/>
              </w:rPr>
              <w:t>25</w:t>
            </w:r>
          </w:p>
        </w:tc>
        <w:tc>
          <w:tcPr>
            <w:tcW w:w="654" w:type="pct"/>
            <w:gridSpan w:val="2"/>
            <w:shd w:val="clear" w:color="auto" w:fill="auto"/>
            <w:noWrap/>
            <w:vAlign w:val="center"/>
            <w:hideMark/>
          </w:tcPr>
          <w:p w:rsidR="00E809F1" w:rsidRPr="00E23B8D" w:rsidRDefault="00E809F1" w:rsidP="002159C6">
            <w:pPr>
              <w:spacing w:before="60" w:after="60" w:line="240" w:lineRule="exact"/>
              <w:jc w:val="center"/>
              <w:rPr>
                <w:rFonts w:cs="Arial"/>
                <w:color w:val="000000"/>
                <w:szCs w:val="20"/>
                <w:lang w:eastAsia="en-AU"/>
              </w:rPr>
            </w:pPr>
            <w:r w:rsidRPr="00E23B8D">
              <w:rPr>
                <w:rFonts w:cs="Arial"/>
                <w:color w:val="000000"/>
                <w:szCs w:val="20"/>
                <w:lang w:eastAsia="en-AU"/>
              </w:rPr>
              <w:t>25</w:t>
            </w:r>
          </w:p>
        </w:tc>
      </w:tr>
    </w:tbl>
    <w:p w:rsidR="00E809F1" w:rsidRDefault="00E809F1" w:rsidP="00E809F1"/>
    <w:p w:rsidR="00E809F1" w:rsidRDefault="00E809F1" w:rsidP="00673DAF">
      <w:pPr>
        <w:pStyle w:val="Caption"/>
      </w:pPr>
      <w:r>
        <w:tab/>
      </w:r>
      <w:r>
        <w:br w:type="page"/>
      </w:r>
      <w:bookmarkStart w:id="135" w:name="_Ref452984254"/>
      <w:r>
        <w:t xml:space="preserve">Table </w:t>
      </w:r>
      <w:fldSimple w:instr=" STYLEREF 6 \s ">
        <w:r w:rsidR="005D5925">
          <w:rPr>
            <w:noProof/>
          </w:rPr>
          <w:t>H</w:t>
        </w:r>
      </w:fldSimple>
      <w:r w:rsidR="005D4453">
        <w:noBreakHyphen/>
      </w:r>
      <w:fldSimple w:instr=" SEQ Table \* ARABIC \s 6 ">
        <w:r w:rsidR="005D5925">
          <w:rPr>
            <w:noProof/>
          </w:rPr>
          <w:t>5</w:t>
        </w:r>
      </w:fldSimple>
      <w:bookmarkEnd w:id="135"/>
      <w:r>
        <w:t xml:space="preserve">: </w:t>
      </w:r>
      <w:r w:rsidRPr="00547BB1">
        <w:t xml:space="preserve">Frog species observed or heard at </w:t>
      </w:r>
      <w:r>
        <w:t xml:space="preserve">Gingham </w:t>
      </w:r>
      <w:r w:rsidR="001C3C04">
        <w:t>watercourse</w:t>
      </w:r>
      <w:r>
        <w:t xml:space="preserve"> and </w:t>
      </w:r>
      <w:r w:rsidRPr="00547BB1">
        <w:t xml:space="preserve">Gwydir </w:t>
      </w:r>
      <w:r>
        <w:t>River</w:t>
      </w:r>
      <w:r w:rsidRPr="00547BB1">
        <w:t xml:space="preserve"> sites for the 2015-16 water year.</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001"/>
        <w:gridCol w:w="835"/>
        <w:gridCol w:w="944"/>
        <w:gridCol w:w="930"/>
        <w:gridCol w:w="942"/>
        <w:gridCol w:w="930"/>
        <w:gridCol w:w="942"/>
        <w:gridCol w:w="930"/>
        <w:gridCol w:w="944"/>
        <w:gridCol w:w="930"/>
        <w:gridCol w:w="942"/>
        <w:gridCol w:w="930"/>
        <w:gridCol w:w="939"/>
      </w:tblGrid>
      <w:tr w:rsidR="00E809F1" w:rsidRPr="00E23B8D" w:rsidTr="00CC18AA">
        <w:trPr>
          <w:trHeight w:val="300"/>
        </w:trPr>
        <w:tc>
          <w:tcPr>
            <w:tcW w:w="1061" w:type="pct"/>
            <w:vMerge w:val="restart"/>
            <w:shd w:val="clear" w:color="auto" w:fill="D9D9D9"/>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Site</w:t>
            </w:r>
          </w:p>
        </w:tc>
        <w:tc>
          <w:tcPr>
            <w:tcW w:w="2616" w:type="pct"/>
            <w:gridSpan w:val="8"/>
            <w:shd w:val="clear" w:color="auto" w:fill="D9D9D9"/>
            <w:noWrap/>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 xml:space="preserve">Gingham </w:t>
            </w:r>
            <w:r w:rsidR="001C3C04" w:rsidRPr="00E23B8D">
              <w:rPr>
                <w:rFonts w:cs="Arial"/>
                <w:color w:val="000000"/>
                <w:szCs w:val="20"/>
                <w:lang w:eastAsia="en-AU"/>
              </w:rPr>
              <w:t>watercourse</w:t>
            </w:r>
          </w:p>
        </w:tc>
        <w:tc>
          <w:tcPr>
            <w:tcW w:w="1323" w:type="pct"/>
            <w:gridSpan w:val="4"/>
            <w:shd w:val="clear" w:color="auto" w:fill="D9D9D9"/>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Gwydir River</w:t>
            </w:r>
          </w:p>
        </w:tc>
      </w:tr>
      <w:tr w:rsidR="00E809F1" w:rsidRPr="00E23B8D" w:rsidTr="00CC18AA">
        <w:trPr>
          <w:trHeight w:val="300"/>
        </w:trPr>
        <w:tc>
          <w:tcPr>
            <w:tcW w:w="1061" w:type="pct"/>
            <w:vMerge/>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p>
        </w:tc>
        <w:tc>
          <w:tcPr>
            <w:tcW w:w="1291" w:type="pct"/>
            <w:gridSpan w:val="4"/>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Bunnor Bird Hide</w:t>
            </w:r>
          </w:p>
        </w:tc>
        <w:tc>
          <w:tcPr>
            <w:tcW w:w="1325" w:type="pct"/>
            <w:gridSpan w:val="4"/>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Gingham</w:t>
            </w:r>
          </w:p>
        </w:tc>
        <w:tc>
          <w:tcPr>
            <w:tcW w:w="1323" w:type="pct"/>
            <w:gridSpan w:val="4"/>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Allambie Bridge</w:t>
            </w:r>
          </w:p>
        </w:tc>
      </w:tr>
      <w:tr w:rsidR="00E809F1" w:rsidRPr="00E23B8D" w:rsidTr="00CC18AA">
        <w:trPr>
          <w:trHeight w:val="300"/>
        </w:trPr>
        <w:tc>
          <w:tcPr>
            <w:tcW w:w="1061" w:type="pct"/>
            <w:vMerge/>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p>
        </w:tc>
        <w:tc>
          <w:tcPr>
            <w:tcW w:w="629" w:type="pct"/>
            <w:gridSpan w:val="2"/>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Dec-15</w:t>
            </w:r>
          </w:p>
        </w:tc>
        <w:tc>
          <w:tcPr>
            <w:tcW w:w="662" w:type="pct"/>
            <w:gridSpan w:val="2"/>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Feb-16</w:t>
            </w:r>
          </w:p>
        </w:tc>
        <w:tc>
          <w:tcPr>
            <w:tcW w:w="662" w:type="pct"/>
            <w:gridSpan w:val="2"/>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Dec-15</w:t>
            </w:r>
          </w:p>
        </w:tc>
        <w:tc>
          <w:tcPr>
            <w:tcW w:w="663" w:type="pct"/>
            <w:gridSpan w:val="2"/>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Feb-16</w:t>
            </w:r>
          </w:p>
        </w:tc>
        <w:tc>
          <w:tcPr>
            <w:tcW w:w="662" w:type="pct"/>
            <w:gridSpan w:val="2"/>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Dec-15</w:t>
            </w:r>
          </w:p>
        </w:tc>
        <w:tc>
          <w:tcPr>
            <w:tcW w:w="661" w:type="pct"/>
            <w:gridSpan w:val="2"/>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Feb-16</w:t>
            </w:r>
          </w:p>
        </w:tc>
      </w:tr>
      <w:tr w:rsidR="005F23F1" w:rsidRPr="00E23B8D" w:rsidTr="00CC18AA">
        <w:trPr>
          <w:trHeight w:val="600"/>
        </w:trPr>
        <w:tc>
          <w:tcPr>
            <w:tcW w:w="1061" w:type="pct"/>
            <w:vMerge/>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p>
        </w:tc>
        <w:tc>
          <w:tcPr>
            <w:tcW w:w="295" w:type="pct"/>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Call activity</w:t>
            </w:r>
          </w:p>
        </w:tc>
        <w:tc>
          <w:tcPr>
            <w:tcW w:w="334" w:type="pct"/>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No. sighted</w:t>
            </w:r>
          </w:p>
        </w:tc>
        <w:tc>
          <w:tcPr>
            <w:tcW w:w="329" w:type="pct"/>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Call activity</w:t>
            </w:r>
          </w:p>
        </w:tc>
        <w:tc>
          <w:tcPr>
            <w:tcW w:w="333" w:type="pct"/>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No. sighted</w:t>
            </w:r>
          </w:p>
        </w:tc>
        <w:tc>
          <w:tcPr>
            <w:tcW w:w="329" w:type="pct"/>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Call activity</w:t>
            </w:r>
          </w:p>
        </w:tc>
        <w:tc>
          <w:tcPr>
            <w:tcW w:w="333" w:type="pct"/>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No. sighted</w:t>
            </w:r>
          </w:p>
        </w:tc>
        <w:tc>
          <w:tcPr>
            <w:tcW w:w="329" w:type="pct"/>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Call activity</w:t>
            </w:r>
          </w:p>
        </w:tc>
        <w:tc>
          <w:tcPr>
            <w:tcW w:w="334" w:type="pct"/>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No. sighted</w:t>
            </w:r>
          </w:p>
        </w:tc>
        <w:tc>
          <w:tcPr>
            <w:tcW w:w="329" w:type="pct"/>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Call activity</w:t>
            </w:r>
          </w:p>
        </w:tc>
        <w:tc>
          <w:tcPr>
            <w:tcW w:w="333" w:type="pct"/>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No. sighted</w:t>
            </w:r>
          </w:p>
        </w:tc>
        <w:tc>
          <w:tcPr>
            <w:tcW w:w="329" w:type="pct"/>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Call activity</w:t>
            </w:r>
          </w:p>
        </w:tc>
        <w:tc>
          <w:tcPr>
            <w:tcW w:w="332" w:type="pct"/>
            <w:shd w:val="clear" w:color="auto" w:fill="D9D9D9"/>
            <w:vAlign w:val="center"/>
            <w:hideMark/>
          </w:tcPr>
          <w:p w:rsidR="00E809F1" w:rsidRPr="00E23B8D" w:rsidRDefault="00E809F1">
            <w:pPr>
              <w:spacing w:before="60" w:after="60" w:line="240" w:lineRule="exact"/>
              <w:jc w:val="center"/>
              <w:rPr>
                <w:rFonts w:cs="Arial"/>
                <w:color w:val="000000"/>
                <w:szCs w:val="20"/>
                <w:lang w:eastAsia="en-AU"/>
              </w:rPr>
            </w:pPr>
            <w:r w:rsidRPr="00E23B8D">
              <w:rPr>
                <w:rFonts w:cs="Arial"/>
                <w:color w:val="000000"/>
                <w:szCs w:val="20"/>
                <w:lang w:eastAsia="en-AU"/>
              </w:rPr>
              <w:t>No. sighted</w:t>
            </w:r>
          </w:p>
        </w:tc>
      </w:tr>
      <w:tr w:rsidR="00E809F1" w:rsidRPr="00E23B8D" w:rsidTr="00E23B8D">
        <w:trPr>
          <w:trHeight w:val="600"/>
        </w:trPr>
        <w:tc>
          <w:tcPr>
            <w:tcW w:w="1061" w:type="pct"/>
            <w:shd w:val="clear" w:color="auto" w:fill="auto"/>
            <w:vAlign w:val="center"/>
            <w:hideMark/>
          </w:tcPr>
          <w:p w:rsidR="00E809F1" w:rsidRPr="00E23B8D" w:rsidRDefault="00E809F1" w:rsidP="00433ED5">
            <w:pPr>
              <w:spacing w:before="60" w:after="60" w:line="240" w:lineRule="exact"/>
              <w:jc w:val="left"/>
              <w:rPr>
                <w:rFonts w:cs="Arial"/>
                <w:color w:val="000000"/>
                <w:szCs w:val="20"/>
                <w:lang w:eastAsia="en-AU"/>
              </w:rPr>
            </w:pPr>
            <w:r w:rsidRPr="00E23B8D">
              <w:rPr>
                <w:rFonts w:cs="Arial"/>
                <w:color w:val="000000"/>
                <w:szCs w:val="20"/>
                <w:lang w:eastAsia="en-AU"/>
              </w:rPr>
              <w:t>Peron’s tree frog</w:t>
            </w:r>
            <w:r w:rsidRPr="00E23B8D">
              <w:rPr>
                <w:rFonts w:cs="Arial"/>
                <w:color w:val="000000"/>
                <w:szCs w:val="20"/>
                <w:lang w:eastAsia="en-AU"/>
              </w:rPr>
              <w:br/>
              <w:t>(</w:t>
            </w:r>
            <w:r w:rsidRPr="00E23B8D">
              <w:rPr>
                <w:rFonts w:cs="Arial"/>
                <w:i/>
                <w:iCs/>
                <w:color w:val="000000"/>
                <w:szCs w:val="20"/>
                <w:lang w:eastAsia="en-AU"/>
              </w:rPr>
              <w:t>Litoria peroni</w:t>
            </w:r>
            <w:r w:rsidRPr="00E23B8D">
              <w:rPr>
                <w:rFonts w:cs="Arial"/>
                <w:color w:val="000000"/>
                <w:szCs w:val="20"/>
                <w:lang w:eastAsia="en-AU"/>
              </w:rPr>
              <w:t>)</w:t>
            </w:r>
          </w:p>
        </w:tc>
        <w:tc>
          <w:tcPr>
            <w:tcW w:w="295" w:type="pct"/>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High</w:t>
            </w:r>
          </w:p>
        </w:tc>
        <w:tc>
          <w:tcPr>
            <w:tcW w:w="334" w:type="pct"/>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1</w:t>
            </w:r>
          </w:p>
        </w:tc>
        <w:tc>
          <w:tcPr>
            <w:tcW w:w="329" w:type="pct"/>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Low</w:t>
            </w:r>
          </w:p>
        </w:tc>
        <w:tc>
          <w:tcPr>
            <w:tcW w:w="333" w:type="pct"/>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p>
        </w:tc>
        <w:tc>
          <w:tcPr>
            <w:tcW w:w="329" w:type="pct"/>
            <w:shd w:val="clear" w:color="auto" w:fill="auto"/>
            <w:noWrap/>
            <w:vAlign w:val="center"/>
            <w:hideMark/>
          </w:tcPr>
          <w:p w:rsidR="00E809F1" w:rsidRPr="00E23B8D" w:rsidRDefault="00E809F1" w:rsidP="002159C6">
            <w:pPr>
              <w:spacing w:before="60" w:after="60" w:line="240" w:lineRule="exact"/>
              <w:jc w:val="center"/>
              <w:rPr>
                <w:rFonts w:cs="Arial"/>
                <w:color w:val="000000"/>
                <w:szCs w:val="20"/>
                <w:lang w:eastAsia="en-AU"/>
              </w:rPr>
            </w:pPr>
            <w:r w:rsidRPr="00E23B8D">
              <w:rPr>
                <w:rFonts w:cs="Arial"/>
                <w:color w:val="000000"/>
                <w:szCs w:val="20"/>
                <w:lang w:eastAsia="en-AU"/>
              </w:rPr>
              <w:t>Low</w:t>
            </w:r>
          </w:p>
        </w:tc>
        <w:tc>
          <w:tcPr>
            <w:tcW w:w="333" w:type="pct"/>
            <w:shd w:val="clear" w:color="auto" w:fill="auto"/>
            <w:noWrap/>
            <w:vAlign w:val="center"/>
            <w:hideMark/>
          </w:tcPr>
          <w:p w:rsidR="00E809F1" w:rsidRPr="00E23B8D" w:rsidRDefault="00E809F1" w:rsidP="002159C6">
            <w:pPr>
              <w:spacing w:before="60" w:after="60" w:line="240" w:lineRule="exact"/>
              <w:jc w:val="center"/>
              <w:rPr>
                <w:rFonts w:cs="Arial"/>
                <w:color w:val="000000"/>
                <w:szCs w:val="20"/>
                <w:lang w:eastAsia="en-AU"/>
              </w:rPr>
            </w:pPr>
            <w:r w:rsidRPr="00E23B8D">
              <w:rPr>
                <w:rFonts w:cs="Arial"/>
                <w:color w:val="000000"/>
                <w:szCs w:val="20"/>
                <w:lang w:eastAsia="en-AU"/>
              </w:rPr>
              <w:t>2</w:t>
            </w:r>
          </w:p>
        </w:tc>
        <w:tc>
          <w:tcPr>
            <w:tcW w:w="329" w:type="pct"/>
            <w:shd w:val="clear" w:color="auto" w:fill="auto"/>
            <w:noWrap/>
            <w:vAlign w:val="center"/>
            <w:hideMark/>
          </w:tcPr>
          <w:p w:rsidR="00E809F1" w:rsidRPr="00E23B8D" w:rsidRDefault="00E809F1" w:rsidP="00704E86">
            <w:pPr>
              <w:spacing w:before="60" w:after="60" w:line="240" w:lineRule="exact"/>
              <w:jc w:val="center"/>
              <w:rPr>
                <w:rFonts w:cs="Arial"/>
                <w:color w:val="000000"/>
                <w:szCs w:val="20"/>
                <w:lang w:eastAsia="en-AU"/>
              </w:rPr>
            </w:pPr>
            <w:r w:rsidRPr="00E23B8D">
              <w:rPr>
                <w:rFonts w:cs="Arial"/>
                <w:color w:val="000000"/>
                <w:szCs w:val="20"/>
                <w:lang w:eastAsia="en-AU"/>
              </w:rPr>
              <w:t>Low</w:t>
            </w:r>
          </w:p>
        </w:tc>
        <w:tc>
          <w:tcPr>
            <w:tcW w:w="334" w:type="pct"/>
            <w:shd w:val="clear" w:color="auto" w:fill="auto"/>
            <w:noWrap/>
            <w:vAlign w:val="center"/>
            <w:hideMark/>
          </w:tcPr>
          <w:p w:rsidR="00E809F1" w:rsidRPr="00E23B8D" w:rsidRDefault="00E809F1" w:rsidP="00A5046E">
            <w:pPr>
              <w:spacing w:before="60" w:after="60" w:line="240" w:lineRule="exact"/>
              <w:jc w:val="center"/>
              <w:rPr>
                <w:rFonts w:cs="Arial"/>
                <w:color w:val="000000"/>
                <w:szCs w:val="20"/>
                <w:lang w:eastAsia="en-AU"/>
              </w:rPr>
            </w:pPr>
          </w:p>
        </w:tc>
        <w:tc>
          <w:tcPr>
            <w:tcW w:w="329" w:type="pct"/>
            <w:shd w:val="clear" w:color="auto" w:fill="auto"/>
            <w:noWrap/>
            <w:vAlign w:val="center"/>
            <w:hideMark/>
          </w:tcPr>
          <w:p w:rsidR="00E809F1" w:rsidRPr="00E23B8D" w:rsidRDefault="00E809F1" w:rsidP="00A5046E">
            <w:pPr>
              <w:spacing w:before="60" w:after="60" w:line="240" w:lineRule="exact"/>
              <w:jc w:val="center"/>
              <w:rPr>
                <w:rFonts w:cs="Arial"/>
                <w:color w:val="000000"/>
                <w:szCs w:val="20"/>
                <w:lang w:eastAsia="en-AU"/>
              </w:rPr>
            </w:pPr>
            <w:r w:rsidRPr="00E23B8D">
              <w:rPr>
                <w:rFonts w:cs="Arial"/>
                <w:color w:val="000000"/>
                <w:szCs w:val="20"/>
                <w:lang w:eastAsia="en-AU"/>
              </w:rPr>
              <w:t>Low</w:t>
            </w:r>
          </w:p>
        </w:tc>
        <w:tc>
          <w:tcPr>
            <w:tcW w:w="333" w:type="pct"/>
            <w:shd w:val="clear" w:color="auto" w:fill="auto"/>
            <w:noWrap/>
            <w:vAlign w:val="center"/>
            <w:hideMark/>
          </w:tcPr>
          <w:p w:rsidR="00E809F1" w:rsidRPr="00E23B8D" w:rsidRDefault="00E809F1" w:rsidP="00E060B9">
            <w:pPr>
              <w:spacing w:before="60" w:after="60" w:line="240" w:lineRule="exact"/>
              <w:jc w:val="center"/>
              <w:rPr>
                <w:rFonts w:cs="Arial"/>
                <w:color w:val="000000"/>
                <w:szCs w:val="20"/>
                <w:lang w:eastAsia="en-AU"/>
              </w:rPr>
            </w:pPr>
            <w:r w:rsidRPr="00E23B8D">
              <w:rPr>
                <w:rFonts w:cs="Arial"/>
                <w:color w:val="000000"/>
                <w:szCs w:val="20"/>
                <w:lang w:eastAsia="en-AU"/>
              </w:rPr>
              <w:t>1</w:t>
            </w:r>
          </w:p>
        </w:tc>
        <w:tc>
          <w:tcPr>
            <w:tcW w:w="329" w:type="pct"/>
            <w:shd w:val="clear" w:color="auto" w:fill="auto"/>
            <w:noWrap/>
            <w:vAlign w:val="center"/>
            <w:hideMark/>
          </w:tcPr>
          <w:p w:rsidR="00E809F1" w:rsidRPr="00E23B8D" w:rsidRDefault="00E809F1" w:rsidP="009C1427">
            <w:pPr>
              <w:spacing w:before="60" w:after="60" w:line="240" w:lineRule="exact"/>
              <w:jc w:val="center"/>
              <w:rPr>
                <w:rFonts w:cs="Arial"/>
                <w:color w:val="000000"/>
                <w:szCs w:val="20"/>
                <w:lang w:eastAsia="en-AU"/>
              </w:rPr>
            </w:pPr>
            <w:r w:rsidRPr="00E23B8D">
              <w:rPr>
                <w:rFonts w:cs="Arial"/>
                <w:color w:val="000000"/>
                <w:szCs w:val="20"/>
                <w:lang w:eastAsia="en-AU"/>
              </w:rPr>
              <w:t>Low</w:t>
            </w:r>
          </w:p>
        </w:tc>
        <w:tc>
          <w:tcPr>
            <w:tcW w:w="332" w:type="pct"/>
            <w:shd w:val="clear" w:color="auto" w:fill="auto"/>
            <w:noWrap/>
            <w:vAlign w:val="center"/>
            <w:hideMark/>
          </w:tcPr>
          <w:p w:rsidR="00E809F1" w:rsidRPr="00E23B8D" w:rsidRDefault="00E809F1" w:rsidP="009C1427">
            <w:pPr>
              <w:spacing w:before="60" w:after="60" w:line="240" w:lineRule="exact"/>
              <w:jc w:val="center"/>
              <w:rPr>
                <w:rFonts w:cs="Arial"/>
                <w:color w:val="000000"/>
                <w:szCs w:val="20"/>
                <w:lang w:eastAsia="en-AU"/>
              </w:rPr>
            </w:pPr>
          </w:p>
        </w:tc>
      </w:tr>
      <w:tr w:rsidR="00E809F1" w:rsidRPr="00E23B8D" w:rsidTr="00E23B8D">
        <w:trPr>
          <w:trHeight w:val="600"/>
        </w:trPr>
        <w:tc>
          <w:tcPr>
            <w:tcW w:w="1061" w:type="pct"/>
            <w:shd w:val="clear" w:color="auto" w:fill="auto"/>
            <w:vAlign w:val="center"/>
            <w:hideMark/>
          </w:tcPr>
          <w:p w:rsidR="00E809F1" w:rsidRPr="00E23B8D" w:rsidRDefault="00E809F1" w:rsidP="00433ED5">
            <w:pPr>
              <w:spacing w:before="60" w:after="60" w:line="240" w:lineRule="exact"/>
              <w:jc w:val="left"/>
              <w:rPr>
                <w:rFonts w:cs="Arial"/>
                <w:color w:val="000000"/>
                <w:szCs w:val="20"/>
                <w:lang w:eastAsia="en-AU"/>
              </w:rPr>
            </w:pPr>
            <w:r w:rsidRPr="00E23B8D">
              <w:rPr>
                <w:rFonts w:cs="Arial"/>
                <w:color w:val="000000"/>
                <w:szCs w:val="20"/>
                <w:lang w:eastAsia="en-AU"/>
              </w:rPr>
              <w:t xml:space="preserve">Broad-palmed rocket frog </w:t>
            </w:r>
            <w:r w:rsidRPr="00E23B8D">
              <w:rPr>
                <w:rFonts w:cs="Arial"/>
                <w:color w:val="000000"/>
                <w:szCs w:val="20"/>
                <w:lang w:eastAsia="en-AU"/>
              </w:rPr>
              <w:br/>
              <w:t>(</w:t>
            </w:r>
            <w:r w:rsidRPr="00E23B8D">
              <w:rPr>
                <w:rFonts w:cs="Arial"/>
                <w:i/>
                <w:iCs/>
                <w:color w:val="000000"/>
                <w:szCs w:val="20"/>
                <w:lang w:eastAsia="en-AU"/>
              </w:rPr>
              <w:t>Litoria latopalmata</w:t>
            </w:r>
            <w:r w:rsidRPr="00E23B8D">
              <w:rPr>
                <w:rFonts w:cs="Arial"/>
                <w:color w:val="000000"/>
                <w:szCs w:val="20"/>
                <w:lang w:eastAsia="en-AU"/>
              </w:rPr>
              <w:t>)</w:t>
            </w:r>
          </w:p>
        </w:tc>
        <w:tc>
          <w:tcPr>
            <w:tcW w:w="295" w:type="pct"/>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Nil</w:t>
            </w:r>
          </w:p>
        </w:tc>
        <w:tc>
          <w:tcPr>
            <w:tcW w:w="334" w:type="pct"/>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2</w:t>
            </w:r>
          </w:p>
        </w:tc>
        <w:tc>
          <w:tcPr>
            <w:tcW w:w="329" w:type="pct"/>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p>
        </w:tc>
        <w:tc>
          <w:tcPr>
            <w:tcW w:w="333" w:type="pct"/>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p>
        </w:tc>
        <w:tc>
          <w:tcPr>
            <w:tcW w:w="329" w:type="pct"/>
            <w:shd w:val="clear" w:color="auto" w:fill="auto"/>
            <w:noWrap/>
            <w:vAlign w:val="center"/>
            <w:hideMark/>
          </w:tcPr>
          <w:p w:rsidR="00E809F1" w:rsidRPr="00E23B8D" w:rsidRDefault="00E809F1" w:rsidP="002159C6">
            <w:pPr>
              <w:spacing w:before="60" w:after="60" w:line="240" w:lineRule="exact"/>
              <w:jc w:val="center"/>
              <w:rPr>
                <w:rFonts w:cs="Arial"/>
                <w:color w:val="000000"/>
                <w:szCs w:val="20"/>
                <w:lang w:eastAsia="en-AU"/>
              </w:rPr>
            </w:pPr>
            <w:r w:rsidRPr="00E23B8D">
              <w:rPr>
                <w:rFonts w:cs="Arial"/>
                <w:color w:val="000000"/>
                <w:szCs w:val="20"/>
                <w:lang w:eastAsia="en-AU"/>
              </w:rPr>
              <w:t>Nil</w:t>
            </w:r>
          </w:p>
        </w:tc>
        <w:tc>
          <w:tcPr>
            <w:tcW w:w="333" w:type="pct"/>
            <w:shd w:val="clear" w:color="auto" w:fill="auto"/>
            <w:noWrap/>
            <w:vAlign w:val="center"/>
            <w:hideMark/>
          </w:tcPr>
          <w:p w:rsidR="00E809F1" w:rsidRPr="00E23B8D" w:rsidRDefault="00E809F1" w:rsidP="002159C6">
            <w:pPr>
              <w:spacing w:before="60" w:after="60" w:line="240" w:lineRule="exact"/>
              <w:jc w:val="center"/>
              <w:rPr>
                <w:rFonts w:cs="Arial"/>
                <w:color w:val="000000"/>
                <w:szCs w:val="20"/>
                <w:lang w:eastAsia="en-AU"/>
              </w:rPr>
            </w:pPr>
            <w:r w:rsidRPr="00E23B8D">
              <w:rPr>
                <w:rFonts w:cs="Arial"/>
                <w:color w:val="000000"/>
                <w:szCs w:val="20"/>
                <w:lang w:eastAsia="en-AU"/>
              </w:rPr>
              <w:t>34</w:t>
            </w:r>
          </w:p>
        </w:tc>
        <w:tc>
          <w:tcPr>
            <w:tcW w:w="329" w:type="pct"/>
            <w:shd w:val="clear" w:color="auto" w:fill="auto"/>
            <w:noWrap/>
            <w:vAlign w:val="center"/>
            <w:hideMark/>
          </w:tcPr>
          <w:p w:rsidR="00E809F1" w:rsidRPr="00E23B8D" w:rsidRDefault="00E809F1" w:rsidP="00704E86">
            <w:pPr>
              <w:spacing w:before="60" w:after="60" w:line="240" w:lineRule="exact"/>
              <w:jc w:val="center"/>
              <w:rPr>
                <w:rFonts w:cs="Arial"/>
                <w:color w:val="000000"/>
                <w:szCs w:val="20"/>
                <w:lang w:eastAsia="en-AU"/>
              </w:rPr>
            </w:pPr>
            <w:r w:rsidRPr="00E23B8D">
              <w:rPr>
                <w:rFonts w:cs="Arial"/>
                <w:color w:val="000000"/>
                <w:szCs w:val="20"/>
                <w:lang w:eastAsia="en-AU"/>
              </w:rPr>
              <w:t>Low</w:t>
            </w:r>
          </w:p>
        </w:tc>
        <w:tc>
          <w:tcPr>
            <w:tcW w:w="334" w:type="pct"/>
            <w:shd w:val="clear" w:color="auto" w:fill="auto"/>
            <w:noWrap/>
            <w:vAlign w:val="center"/>
            <w:hideMark/>
          </w:tcPr>
          <w:p w:rsidR="00E809F1" w:rsidRPr="00E23B8D" w:rsidRDefault="00E809F1" w:rsidP="00A5046E">
            <w:pPr>
              <w:spacing w:before="60" w:after="60" w:line="240" w:lineRule="exact"/>
              <w:jc w:val="center"/>
              <w:rPr>
                <w:rFonts w:cs="Arial"/>
                <w:color w:val="000000"/>
                <w:szCs w:val="20"/>
                <w:lang w:eastAsia="en-AU"/>
              </w:rPr>
            </w:pPr>
            <w:r w:rsidRPr="00E23B8D">
              <w:rPr>
                <w:rFonts w:cs="Arial"/>
                <w:color w:val="000000"/>
                <w:szCs w:val="20"/>
                <w:lang w:eastAsia="en-AU"/>
              </w:rPr>
              <w:t>4</w:t>
            </w:r>
          </w:p>
        </w:tc>
        <w:tc>
          <w:tcPr>
            <w:tcW w:w="329" w:type="pct"/>
            <w:shd w:val="clear" w:color="auto" w:fill="auto"/>
            <w:noWrap/>
            <w:vAlign w:val="center"/>
            <w:hideMark/>
          </w:tcPr>
          <w:p w:rsidR="00E809F1" w:rsidRPr="00E23B8D" w:rsidRDefault="00E809F1" w:rsidP="00A5046E">
            <w:pPr>
              <w:spacing w:before="60" w:after="60" w:line="240" w:lineRule="exact"/>
              <w:jc w:val="center"/>
              <w:rPr>
                <w:rFonts w:cs="Arial"/>
                <w:color w:val="000000"/>
                <w:szCs w:val="20"/>
                <w:lang w:eastAsia="en-AU"/>
              </w:rPr>
            </w:pPr>
          </w:p>
        </w:tc>
        <w:tc>
          <w:tcPr>
            <w:tcW w:w="333" w:type="pct"/>
            <w:shd w:val="clear" w:color="auto" w:fill="auto"/>
            <w:noWrap/>
            <w:vAlign w:val="center"/>
            <w:hideMark/>
          </w:tcPr>
          <w:p w:rsidR="00E809F1" w:rsidRPr="00E23B8D" w:rsidRDefault="00E809F1" w:rsidP="00E060B9">
            <w:pPr>
              <w:spacing w:before="60" w:after="60" w:line="240" w:lineRule="exact"/>
              <w:jc w:val="center"/>
              <w:rPr>
                <w:rFonts w:cs="Arial"/>
                <w:color w:val="000000"/>
                <w:szCs w:val="20"/>
                <w:lang w:eastAsia="en-AU"/>
              </w:rPr>
            </w:pPr>
          </w:p>
        </w:tc>
        <w:tc>
          <w:tcPr>
            <w:tcW w:w="329" w:type="pct"/>
            <w:shd w:val="clear" w:color="auto" w:fill="auto"/>
            <w:noWrap/>
            <w:vAlign w:val="center"/>
            <w:hideMark/>
          </w:tcPr>
          <w:p w:rsidR="00E809F1" w:rsidRPr="00E23B8D" w:rsidRDefault="00E809F1" w:rsidP="009C1427">
            <w:pPr>
              <w:spacing w:before="60" w:after="60" w:line="240" w:lineRule="exact"/>
              <w:jc w:val="center"/>
              <w:rPr>
                <w:rFonts w:cs="Arial"/>
                <w:color w:val="000000"/>
                <w:szCs w:val="20"/>
                <w:lang w:eastAsia="en-AU"/>
              </w:rPr>
            </w:pPr>
          </w:p>
        </w:tc>
        <w:tc>
          <w:tcPr>
            <w:tcW w:w="332" w:type="pct"/>
            <w:shd w:val="clear" w:color="auto" w:fill="auto"/>
            <w:noWrap/>
            <w:vAlign w:val="center"/>
            <w:hideMark/>
          </w:tcPr>
          <w:p w:rsidR="00E809F1" w:rsidRPr="00E23B8D" w:rsidRDefault="00E809F1" w:rsidP="009C1427">
            <w:pPr>
              <w:spacing w:before="60" w:after="60" w:line="240" w:lineRule="exact"/>
              <w:jc w:val="center"/>
              <w:rPr>
                <w:rFonts w:cs="Arial"/>
                <w:color w:val="000000"/>
                <w:szCs w:val="20"/>
                <w:lang w:eastAsia="en-AU"/>
              </w:rPr>
            </w:pPr>
          </w:p>
        </w:tc>
      </w:tr>
      <w:tr w:rsidR="00E809F1" w:rsidRPr="00E23B8D" w:rsidTr="00E23B8D">
        <w:trPr>
          <w:trHeight w:val="600"/>
        </w:trPr>
        <w:tc>
          <w:tcPr>
            <w:tcW w:w="1061" w:type="pct"/>
            <w:shd w:val="clear" w:color="auto" w:fill="auto"/>
            <w:vAlign w:val="center"/>
            <w:hideMark/>
          </w:tcPr>
          <w:p w:rsidR="00E809F1" w:rsidRPr="00E23B8D" w:rsidRDefault="00E809F1" w:rsidP="00433ED5">
            <w:pPr>
              <w:spacing w:before="60" w:after="60" w:line="240" w:lineRule="exact"/>
              <w:jc w:val="left"/>
              <w:rPr>
                <w:rFonts w:cs="Arial"/>
                <w:color w:val="000000"/>
                <w:szCs w:val="20"/>
                <w:lang w:eastAsia="en-AU"/>
              </w:rPr>
            </w:pPr>
            <w:r w:rsidRPr="00E23B8D">
              <w:rPr>
                <w:rFonts w:cs="Arial"/>
                <w:color w:val="000000"/>
                <w:szCs w:val="20"/>
                <w:lang w:eastAsia="en-AU"/>
              </w:rPr>
              <w:t xml:space="preserve">Striped burrowing frog </w:t>
            </w:r>
            <w:r w:rsidRPr="00E23B8D">
              <w:rPr>
                <w:rFonts w:cs="Arial"/>
                <w:color w:val="000000"/>
                <w:szCs w:val="20"/>
                <w:lang w:eastAsia="en-AU"/>
              </w:rPr>
              <w:br/>
              <w:t>(</w:t>
            </w:r>
            <w:r w:rsidRPr="00E23B8D">
              <w:rPr>
                <w:rFonts w:cs="Arial"/>
                <w:i/>
                <w:iCs/>
                <w:color w:val="000000"/>
                <w:szCs w:val="20"/>
                <w:lang w:eastAsia="en-AU"/>
              </w:rPr>
              <w:t>Cyclorana alboguttata)</w:t>
            </w:r>
          </w:p>
        </w:tc>
        <w:tc>
          <w:tcPr>
            <w:tcW w:w="295" w:type="pct"/>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p>
        </w:tc>
        <w:tc>
          <w:tcPr>
            <w:tcW w:w="334" w:type="pct"/>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p>
        </w:tc>
        <w:tc>
          <w:tcPr>
            <w:tcW w:w="329" w:type="pct"/>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Low</w:t>
            </w:r>
          </w:p>
        </w:tc>
        <w:tc>
          <w:tcPr>
            <w:tcW w:w="333" w:type="pct"/>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1</w:t>
            </w:r>
          </w:p>
        </w:tc>
        <w:tc>
          <w:tcPr>
            <w:tcW w:w="329" w:type="pct"/>
            <w:shd w:val="clear" w:color="auto" w:fill="auto"/>
            <w:noWrap/>
            <w:vAlign w:val="center"/>
            <w:hideMark/>
          </w:tcPr>
          <w:p w:rsidR="00E809F1" w:rsidRPr="00E23B8D" w:rsidRDefault="00E809F1" w:rsidP="002159C6">
            <w:pPr>
              <w:spacing w:before="60" w:after="60" w:line="240" w:lineRule="exact"/>
              <w:jc w:val="center"/>
              <w:rPr>
                <w:rFonts w:cs="Arial"/>
                <w:color w:val="000000"/>
                <w:szCs w:val="20"/>
                <w:lang w:eastAsia="en-AU"/>
              </w:rPr>
            </w:pPr>
          </w:p>
        </w:tc>
        <w:tc>
          <w:tcPr>
            <w:tcW w:w="333" w:type="pct"/>
            <w:shd w:val="clear" w:color="auto" w:fill="auto"/>
            <w:noWrap/>
            <w:vAlign w:val="center"/>
            <w:hideMark/>
          </w:tcPr>
          <w:p w:rsidR="00E809F1" w:rsidRPr="00E23B8D" w:rsidRDefault="00E809F1" w:rsidP="002159C6">
            <w:pPr>
              <w:spacing w:before="60" w:after="60" w:line="240" w:lineRule="exact"/>
              <w:jc w:val="center"/>
              <w:rPr>
                <w:rFonts w:cs="Arial"/>
                <w:color w:val="000000"/>
                <w:szCs w:val="20"/>
                <w:lang w:eastAsia="en-AU"/>
              </w:rPr>
            </w:pPr>
          </w:p>
        </w:tc>
        <w:tc>
          <w:tcPr>
            <w:tcW w:w="329" w:type="pct"/>
            <w:shd w:val="clear" w:color="auto" w:fill="auto"/>
            <w:noWrap/>
            <w:vAlign w:val="center"/>
            <w:hideMark/>
          </w:tcPr>
          <w:p w:rsidR="00E809F1" w:rsidRPr="00E23B8D" w:rsidRDefault="00E809F1" w:rsidP="00704E86">
            <w:pPr>
              <w:spacing w:before="60" w:after="60" w:line="240" w:lineRule="exact"/>
              <w:jc w:val="center"/>
              <w:rPr>
                <w:rFonts w:cs="Arial"/>
                <w:color w:val="000000"/>
                <w:szCs w:val="20"/>
                <w:lang w:eastAsia="en-AU"/>
              </w:rPr>
            </w:pPr>
            <w:r w:rsidRPr="00E23B8D">
              <w:rPr>
                <w:rFonts w:cs="Arial"/>
                <w:color w:val="000000"/>
                <w:szCs w:val="20"/>
                <w:lang w:eastAsia="en-AU"/>
              </w:rPr>
              <w:t>Low</w:t>
            </w:r>
          </w:p>
        </w:tc>
        <w:tc>
          <w:tcPr>
            <w:tcW w:w="334" w:type="pct"/>
            <w:shd w:val="clear" w:color="auto" w:fill="auto"/>
            <w:noWrap/>
            <w:vAlign w:val="center"/>
            <w:hideMark/>
          </w:tcPr>
          <w:p w:rsidR="00E809F1" w:rsidRPr="00E23B8D" w:rsidRDefault="00E809F1" w:rsidP="00A5046E">
            <w:pPr>
              <w:spacing w:before="60" w:after="60" w:line="240" w:lineRule="exact"/>
              <w:jc w:val="center"/>
              <w:rPr>
                <w:rFonts w:cs="Arial"/>
                <w:color w:val="000000"/>
                <w:szCs w:val="20"/>
                <w:lang w:eastAsia="en-AU"/>
              </w:rPr>
            </w:pPr>
            <w:r w:rsidRPr="00E23B8D">
              <w:rPr>
                <w:rFonts w:cs="Arial"/>
                <w:color w:val="000000"/>
                <w:szCs w:val="20"/>
                <w:lang w:eastAsia="en-AU"/>
              </w:rPr>
              <w:t>1</w:t>
            </w:r>
          </w:p>
        </w:tc>
        <w:tc>
          <w:tcPr>
            <w:tcW w:w="329" w:type="pct"/>
            <w:shd w:val="clear" w:color="auto" w:fill="auto"/>
            <w:noWrap/>
            <w:vAlign w:val="center"/>
            <w:hideMark/>
          </w:tcPr>
          <w:p w:rsidR="00E809F1" w:rsidRPr="00E23B8D" w:rsidRDefault="00E809F1" w:rsidP="00A5046E">
            <w:pPr>
              <w:spacing w:before="60" w:after="60" w:line="240" w:lineRule="exact"/>
              <w:jc w:val="center"/>
              <w:rPr>
                <w:rFonts w:cs="Arial"/>
                <w:color w:val="000000"/>
                <w:szCs w:val="20"/>
                <w:lang w:eastAsia="en-AU"/>
              </w:rPr>
            </w:pPr>
          </w:p>
        </w:tc>
        <w:tc>
          <w:tcPr>
            <w:tcW w:w="333" w:type="pct"/>
            <w:shd w:val="clear" w:color="auto" w:fill="auto"/>
            <w:noWrap/>
            <w:vAlign w:val="center"/>
            <w:hideMark/>
          </w:tcPr>
          <w:p w:rsidR="00E809F1" w:rsidRPr="00E23B8D" w:rsidRDefault="00E809F1" w:rsidP="00E060B9">
            <w:pPr>
              <w:spacing w:before="60" w:after="60" w:line="240" w:lineRule="exact"/>
              <w:jc w:val="center"/>
              <w:rPr>
                <w:rFonts w:cs="Arial"/>
                <w:color w:val="000000"/>
                <w:szCs w:val="20"/>
                <w:lang w:eastAsia="en-AU"/>
              </w:rPr>
            </w:pPr>
          </w:p>
        </w:tc>
        <w:tc>
          <w:tcPr>
            <w:tcW w:w="329" w:type="pct"/>
            <w:shd w:val="clear" w:color="auto" w:fill="auto"/>
            <w:noWrap/>
            <w:vAlign w:val="center"/>
            <w:hideMark/>
          </w:tcPr>
          <w:p w:rsidR="00E809F1" w:rsidRPr="00E23B8D" w:rsidRDefault="00E809F1" w:rsidP="009C1427">
            <w:pPr>
              <w:spacing w:before="60" w:after="60" w:line="240" w:lineRule="exact"/>
              <w:jc w:val="center"/>
              <w:rPr>
                <w:rFonts w:cs="Arial"/>
                <w:color w:val="000000"/>
                <w:szCs w:val="20"/>
                <w:lang w:eastAsia="en-AU"/>
              </w:rPr>
            </w:pPr>
          </w:p>
        </w:tc>
        <w:tc>
          <w:tcPr>
            <w:tcW w:w="332" w:type="pct"/>
            <w:shd w:val="clear" w:color="auto" w:fill="auto"/>
            <w:noWrap/>
            <w:vAlign w:val="center"/>
            <w:hideMark/>
          </w:tcPr>
          <w:p w:rsidR="00E809F1" w:rsidRPr="00E23B8D" w:rsidRDefault="00E809F1" w:rsidP="009C1427">
            <w:pPr>
              <w:spacing w:before="60" w:after="60" w:line="240" w:lineRule="exact"/>
              <w:jc w:val="center"/>
              <w:rPr>
                <w:rFonts w:cs="Arial"/>
                <w:color w:val="000000"/>
                <w:szCs w:val="20"/>
                <w:lang w:eastAsia="en-AU"/>
              </w:rPr>
            </w:pPr>
          </w:p>
        </w:tc>
      </w:tr>
      <w:tr w:rsidR="00E809F1" w:rsidRPr="00E23B8D" w:rsidTr="00E23B8D">
        <w:trPr>
          <w:trHeight w:val="600"/>
        </w:trPr>
        <w:tc>
          <w:tcPr>
            <w:tcW w:w="1061" w:type="pct"/>
            <w:shd w:val="clear" w:color="auto" w:fill="auto"/>
            <w:vAlign w:val="center"/>
            <w:hideMark/>
          </w:tcPr>
          <w:p w:rsidR="00E809F1" w:rsidRPr="00E23B8D" w:rsidRDefault="00E809F1" w:rsidP="00433ED5">
            <w:pPr>
              <w:spacing w:before="60" w:after="60" w:line="240" w:lineRule="exact"/>
              <w:jc w:val="left"/>
              <w:rPr>
                <w:rFonts w:cs="Arial"/>
                <w:color w:val="000000"/>
                <w:szCs w:val="20"/>
                <w:lang w:eastAsia="en-AU"/>
              </w:rPr>
            </w:pPr>
            <w:r w:rsidRPr="00E23B8D">
              <w:rPr>
                <w:rFonts w:cs="Arial"/>
                <w:color w:val="000000"/>
                <w:szCs w:val="20"/>
                <w:lang w:eastAsia="en-AU"/>
              </w:rPr>
              <w:t xml:space="preserve">Spotted marsh frog </w:t>
            </w:r>
            <w:r w:rsidRPr="00E23B8D">
              <w:rPr>
                <w:rFonts w:cs="Arial"/>
                <w:color w:val="000000"/>
                <w:szCs w:val="20"/>
                <w:lang w:eastAsia="en-AU"/>
              </w:rPr>
              <w:br/>
              <w:t>(</w:t>
            </w:r>
            <w:r w:rsidRPr="00E23B8D">
              <w:rPr>
                <w:rFonts w:cs="Arial"/>
                <w:i/>
                <w:iCs/>
                <w:color w:val="000000"/>
                <w:szCs w:val="20"/>
                <w:lang w:eastAsia="en-AU"/>
              </w:rPr>
              <w:t>Limnodynastes tasmaniensis</w:t>
            </w:r>
            <w:r w:rsidRPr="00E23B8D">
              <w:rPr>
                <w:rFonts w:cs="Arial"/>
                <w:color w:val="000000"/>
                <w:szCs w:val="20"/>
                <w:lang w:eastAsia="en-AU"/>
              </w:rPr>
              <w:t>)</w:t>
            </w:r>
          </w:p>
        </w:tc>
        <w:tc>
          <w:tcPr>
            <w:tcW w:w="295" w:type="pct"/>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Nil</w:t>
            </w:r>
          </w:p>
        </w:tc>
        <w:tc>
          <w:tcPr>
            <w:tcW w:w="334" w:type="pct"/>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2</w:t>
            </w:r>
          </w:p>
        </w:tc>
        <w:tc>
          <w:tcPr>
            <w:tcW w:w="329" w:type="pct"/>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p>
        </w:tc>
        <w:tc>
          <w:tcPr>
            <w:tcW w:w="333" w:type="pct"/>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p>
        </w:tc>
        <w:tc>
          <w:tcPr>
            <w:tcW w:w="329" w:type="pct"/>
            <w:shd w:val="clear" w:color="auto" w:fill="auto"/>
            <w:noWrap/>
            <w:vAlign w:val="center"/>
            <w:hideMark/>
          </w:tcPr>
          <w:p w:rsidR="00E809F1" w:rsidRPr="00E23B8D" w:rsidRDefault="00E809F1" w:rsidP="002159C6">
            <w:pPr>
              <w:spacing w:before="60" w:after="60" w:line="240" w:lineRule="exact"/>
              <w:jc w:val="center"/>
              <w:rPr>
                <w:rFonts w:cs="Arial"/>
                <w:color w:val="000000"/>
                <w:szCs w:val="20"/>
                <w:lang w:eastAsia="en-AU"/>
              </w:rPr>
            </w:pPr>
          </w:p>
        </w:tc>
        <w:tc>
          <w:tcPr>
            <w:tcW w:w="333" w:type="pct"/>
            <w:shd w:val="clear" w:color="auto" w:fill="auto"/>
            <w:noWrap/>
            <w:vAlign w:val="center"/>
            <w:hideMark/>
          </w:tcPr>
          <w:p w:rsidR="00E809F1" w:rsidRPr="00E23B8D" w:rsidRDefault="00E809F1" w:rsidP="002159C6">
            <w:pPr>
              <w:spacing w:before="60" w:after="60" w:line="240" w:lineRule="exact"/>
              <w:jc w:val="center"/>
              <w:rPr>
                <w:rFonts w:cs="Arial"/>
                <w:color w:val="000000"/>
                <w:szCs w:val="20"/>
                <w:lang w:eastAsia="en-AU"/>
              </w:rPr>
            </w:pPr>
          </w:p>
        </w:tc>
        <w:tc>
          <w:tcPr>
            <w:tcW w:w="329" w:type="pct"/>
            <w:shd w:val="clear" w:color="auto" w:fill="auto"/>
            <w:noWrap/>
            <w:vAlign w:val="center"/>
            <w:hideMark/>
          </w:tcPr>
          <w:p w:rsidR="00E809F1" w:rsidRPr="00E23B8D" w:rsidRDefault="00E809F1" w:rsidP="00704E86">
            <w:pPr>
              <w:spacing w:before="60" w:after="60" w:line="240" w:lineRule="exact"/>
              <w:jc w:val="center"/>
              <w:rPr>
                <w:rFonts w:cs="Arial"/>
                <w:color w:val="000000"/>
                <w:szCs w:val="20"/>
                <w:lang w:eastAsia="en-AU"/>
              </w:rPr>
            </w:pPr>
          </w:p>
        </w:tc>
        <w:tc>
          <w:tcPr>
            <w:tcW w:w="334" w:type="pct"/>
            <w:shd w:val="clear" w:color="auto" w:fill="auto"/>
            <w:noWrap/>
            <w:vAlign w:val="center"/>
            <w:hideMark/>
          </w:tcPr>
          <w:p w:rsidR="00E809F1" w:rsidRPr="00E23B8D" w:rsidRDefault="00E809F1" w:rsidP="00A5046E">
            <w:pPr>
              <w:spacing w:before="60" w:after="60" w:line="240" w:lineRule="exact"/>
              <w:jc w:val="center"/>
              <w:rPr>
                <w:rFonts w:cs="Arial"/>
                <w:color w:val="000000"/>
                <w:szCs w:val="20"/>
                <w:lang w:eastAsia="en-AU"/>
              </w:rPr>
            </w:pPr>
          </w:p>
        </w:tc>
        <w:tc>
          <w:tcPr>
            <w:tcW w:w="329" w:type="pct"/>
            <w:shd w:val="clear" w:color="auto" w:fill="auto"/>
            <w:noWrap/>
            <w:vAlign w:val="center"/>
            <w:hideMark/>
          </w:tcPr>
          <w:p w:rsidR="00E809F1" w:rsidRPr="00E23B8D" w:rsidRDefault="00E809F1" w:rsidP="00A5046E">
            <w:pPr>
              <w:spacing w:before="60" w:after="60" w:line="240" w:lineRule="exact"/>
              <w:jc w:val="center"/>
              <w:rPr>
                <w:rFonts w:cs="Arial"/>
                <w:color w:val="000000"/>
                <w:szCs w:val="20"/>
                <w:lang w:eastAsia="en-AU"/>
              </w:rPr>
            </w:pPr>
          </w:p>
        </w:tc>
        <w:tc>
          <w:tcPr>
            <w:tcW w:w="333" w:type="pct"/>
            <w:shd w:val="clear" w:color="auto" w:fill="auto"/>
            <w:noWrap/>
            <w:vAlign w:val="center"/>
            <w:hideMark/>
          </w:tcPr>
          <w:p w:rsidR="00E809F1" w:rsidRPr="00E23B8D" w:rsidRDefault="00E809F1" w:rsidP="00E060B9">
            <w:pPr>
              <w:spacing w:before="60" w:after="60" w:line="240" w:lineRule="exact"/>
              <w:jc w:val="center"/>
              <w:rPr>
                <w:rFonts w:cs="Arial"/>
                <w:color w:val="000000"/>
                <w:szCs w:val="20"/>
                <w:lang w:eastAsia="en-AU"/>
              </w:rPr>
            </w:pPr>
          </w:p>
        </w:tc>
        <w:tc>
          <w:tcPr>
            <w:tcW w:w="329" w:type="pct"/>
            <w:shd w:val="clear" w:color="auto" w:fill="auto"/>
            <w:noWrap/>
            <w:vAlign w:val="center"/>
            <w:hideMark/>
          </w:tcPr>
          <w:p w:rsidR="00E809F1" w:rsidRPr="00E23B8D" w:rsidRDefault="00E809F1" w:rsidP="009C1427">
            <w:pPr>
              <w:spacing w:before="60" w:after="60" w:line="240" w:lineRule="exact"/>
              <w:jc w:val="center"/>
              <w:rPr>
                <w:rFonts w:cs="Arial"/>
                <w:color w:val="000000"/>
                <w:szCs w:val="20"/>
                <w:lang w:eastAsia="en-AU"/>
              </w:rPr>
            </w:pPr>
          </w:p>
        </w:tc>
        <w:tc>
          <w:tcPr>
            <w:tcW w:w="332" w:type="pct"/>
            <w:shd w:val="clear" w:color="auto" w:fill="auto"/>
            <w:noWrap/>
            <w:vAlign w:val="center"/>
            <w:hideMark/>
          </w:tcPr>
          <w:p w:rsidR="00E809F1" w:rsidRPr="00E23B8D" w:rsidRDefault="00E809F1" w:rsidP="009C1427">
            <w:pPr>
              <w:spacing w:before="60" w:after="60" w:line="240" w:lineRule="exact"/>
              <w:jc w:val="center"/>
              <w:rPr>
                <w:rFonts w:cs="Arial"/>
                <w:color w:val="000000"/>
                <w:szCs w:val="20"/>
                <w:lang w:eastAsia="en-AU"/>
              </w:rPr>
            </w:pPr>
          </w:p>
        </w:tc>
      </w:tr>
      <w:tr w:rsidR="00E809F1" w:rsidRPr="00E23B8D" w:rsidTr="00E23B8D">
        <w:trPr>
          <w:trHeight w:val="600"/>
        </w:trPr>
        <w:tc>
          <w:tcPr>
            <w:tcW w:w="1061" w:type="pct"/>
            <w:shd w:val="clear" w:color="auto" w:fill="auto"/>
            <w:vAlign w:val="center"/>
            <w:hideMark/>
          </w:tcPr>
          <w:p w:rsidR="00E809F1" w:rsidRPr="00E23B8D" w:rsidRDefault="00E809F1" w:rsidP="00433ED5">
            <w:pPr>
              <w:spacing w:before="60" w:after="60" w:line="240" w:lineRule="exact"/>
              <w:jc w:val="left"/>
              <w:rPr>
                <w:rFonts w:cs="Arial"/>
                <w:color w:val="000000"/>
                <w:szCs w:val="20"/>
                <w:lang w:eastAsia="en-AU"/>
              </w:rPr>
            </w:pPr>
            <w:r w:rsidRPr="00E23B8D">
              <w:rPr>
                <w:rFonts w:cs="Arial"/>
                <w:color w:val="000000"/>
                <w:szCs w:val="20"/>
                <w:lang w:eastAsia="en-AU"/>
              </w:rPr>
              <w:t>Barking marsh frog</w:t>
            </w:r>
            <w:r w:rsidRPr="00E23B8D">
              <w:rPr>
                <w:rFonts w:cs="Arial"/>
                <w:i/>
                <w:iCs/>
                <w:color w:val="000000"/>
                <w:szCs w:val="20"/>
                <w:lang w:eastAsia="en-AU"/>
              </w:rPr>
              <w:t xml:space="preserve"> </w:t>
            </w:r>
            <w:r w:rsidRPr="00E23B8D">
              <w:rPr>
                <w:rFonts w:cs="Arial"/>
                <w:i/>
                <w:iCs/>
                <w:color w:val="000000"/>
                <w:szCs w:val="20"/>
                <w:lang w:eastAsia="en-AU"/>
              </w:rPr>
              <w:br/>
              <w:t>(Limnodynastes fletcheri</w:t>
            </w:r>
            <w:r w:rsidRPr="00E23B8D">
              <w:rPr>
                <w:rFonts w:cs="Arial"/>
                <w:color w:val="000000"/>
                <w:szCs w:val="20"/>
                <w:lang w:eastAsia="en-AU"/>
              </w:rPr>
              <w:t>)</w:t>
            </w:r>
          </w:p>
        </w:tc>
        <w:tc>
          <w:tcPr>
            <w:tcW w:w="295" w:type="pct"/>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High</w:t>
            </w:r>
          </w:p>
        </w:tc>
        <w:tc>
          <w:tcPr>
            <w:tcW w:w="334" w:type="pct"/>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12</w:t>
            </w:r>
          </w:p>
        </w:tc>
        <w:tc>
          <w:tcPr>
            <w:tcW w:w="329" w:type="pct"/>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Low</w:t>
            </w:r>
          </w:p>
        </w:tc>
        <w:tc>
          <w:tcPr>
            <w:tcW w:w="333" w:type="pct"/>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5</w:t>
            </w:r>
          </w:p>
        </w:tc>
        <w:tc>
          <w:tcPr>
            <w:tcW w:w="329" w:type="pct"/>
            <w:shd w:val="clear" w:color="auto" w:fill="auto"/>
            <w:noWrap/>
            <w:vAlign w:val="center"/>
            <w:hideMark/>
          </w:tcPr>
          <w:p w:rsidR="00E809F1" w:rsidRPr="00E23B8D" w:rsidRDefault="00E809F1" w:rsidP="002159C6">
            <w:pPr>
              <w:spacing w:before="60" w:after="60" w:line="240" w:lineRule="exact"/>
              <w:jc w:val="center"/>
              <w:rPr>
                <w:rFonts w:cs="Arial"/>
                <w:color w:val="000000"/>
                <w:szCs w:val="20"/>
                <w:lang w:eastAsia="en-AU"/>
              </w:rPr>
            </w:pPr>
            <w:r w:rsidRPr="00E23B8D">
              <w:rPr>
                <w:rFonts w:cs="Arial"/>
                <w:color w:val="000000"/>
                <w:szCs w:val="20"/>
                <w:lang w:eastAsia="en-AU"/>
              </w:rPr>
              <w:t>Low</w:t>
            </w:r>
          </w:p>
        </w:tc>
        <w:tc>
          <w:tcPr>
            <w:tcW w:w="333" w:type="pct"/>
            <w:shd w:val="clear" w:color="auto" w:fill="auto"/>
            <w:noWrap/>
            <w:vAlign w:val="center"/>
            <w:hideMark/>
          </w:tcPr>
          <w:p w:rsidR="00E809F1" w:rsidRPr="00E23B8D" w:rsidRDefault="00E809F1" w:rsidP="002159C6">
            <w:pPr>
              <w:spacing w:before="60" w:after="60" w:line="240" w:lineRule="exact"/>
              <w:jc w:val="center"/>
              <w:rPr>
                <w:rFonts w:cs="Arial"/>
                <w:color w:val="000000"/>
                <w:szCs w:val="20"/>
                <w:lang w:eastAsia="en-AU"/>
              </w:rPr>
            </w:pPr>
            <w:r w:rsidRPr="00E23B8D">
              <w:rPr>
                <w:rFonts w:cs="Arial"/>
                <w:color w:val="000000"/>
                <w:szCs w:val="20"/>
                <w:lang w:eastAsia="en-AU"/>
              </w:rPr>
              <w:t>10</w:t>
            </w:r>
          </w:p>
        </w:tc>
        <w:tc>
          <w:tcPr>
            <w:tcW w:w="329" w:type="pct"/>
            <w:shd w:val="clear" w:color="auto" w:fill="auto"/>
            <w:noWrap/>
            <w:vAlign w:val="center"/>
            <w:hideMark/>
          </w:tcPr>
          <w:p w:rsidR="00E809F1" w:rsidRPr="00E23B8D" w:rsidRDefault="00E809F1" w:rsidP="00704E86">
            <w:pPr>
              <w:spacing w:before="60" w:after="60" w:line="240" w:lineRule="exact"/>
              <w:jc w:val="center"/>
              <w:rPr>
                <w:rFonts w:cs="Arial"/>
                <w:color w:val="000000"/>
                <w:szCs w:val="20"/>
                <w:lang w:eastAsia="en-AU"/>
              </w:rPr>
            </w:pPr>
            <w:r w:rsidRPr="00E23B8D">
              <w:rPr>
                <w:rFonts w:cs="Arial"/>
                <w:color w:val="000000"/>
                <w:szCs w:val="20"/>
                <w:lang w:eastAsia="en-AU"/>
              </w:rPr>
              <w:t>Low</w:t>
            </w:r>
          </w:p>
        </w:tc>
        <w:tc>
          <w:tcPr>
            <w:tcW w:w="334" w:type="pct"/>
            <w:shd w:val="clear" w:color="auto" w:fill="auto"/>
            <w:noWrap/>
            <w:vAlign w:val="center"/>
            <w:hideMark/>
          </w:tcPr>
          <w:p w:rsidR="00E809F1" w:rsidRPr="00E23B8D" w:rsidRDefault="00E809F1" w:rsidP="00A5046E">
            <w:pPr>
              <w:spacing w:before="60" w:after="60" w:line="240" w:lineRule="exact"/>
              <w:jc w:val="center"/>
              <w:rPr>
                <w:rFonts w:cs="Arial"/>
                <w:color w:val="000000"/>
                <w:szCs w:val="20"/>
                <w:lang w:eastAsia="en-AU"/>
              </w:rPr>
            </w:pPr>
            <w:r w:rsidRPr="00E23B8D">
              <w:rPr>
                <w:rFonts w:cs="Arial"/>
                <w:color w:val="000000"/>
                <w:szCs w:val="20"/>
                <w:lang w:eastAsia="en-AU"/>
              </w:rPr>
              <w:t>4</w:t>
            </w:r>
          </w:p>
        </w:tc>
        <w:tc>
          <w:tcPr>
            <w:tcW w:w="329" w:type="pct"/>
            <w:shd w:val="clear" w:color="auto" w:fill="auto"/>
            <w:noWrap/>
            <w:vAlign w:val="center"/>
            <w:hideMark/>
          </w:tcPr>
          <w:p w:rsidR="00E809F1" w:rsidRPr="00E23B8D" w:rsidRDefault="00E809F1" w:rsidP="00A5046E">
            <w:pPr>
              <w:spacing w:before="60" w:after="60" w:line="240" w:lineRule="exact"/>
              <w:jc w:val="center"/>
              <w:rPr>
                <w:rFonts w:cs="Arial"/>
                <w:color w:val="000000"/>
                <w:szCs w:val="20"/>
                <w:lang w:eastAsia="en-AU"/>
              </w:rPr>
            </w:pPr>
            <w:r w:rsidRPr="00E23B8D">
              <w:rPr>
                <w:rFonts w:cs="Arial"/>
                <w:color w:val="000000"/>
                <w:szCs w:val="20"/>
                <w:lang w:eastAsia="en-AU"/>
              </w:rPr>
              <w:t>Low</w:t>
            </w:r>
          </w:p>
        </w:tc>
        <w:tc>
          <w:tcPr>
            <w:tcW w:w="333" w:type="pct"/>
            <w:shd w:val="clear" w:color="auto" w:fill="auto"/>
            <w:noWrap/>
            <w:vAlign w:val="center"/>
            <w:hideMark/>
          </w:tcPr>
          <w:p w:rsidR="00E809F1" w:rsidRPr="00E23B8D" w:rsidRDefault="00E809F1" w:rsidP="00E060B9">
            <w:pPr>
              <w:spacing w:before="60" w:after="60" w:line="240" w:lineRule="exact"/>
              <w:jc w:val="center"/>
              <w:rPr>
                <w:rFonts w:cs="Arial"/>
                <w:color w:val="000000"/>
                <w:szCs w:val="20"/>
                <w:lang w:eastAsia="en-AU"/>
              </w:rPr>
            </w:pPr>
            <w:r w:rsidRPr="00E23B8D">
              <w:rPr>
                <w:rFonts w:cs="Arial"/>
                <w:color w:val="000000"/>
                <w:szCs w:val="20"/>
                <w:lang w:eastAsia="en-AU"/>
              </w:rPr>
              <w:t>2</w:t>
            </w:r>
          </w:p>
        </w:tc>
        <w:tc>
          <w:tcPr>
            <w:tcW w:w="329" w:type="pct"/>
            <w:shd w:val="clear" w:color="auto" w:fill="auto"/>
            <w:noWrap/>
            <w:vAlign w:val="center"/>
            <w:hideMark/>
          </w:tcPr>
          <w:p w:rsidR="00E809F1" w:rsidRPr="00E23B8D" w:rsidRDefault="00E809F1" w:rsidP="009C1427">
            <w:pPr>
              <w:spacing w:before="60" w:after="60" w:line="240" w:lineRule="exact"/>
              <w:jc w:val="center"/>
              <w:rPr>
                <w:rFonts w:cs="Arial"/>
                <w:color w:val="000000"/>
                <w:szCs w:val="20"/>
                <w:lang w:eastAsia="en-AU"/>
              </w:rPr>
            </w:pPr>
          </w:p>
        </w:tc>
        <w:tc>
          <w:tcPr>
            <w:tcW w:w="332" w:type="pct"/>
            <w:shd w:val="clear" w:color="auto" w:fill="auto"/>
            <w:noWrap/>
            <w:vAlign w:val="center"/>
            <w:hideMark/>
          </w:tcPr>
          <w:p w:rsidR="00E809F1" w:rsidRPr="00E23B8D" w:rsidRDefault="00E809F1" w:rsidP="009C1427">
            <w:pPr>
              <w:spacing w:before="60" w:after="60" w:line="240" w:lineRule="exact"/>
              <w:jc w:val="center"/>
              <w:rPr>
                <w:rFonts w:cs="Arial"/>
                <w:color w:val="000000"/>
                <w:szCs w:val="20"/>
                <w:lang w:eastAsia="en-AU"/>
              </w:rPr>
            </w:pPr>
          </w:p>
        </w:tc>
      </w:tr>
      <w:tr w:rsidR="00E809F1" w:rsidRPr="00E23B8D" w:rsidTr="00E23B8D">
        <w:trPr>
          <w:trHeight w:val="600"/>
        </w:trPr>
        <w:tc>
          <w:tcPr>
            <w:tcW w:w="1061" w:type="pct"/>
            <w:shd w:val="clear" w:color="auto" w:fill="auto"/>
            <w:vAlign w:val="center"/>
            <w:hideMark/>
          </w:tcPr>
          <w:p w:rsidR="00E809F1" w:rsidRPr="00E23B8D" w:rsidRDefault="00E809F1" w:rsidP="00433ED5">
            <w:pPr>
              <w:spacing w:before="60" w:after="60" w:line="240" w:lineRule="exact"/>
              <w:jc w:val="left"/>
              <w:rPr>
                <w:rFonts w:cs="Arial"/>
                <w:color w:val="000000"/>
                <w:szCs w:val="20"/>
                <w:lang w:eastAsia="en-AU"/>
              </w:rPr>
            </w:pPr>
            <w:r w:rsidRPr="00E23B8D">
              <w:rPr>
                <w:rFonts w:cs="Arial"/>
                <w:color w:val="000000"/>
                <w:szCs w:val="20"/>
                <w:lang w:eastAsia="en-AU"/>
              </w:rPr>
              <w:t xml:space="preserve">Eastern sign-bearing froglet </w:t>
            </w:r>
            <w:r w:rsidRPr="00E23B8D">
              <w:rPr>
                <w:rFonts w:cs="Arial"/>
                <w:color w:val="000000"/>
                <w:szCs w:val="20"/>
                <w:lang w:eastAsia="en-AU"/>
              </w:rPr>
              <w:br/>
              <w:t>(</w:t>
            </w:r>
            <w:r w:rsidRPr="00E23B8D">
              <w:rPr>
                <w:rFonts w:cs="Arial"/>
                <w:i/>
                <w:iCs/>
                <w:color w:val="000000"/>
                <w:szCs w:val="20"/>
                <w:lang w:eastAsia="en-AU"/>
              </w:rPr>
              <w:t>Crinia parinsignifera)</w:t>
            </w:r>
          </w:p>
        </w:tc>
        <w:tc>
          <w:tcPr>
            <w:tcW w:w="295" w:type="pct"/>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Nil</w:t>
            </w:r>
          </w:p>
        </w:tc>
        <w:tc>
          <w:tcPr>
            <w:tcW w:w="334" w:type="pct"/>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1</w:t>
            </w:r>
          </w:p>
        </w:tc>
        <w:tc>
          <w:tcPr>
            <w:tcW w:w="329" w:type="pct"/>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p>
        </w:tc>
        <w:tc>
          <w:tcPr>
            <w:tcW w:w="333" w:type="pct"/>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p>
        </w:tc>
        <w:tc>
          <w:tcPr>
            <w:tcW w:w="329" w:type="pct"/>
            <w:shd w:val="clear" w:color="auto" w:fill="auto"/>
            <w:noWrap/>
            <w:vAlign w:val="center"/>
            <w:hideMark/>
          </w:tcPr>
          <w:p w:rsidR="00E809F1" w:rsidRPr="00E23B8D" w:rsidRDefault="00E809F1" w:rsidP="002159C6">
            <w:pPr>
              <w:spacing w:before="60" w:after="60" w:line="240" w:lineRule="exact"/>
              <w:jc w:val="center"/>
              <w:rPr>
                <w:rFonts w:cs="Arial"/>
                <w:color w:val="000000"/>
                <w:szCs w:val="20"/>
                <w:lang w:eastAsia="en-AU"/>
              </w:rPr>
            </w:pPr>
          </w:p>
        </w:tc>
        <w:tc>
          <w:tcPr>
            <w:tcW w:w="333" w:type="pct"/>
            <w:shd w:val="clear" w:color="auto" w:fill="auto"/>
            <w:noWrap/>
            <w:vAlign w:val="center"/>
            <w:hideMark/>
          </w:tcPr>
          <w:p w:rsidR="00E809F1" w:rsidRPr="00E23B8D" w:rsidRDefault="00E809F1" w:rsidP="002159C6">
            <w:pPr>
              <w:spacing w:before="60" w:after="60" w:line="240" w:lineRule="exact"/>
              <w:jc w:val="center"/>
              <w:rPr>
                <w:rFonts w:cs="Arial"/>
                <w:color w:val="000000"/>
                <w:szCs w:val="20"/>
                <w:lang w:eastAsia="en-AU"/>
              </w:rPr>
            </w:pPr>
          </w:p>
        </w:tc>
        <w:tc>
          <w:tcPr>
            <w:tcW w:w="329" w:type="pct"/>
            <w:shd w:val="clear" w:color="auto" w:fill="auto"/>
            <w:noWrap/>
            <w:vAlign w:val="center"/>
            <w:hideMark/>
          </w:tcPr>
          <w:p w:rsidR="00E809F1" w:rsidRPr="00E23B8D" w:rsidRDefault="00E809F1" w:rsidP="00704E86">
            <w:pPr>
              <w:spacing w:before="60" w:after="60" w:line="240" w:lineRule="exact"/>
              <w:jc w:val="center"/>
              <w:rPr>
                <w:rFonts w:cs="Arial"/>
                <w:color w:val="000000"/>
                <w:szCs w:val="20"/>
                <w:lang w:eastAsia="en-AU"/>
              </w:rPr>
            </w:pPr>
          </w:p>
        </w:tc>
        <w:tc>
          <w:tcPr>
            <w:tcW w:w="334" w:type="pct"/>
            <w:shd w:val="clear" w:color="auto" w:fill="auto"/>
            <w:noWrap/>
            <w:vAlign w:val="center"/>
            <w:hideMark/>
          </w:tcPr>
          <w:p w:rsidR="00E809F1" w:rsidRPr="00E23B8D" w:rsidRDefault="00E809F1" w:rsidP="00A5046E">
            <w:pPr>
              <w:spacing w:before="60" w:after="60" w:line="240" w:lineRule="exact"/>
              <w:jc w:val="center"/>
              <w:rPr>
                <w:rFonts w:cs="Arial"/>
                <w:color w:val="000000"/>
                <w:szCs w:val="20"/>
                <w:lang w:eastAsia="en-AU"/>
              </w:rPr>
            </w:pPr>
          </w:p>
        </w:tc>
        <w:tc>
          <w:tcPr>
            <w:tcW w:w="329" w:type="pct"/>
            <w:shd w:val="clear" w:color="auto" w:fill="auto"/>
            <w:noWrap/>
            <w:vAlign w:val="center"/>
            <w:hideMark/>
          </w:tcPr>
          <w:p w:rsidR="00E809F1" w:rsidRPr="00E23B8D" w:rsidRDefault="00E809F1" w:rsidP="00A5046E">
            <w:pPr>
              <w:spacing w:before="60" w:after="60" w:line="240" w:lineRule="exact"/>
              <w:jc w:val="center"/>
              <w:rPr>
                <w:rFonts w:cs="Arial"/>
                <w:color w:val="000000"/>
                <w:szCs w:val="20"/>
                <w:lang w:eastAsia="en-AU"/>
              </w:rPr>
            </w:pPr>
          </w:p>
        </w:tc>
        <w:tc>
          <w:tcPr>
            <w:tcW w:w="333" w:type="pct"/>
            <w:shd w:val="clear" w:color="auto" w:fill="auto"/>
            <w:noWrap/>
            <w:vAlign w:val="center"/>
            <w:hideMark/>
          </w:tcPr>
          <w:p w:rsidR="00E809F1" w:rsidRPr="00E23B8D" w:rsidRDefault="00E809F1" w:rsidP="00E060B9">
            <w:pPr>
              <w:spacing w:before="60" w:after="60" w:line="240" w:lineRule="exact"/>
              <w:jc w:val="center"/>
              <w:rPr>
                <w:rFonts w:cs="Arial"/>
                <w:color w:val="000000"/>
                <w:szCs w:val="20"/>
                <w:lang w:eastAsia="en-AU"/>
              </w:rPr>
            </w:pPr>
          </w:p>
        </w:tc>
        <w:tc>
          <w:tcPr>
            <w:tcW w:w="329" w:type="pct"/>
            <w:shd w:val="clear" w:color="auto" w:fill="auto"/>
            <w:noWrap/>
            <w:vAlign w:val="center"/>
            <w:hideMark/>
          </w:tcPr>
          <w:p w:rsidR="00E809F1" w:rsidRPr="00E23B8D" w:rsidRDefault="00E809F1" w:rsidP="009C1427">
            <w:pPr>
              <w:spacing w:before="60" w:after="60" w:line="240" w:lineRule="exact"/>
              <w:jc w:val="center"/>
              <w:rPr>
                <w:rFonts w:cs="Arial"/>
                <w:color w:val="000000"/>
                <w:szCs w:val="20"/>
                <w:lang w:eastAsia="en-AU"/>
              </w:rPr>
            </w:pPr>
          </w:p>
        </w:tc>
        <w:tc>
          <w:tcPr>
            <w:tcW w:w="332" w:type="pct"/>
            <w:shd w:val="clear" w:color="auto" w:fill="auto"/>
            <w:noWrap/>
            <w:vAlign w:val="center"/>
            <w:hideMark/>
          </w:tcPr>
          <w:p w:rsidR="00E809F1" w:rsidRPr="00E23B8D" w:rsidRDefault="00E809F1" w:rsidP="009C1427">
            <w:pPr>
              <w:spacing w:before="60" w:after="60" w:line="240" w:lineRule="exact"/>
              <w:jc w:val="center"/>
              <w:rPr>
                <w:rFonts w:cs="Arial"/>
                <w:color w:val="000000"/>
                <w:szCs w:val="20"/>
                <w:lang w:eastAsia="en-AU"/>
              </w:rPr>
            </w:pPr>
          </w:p>
        </w:tc>
      </w:tr>
      <w:tr w:rsidR="00E809F1" w:rsidRPr="00E23B8D" w:rsidTr="00E23B8D">
        <w:trPr>
          <w:trHeight w:val="300"/>
        </w:trPr>
        <w:tc>
          <w:tcPr>
            <w:tcW w:w="1061" w:type="pct"/>
            <w:shd w:val="clear" w:color="auto" w:fill="auto"/>
            <w:vAlign w:val="center"/>
            <w:hideMark/>
          </w:tcPr>
          <w:p w:rsidR="00E809F1" w:rsidRPr="00E23B8D" w:rsidRDefault="00E809F1" w:rsidP="00433ED5">
            <w:pPr>
              <w:spacing w:before="60" w:after="60" w:line="240" w:lineRule="exact"/>
              <w:jc w:val="right"/>
              <w:rPr>
                <w:rFonts w:cs="Arial"/>
                <w:color w:val="000000"/>
                <w:szCs w:val="20"/>
                <w:lang w:eastAsia="en-AU"/>
              </w:rPr>
            </w:pPr>
            <w:r w:rsidRPr="00E23B8D">
              <w:rPr>
                <w:rFonts w:cs="Arial"/>
                <w:color w:val="000000"/>
                <w:szCs w:val="20"/>
                <w:lang w:eastAsia="en-AU"/>
              </w:rPr>
              <w:t>Date</w:t>
            </w:r>
          </w:p>
        </w:tc>
        <w:tc>
          <w:tcPr>
            <w:tcW w:w="629" w:type="pct"/>
            <w:gridSpan w:val="2"/>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7/12/2015</w:t>
            </w:r>
          </w:p>
        </w:tc>
        <w:tc>
          <w:tcPr>
            <w:tcW w:w="662" w:type="pct"/>
            <w:gridSpan w:val="2"/>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10/02/2016</w:t>
            </w:r>
          </w:p>
        </w:tc>
        <w:tc>
          <w:tcPr>
            <w:tcW w:w="662" w:type="pct"/>
            <w:gridSpan w:val="2"/>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7/12/2015</w:t>
            </w:r>
          </w:p>
        </w:tc>
        <w:tc>
          <w:tcPr>
            <w:tcW w:w="663" w:type="pct"/>
            <w:gridSpan w:val="2"/>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10/02/2016</w:t>
            </w:r>
          </w:p>
        </w:tc>
        <w:tc>
          <w:tcPr>
            <w:tcW w:w="662" w:type="pct"/>
            <w:gridSpan w:val="2"/>
            <w:shd w:val="clear" w:color="auto" w:fill="auto"/>
            <w:noWrap/>
            <w:vAlign w:val="center"/>
            <w:hideMark/>
          </w:tcPr>
          <w:p w:rsidR="00E809F1" w:rsidRPr="00E23B8D" w:rsidRDefault="00E809F1" w:rsidP="002159C6">
            <w:pPr>
              <w:spacing w:before="60" w:after="60" w:line="240" w:lineRule="exact"/>
              <w:jc w:val="center"/>
              <w:rPr>
                <w:rFonts w:cs="Arial"/>
                <w:color w:val="000000"/>
                <w:szCs w:val="20"/>
                <w:lang w:eastAsia="en-AU"/>
              </w:rPr>
            </w:pPr>
            <w:r w:rsidRPr="00E23B8D">
              <w:rPr>
                <w:rFonts w:cs="Arial"/>
                <w:color w:val="000000"/>
                <w:szCs w:val="20"/>
                <w:lang w:eastAsia="en-AU"/>
              </w:rPr>
              <w:t>7/12/2015</w:t>
            </w:r>
          </w:p>
        </w:tc>
        <w:tc>
          <w:tcPr>
            <w:tcW w:w="661" w:type="pct"/>
            <w:gridSpan w:val="2"/>
            <w:shd w:val="clear" w:color="auto" w:fill="auto"/>
            <w:noWrap/>
            <w:vAlign w:val="center"/>
            <w:hideMark/>
          </w:tcPr>
          <w:p w:rsidR="00E809F1" w:rsidRPr="00E23B8D" w:rsidRDefault="00E809F1" w:rsidP="002159C6">
            <w:pPr>
              <w:spacing w:before="60" w:after="60" w:line="240" w:lineRule="exact"/>
              <w:jc w:val="center"/>
              <w:rPr>
                <w:rFonts w:cs="Arial"/>
                <w:color w:val="000000"/>
                <w:szCs w:val="20"/>
                <w:lang w:eastAsia="en-AU"/>
              </w:rPr>
            </w:pPr>
            <w:r w:rsidRPr="00E23B8D">
              <w:rPr>
                <w:rFonts w:cs="Arial"/>
                <w:color w:val="000000"/>
                <w:szCs w:val="20"/>
                <w:lang w:eastAsia="en-AU"/>
              </w:rPr>
              <w:t>10/02/2016</w:t>
            </w:r>
          </w:p>
        </w:tc>
      </w:tr>
      <w:tr w:rsidR="00E809F1" w:rsidRPr="00E23B8D" w:rsidTr="00E23B8D">
        <w:trPr>
          <w:trHeight w:val="300"/>
        </w:trPr>
        <w:tc>
          <w:tcPr>
            <w:tcW w:w="1061" w:type="pct"/>
            <w:shd w:val="clear" w:color="auto" w:fill="auto"/>
            <w:vAlign w:val="center"/>
            <w:hideMark/>
          </w:tcPr>
          <w:p w:rsidR="00E809F1" w:rsidRPr="00E23B8D" w:rsidRDefault="00A52CAF" w:rsidP="00A52CAF">
            <w:pPr>
              <w:spacing w:before="60" w:after="60" w:line="240" w:lineRule="exact"/>
              <w:jc w:val="right"/>
              <w:rPr>
                <w:rFonts w:cs="Arial"/>
                <w:color w:val="000000"/>
                <w:szCs w:val="20"/>
                <w:lang w:eastAsia="en-AU"/>
              </w:rPr>
            </w:pPr>
            <w:r w:rsidRPr="00E23B8D">
              <w:rPr>
                <w:rFonts w:cs="Arial"/>
                <w:color w:val="000000"/>
                <w:szCs w:val="20"/>
                <w:lang w:eastAsia="en-AU"/>
              </w:rPr>
              <w:t>Air t</w:t>
            </w:r>
            <w:r w:rsidR="00E809F1" w:rsidRPr="00E23B8D">
              <w:rPr>
                <w:rFonts w:cs="Arial"/>
                <w:color w:val="000000"/>
                <w:szCs w:val="20"/>
                <w:lang w:eastAsia="en-AU"/>
              </w:rPr>
              <w:t>emperature (°C)</w:t>
            </w:r>
          </w:p>
        </w:tc>
        <w:tc>
          <w:tcPr>
            <w:tcW w:w="629" w:type="pct"/>
            <w:gridSpan w:val="2"/>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19</w:t>
            </w:r>
          </w:p>
        </w:tc>
        <w:tc>
          <w:tcPr>
            <w:tcW w:w="662" w:type="pct"/>
            <w:gridSpan w:val="2"/>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24</w:t>
            </w:r>
          </w:p>
        </w:tc>
        <w:tc>
          <w:tcPr>
            <w:tcW w:w="662" w:type="pct"/>
            <w:gridSpan w:val="2"/>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22</w:t>
            </w:r>
          </w:p>
        </w:tc>
        <w:tc>
          <w:tcPr>
            <w:tcW w:w="663" w:type="pct"/>
            <w:gridSpan w:val="2"/>
            <w:shd w:val="clear" w:color="auto" w:fill="auto"/>
            <w:noWrap/>
            <w:vAlign w:val="center"/>
            <w:hideMark/>
          </w:tcPr>
          <w:p w:rsidR="00E809F1" w:rsidRPr="00E23B8D" w:rsidRDefault="00E809F1" w:rsidP="00433ED5">
            <w:pPr>
              <w:spacing w:before="60" w:after="60" w:line="240" w:lineRule="exact"/>
              <w:jc w:val="center"/>
              <w:rPr>
                <w:rFonts w:cs="Arial"/>
                <w:color w:val="000000"/>
                <w:szCs w:val="20"/>
                <w:lang w:eastAsia="en-AU"/>
              </w:rPr>
            </w:pPr>
            <w:r w:rsidRPr="00E23B8D">
              <w:rPr>
                <w:rFonts w:cs="Arial"/>
                <w:color w:val="000000"/>
                <w:szCs w:val="20"/>
                <w:lang w:eastAsia="en-AU"/>
              </w:rPr>
              <w:t>27</w:t>
            </w:r>
          </w:p>
        </w:tc>
        <w:tc>
          <w:tcPr>
            <w:tcW w:w="662" w:type="pct"/>
            <w:gridSpan w:val="2"/>
            <w:shd w:val="clear" w:color="auto" w:fill="auto"/>
            <w:noWrap/>
            <w:vAlign w:val="center"/>
            <w:hideMark/>
          </w:tcPr>
          <w:p w:rsidR="00E809F1" w:rsidRPr="00E23B8D" w:rsidRDefault="00E809F1" w:rsidP="002159C6">
            <w:pPr>
              <w:spacing w:before="60" w:after="60" w:line="240" w:lineRule="exact"/>
              <w:jc w:val="center"/>
              <w:rPr>
                <w:rFonts w:cs="Arial"/>
                <w:color w:val="000000"/>
                <w:szCs w:val="20"/>
                <w:lang w:eastAsia="en-AU"/>
              </w:rPr>
            </w:pPr>
            <w:r w:rsidRPr="00E23B8D">
              <w:rPr>
                <w:rFonts w:cs="Arial"/>
                <w:color w:val="000000"/>
                <w:szCs w:val="20"/>
                <w:lang w:eastAsia="en-AU"/>
              </w:rPr>
              <w:t>20</w:t>
            </w:r>
          </w:p>
        </w:tc>
        <w:tc>
          <w:tcPr>
            <w:tcW w:w="661" w:type="pct"/>
            <w:gridSpan w:val="2"/>
            <w:shd w:val="clear" w:color="auto" w:fill="auto"/>
            <w:noWrap/>
            <w:vAlign w:val="center"/>
            <w:hideMark/>
          </w:tcPr>
          <w:p w:rsidR="00E809F1" w:rsidRPr="00E23B8D" w:rsidRDefault="00E809F1" w:rsidP="002159C6">
            <w:pPr>
              <w:spacing w:before="60" w:after="60" w:line="240" w:lineRule="exact"/>
              <w:jc w:val="center"/>
              <w:rPr>
                <w:rFonts w:cs="Arial"/>
                <w:color w:val="000000"/>
                <w:szCs w:val="20"/>
                <w:lang w:eastAsia="en-AU"/>
              </w:rPr>
            </w:pPr>
            <w:r w:rsidRPr="00E23B8D">
              <w:rPr>
                <w:rFonts w:cs="Arial"/>
                <w:color w:val="000000"/>
                <w:szCs w:val="20"/>
                <w:lang w:eastAsia="en-AU"/>
              </w:rPr>
              <w:t>26</w:t>
            </w:r>
          </w:p>
        </w:tc>
      </w:tr>
    </w:tbl>
    <w:p w:rsidR="00E809F1" w:rsidRDefault="00E809F1" w:rsidP="00E809F1">
      <w:pPr>
        <w:tabs>
          <w:tab w:val="left" w:pos="4220"/>
        </w:tabs>
      </w:pPr>
    </w:p>
    <w:p w:rsidR="00E809F1" w:rsidRDefault="00E809F1" w:rsidP="00E809F1"/>
    <w:p w:rsidR="00E809F1" w:rsidRDefault="00E809F1" w:rsidP="00E809F1"/>
    <w:p w:rsidR="00E809F1" w:rsidRDefault="00E809F1" w:rsidP="00E809F1"/>
    <w:p w:rsidR="00E809F1" w:rsidRDefault="00E809F1" w:rsidP="00E809F1">
      <w:pPr>
        <w:sectPr w:rsidR="00E809F1" w:rsidSect="009524AD">
          <w:headerReference w:type="default" r:id="rId161"/>
          <w:footerReference w:type="default" r:id="rId162"/>
          <w:type w:val="nextColumn"/>
          <w:pgSz w:w="16838" w:h="11899" w:orient="landscape" w:code="9"/>
          <w:pgMar w:top="1418" w:right="1219" w:bottom="1457" w:left="1480" w:header="811" w:footer="306" w:gutter="0"/>
          <w:pgNumType w:chapStyle="6"/>
          <w:cols w:space="708"/>
          <w:docGrid w:linePitch="272"/>
        </w:sectPr>
      </w:pPr>
    </w:p>
    <w:p w:rsidR="00E809F1" w:rsidRPr="008103ED" w:rsidRDefault="00E809F1" w:rsidP="006E559A">
      <w:pPr>
        <w:pStyle w:val="Heading7"/>
      </w:pPr>
      <w:r>
        <w:t>Discussion</w:t>
      </w:r>
    </w:p>
    <w:p w:rsidR="00E809F1" w:rsidRDefault="00E809F1" w:rsidP="006E559A">
      <w:pPr>
        <w:pStyle w:val="Heading8"/>
      </w:pPr>
      <w:r>
        <w:t>Environmental water</w:t>
      </w:r>
    </w:p>
    <w:p w:rsidR="00E809F1" w:rsidRDefault="00E809F1" w:rsidP="00E809F1">
      <w:r>
        <w:t>Environmental water that was released between December 2015 and February 2016 resulted in consistent patterns in physico-chemistry at the wetland sites, regardless of whether they were connected to the Gwydir River</w:t>
      </w:r>
      <w:r w:rsidR="00A52CAF">
        <w:t xml:space="preserve"> or Gingham Watercourse</w:t>
      </w:r>
      <w:r>
        <w:t>.</w:t>
      </w:r>
      <w:r w:rsidR="00A97349">
        <w:t xml:space="preserve"> </w:t>
      </w:r>
      <w:r>
        <w:t xml:space="preserve"> The </w:t>
      </w:r>
      <w:r w:rsidR="00570A27">
        <w:t>delivery</w:t>
      </w:r>
      <w:r>
        <w:t xml:space="preserve"> of environmental water lowered alkalinity, EC and DO concentration at all wetland sites. </w:t>
      </w:r>
      <w:r w:rsidR="00A97349">
        <w:t xml:space="preserve"> </w:t>
      </w:r>
      <w:r>
        <w:t xml:space="preserve">Changes to alkalinity and EC are likely to have been the result of dilution from inflowing water, while the fall in DO concentration may have been due to the combined effects of multiple factors. </w:t>
      </w:r>
      <w:r w:rsidR="00A97349">
        <w:t xml:space="preserve"> </w:t>
      </w:r>
      <w:r>
        <w:t xml:space="preserve">These include the displacement of static water, highly oxygenated by algae and macrophyte photosynthesis; and the bacterial consumption of dissolved oxygen during the processing of dissolved organic matter </w:t>
      </w:r>
      <w:r w:rsidR="00A52CAF">
        <w:t xml:space="preserve">being </w:t>
      </w:r>
      <w:r>
        <w:t xml:space="preserve">absorbed into the water as it flowed over newly inundated land. </w:t>
      </w:r>
    </w:p>
    <w:p w:rsidR="00E809F1" w:rsidRDefault="00E809F1" w:rsidP="006E559A">
      <w:pPr>
        <w:pStyle w:val="Heading8"/>
      </w:pPr>
      <w:r>
        <w:t>Small bodied fish communities</w:t>
      </w:r>
    </w:p>
    <w:p w:rsidR="00E809F1" w:rsidRDefault="00E809F1" w:rsidP="00E809F1">
      <w:r>
        <w:t>Two fish species that are listed as Endangered Populations under the Fisheries Management Act (1994) occurred at our sites, both in February.</w:t>
      </w:r>
      <w:r w:rsidR="00A97349">
        <w:t xml:space="preserve"> </w:t>
      </w:r>
      <w:r>
        <w:t xml:space="preserve"> These were the olive perchlet</w:t>
      </w:r>
      <w:r w:rsidR="00A52CAF">
        <w:t xml:space="preserve"> (</w:t>
      </w:r>
      <w:r w:rsidR="00A52CAF">
        <w:fldChar w:fldCharType="begin"/>
      </w:r>
      <w:r w:rsidR="00A52CAF">
        <w:instrText xml:space="preserve"> REF _Ref459290493 \h </w:instrText>
      </w:r>
      <w:r w:rsidR="00A52CAF">
        <w:fldChar w:fldCharType="separate"/>
      </w:r>
      <w:r w:rsidR="005D5925">
        <w:t xml:space="preserve">Figure </w:t>
      </w:r>
      <w:r w:rsidR="005D5925">
        <w:rPr>
          <w:noProof/>
        </w:rPr>
        <w:t>H</w:t>
      </w:r>
      <w:r w:rsidR="005D5925">
        <w:noBreakHyphen/>
      </w:r>
      <w:r w:rsidR="005D5925">
        <w:rPr>
          <w:noProof/>
        </w:rPr>
        <w:t>7</w:t>
      </w:r>
      <w:r w:rsidR="00A52CAF">
        <w:fldChar w:fldCharType="end"/>
      </w:r>
      <w:r w:rsidR="00A52CAF">
        <w:t>)</w:t>
      </w:r>
      <w:r>
        <w:t xml:space="preserve">, collected from Gingham Waterhole, and the eel-tailed catfish, seen in Middle Dam. </w:t>
      </w:r>
      <w:r w:rsidR="00A97349">
        <w:t xml:space="preserve"> </w:t>
      </w:r>
      <w:r>
        <w:t>The population of these species are listed as endangered in the Murray-Darling Basin.</w:t>
      </w:r>
    </w:p>
    <w:p w:rsidR="00A52CAF" w:rsidRDefault="004176FF" w:rsidP="00A52CAF">
      <w:pPr>
        <w:keepNext/>
        <w:spacing w:line="240" w:lineRule="auto"/>
        <w:jc w:val="center"/>
      </w:pPr>
      <w:r w:rsidRPr="008F5E11">
        <w:rPr>
          <w:noProof/>
          <w:lang w:eastAsia="en-AU"/>
        </w:rPr>
        <w:drawing>
          <wp:inline distT="0" distB="0" distL="0" distR="0">
            <wp:extent cx="4953000" cy="3714750"/>
            <wp:effectExtent l="19050" t="19050" r="19050" b="19050"/>
            <wp:docPr id="94" name="Picture 293" descr="N:\Projects\15ARM\2427 Gwydir LTIM Stage 2 - Year 2\Media Engagement\Newsletter\May Newsletter\Olive perch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N:\Projects\15ARM\2427 Gwydir LTIM Stage 2 - Year 2\Media Engagement\Newsletter\May Newsletter\Olive perchlet.jpg"/>
                    <pic:cNvPicPr>
                      <a:picLocks noChangeAspect="1" noChangeArrowheads="1"/>
                    </pic:cNvPicPr>
                  </pic:nvPicPr>
                  <pic:blipFill>
                    <a:blip r:embed="rId163">
                      <a:extLst>
                        <a:ext uri="{28A0092B-C50C-407E-A947-70E740481C1C}">
                          <a14:useLocalDpi xmlns:a14="http://schemas.microsoft.com/office/drawing/2010/main"/>
                        </a:ext>
                      </a:extLst>
                    </a:blip>
                    <a:srcRect/>
                    <a:stretch>
                      <a:fillRect/>
                    </a:stretch>
                  </pic:blipFill>
                  <pic:spPr bwMode="auto">
                    <a:xfrm>
                      <a:off x="0" y="0"/>
                      <a:ext cx="4953000" cy="3714750"/>
                    </a:xfrm>
                    <a:prstGeom prst="rect">
                      <a:avLst/>
                    </a:prstGeom>
                    <a:noFill/>
                    <a:ln w="9525" cmpd="sng">
                      <a:solidFill>
                        <a:srgbClr val="7F7F7F"/>
                      </a:solidFill>
                      <a:miter lim="800000"/>
                      <a:headEnd/>
                      <a:tailEnd/>
                    </a:ln>
                    <a:effectLst/>
                  </pic:spPr>
                </pic:pic>
              </a:graphicData>
            </a:graphic>
          </wp:inline>
        </w:drawing>
      </w:r>
    </w:p>
    <w:p w:rsidR="00A52CAF" w:rsidRDefault="00A52CAF" w:rsidP="00A52CAF">
      <w:pPr>
        <w:pStyle w:val="Caption"/>
      </w:pPr>
      <w:bookmarkStart w:id="136" w:name="_Ref459290493"/>
      <w:r>
        <w:t xml:space="preserve">Figure </w:t>
      </w:r>
      <w:fldSimple w:instr=" STYLEREF 6 \s ">
        <w:r w:rsidR="00673DAF">
          <w:rPr>
            <w:noProof/>
          </w:rPr>
          <w:t>H</w:t>
        </w:r>
      </w:fldSimple>
      <w:r w:rsidR="00673DAF">
        <w:noBreakHyphen/>
      </w:r>
      <w:fldSimple w:instr=" SEQ Figure \* ARABIC \s 6 ">
        <w:r w:rsidR="00673DAF">
          <w:rPr>
            <w:noProof/>
          </w:rPr>
          <w:t>8</w:t>
        </w:r>
      </w:fldSimple>
      <w:bookmarkEnd w:id="136"/>
      <w:r>
        <w:t xml:space="preserve"> </w:t>
      </w:r>
      <w:proofErr w:type="gramStart"/>
      <w:r>
        <w:t>Several</w:t>
      </w:r>
      <w:proofErr w:type="gramEnd"/>
      <w:r>
        <w:t xml:space="preserve"> olive perchlet individuals caught from Gingham Waterhole in April 2016.</w:t>
      </w:r>
    </w:p>
    <w:p w:rsidR="00A52CAF" w:rsidRPr="00A52CAF" w:rsidRDefault="00A52CAF" w:rsidP="00A52CAF"/>
    <w:p w:rsidR="00E809F1" w:rsidRDefault="00E809F1" w:rsidP="00E809F1">
      <w:r>
        <w:t xml:space="preserve">The two olive perchlet collected in February and 46 collected in April, indicate that Gingham Waterhole contains a healthy population of this species. </w:t>
      </w:r>
      <w:r w:rsidR="00A97349">
        <w:t xml:space="preserve"> </w:t>
      </w:r>
      <w:r>
        <w:t xml:space="preserve">Olive perchlet were once widespread throughout the Murray-Darling system but is now only restricted to a few sites in the upper Darling Basin </w:t>
      </w:r>
      <w:r w:rsidRPr="007B7E17">
        <w:t xml:space="preserve">(Fisheries Scientific Committee 2009). </w:t>
      </w:r>
      <w:r w:rsidR="00A97349">
        <w:t xml:space="preserve"> </w:t>
      </w:r>
      <w:r>
        <w:t xml:space="preserve">Olive perchlet were collected from Gingham Waterhole in 2013, and also further downstream </w:t>
      </w:r>
      <w:r w:rsidRPr="0095124A">
        <w:t xml:space="preserve">in </w:t>
      </w:r>
      <w:r>
        <w:t>Boyanga Waterhole (Southwell et al</w:t>
      </w:r>
      <w:r w:rsidR="00A52CAF">
        <w:t>.</w:t>
      </w:r>
      <w:r>
        <w:t xml:space="preserve"> 2015). </w:t>
      </w:r>
      <w:r w:rsidR="00A97349">
        <w:t xml:space="preserve"> </w:t>
      </w:r>
      <w:r>
        <w:t xml:space="preserve">Although they were not detected in the previous three years (Wilson et al 2009), these earlier records indicate that Gingham Waterhole, at least, may have had a self-sustaining population at least since the 2010 flood event. </w:t>
      </w:r>
      <w:r w:rsidR="00A97349">
        <w:t xml:space="preserve"> </w:t>
      </w:r>
      <w:r>
        <w:t>Southwell et al (2015) suggest that the olive perchlet at Gingham Waterhole may have populated the area during the 2010 floods, and have persisted in suitable sections of the wetlands.</w:t>
      </w:r>
    </w:p>
    <w:p w:rsidR="00E809F1" w:rsidRDefault="00E809F1" w:rsidP="00E809F1">
      <w:r>
        <w:t>Boyanga Waterhole dried up soon after samples were collected in 2013, but water persisted in Gingham Waterhole. Habitat degradation and rapid fluctuations in water level are two main threats to olive perchlets (</w:t>
      </w:r>
      <w:r w:rsidRPr="007B7E17">
        <w:t>Fisheries Scientific Committee 2009</w:t>
      </w:r>
      <w:r>
        <w:t xml:space="preserve">). </w:t>
      </w:r>
      <w:r w:rsidR="00A97349">
        <w:t xml:space="preserve"> </w:t>
      </w:r>
      <w:r>
        <w:t>This makes wetlands such as Gingham Waterhole, where water level rises steadily during flooding, an important habitat for olive perchlet, and an important receptor of environmental water.</w:t>
      </w:r>
      <w:r w:rsidR="00A97349">
        <w:t xml:space="preserve"> </w:t>
      </w:r>
      <w:r>
        <w:t xml:space="preserve"> It is likely that the delivery of water to Gingham Waterhole will be to be critical in maintaining a self-sustaining population of olive perchlet </w:t>
      </w:r>
      <w:r w:rsidR="00FC31CF">
        <w:t xml:space="preserve">in the </w:t>
      </w:r>
      <w:r>
        <w:t xml:space="preserve">Gwydir River catchment. </w:t>
      </w:r>
      <w:r w:rsidR="00A97349">
        <w:t xml:space="preserve"> </w:t>
      </w:r>
      <w:r>
        <w:t>The species is not known outside of Gingham Waterhole, so if this dries up the olive perchlet may be lost from the catchment.</w:t>
      </w:r>
    </w:p>
    <w:p w:rsidR="00E809F1" w:rsidRDefault="00E809F1" w:rsidP="00E809F1">
      <w:r>
        <w:t xml:space="preserve">Eel-tailed catfish were originally distributed widely throughout </w:t>
      </w:r>
      <w:r w:rsidR="00570A27">
        <w:t>the Murray-Darling Basin but have</w:t>
      </w:r>
      <w:r>
        <w:t xml:space="preserve"> undergone a significant reduction in numbers since the early to mid-1900’s (Fisheries Scientific Committee 2008).</w:t>
      </w:r>
      <w:r w:rsidR="00A97349">
        <w:t xml:space="preserve">  </w:t>
      </w:r>
      <w:r>
        <w:t xml:space="preserve">Much of this decline was due to commercial harvesting but the catfish population also suffered as a result of habitat loss, river regulation, </w:t>
      </w:r>
      <w:proofErr w:type="gramStart"/>
      <w:r>
        <w:t>loss</w:t>
      </w:r>
      <w:proofErr w:type="gramEnd"/>
      <w:r>
        <w:t xml:space="preserve"> of spawning habitat through siltation, </w:t>
      </w:r>
      <w:r w:rsidR="00561C43">
        <w:t xml:space="preserve">and </w:t>
      </w:r>
      <w:r>
        <w:t>altered flow and flooding patterns (Fisheries Scientific Committee 2008).</w:t>
      </w:r>
      <w:r w:rsidR="00A97349">
        <w:t xml:space="preserve"> </w:t>
      </w:r>
      <w:r>
        <w:t xml:space="preserve"> </w:t>
      </w:r>
      <w:r w:rsidR="006C6C53">
        <w:t>A</w:t>
      </w:r>
      <w:r>
        <w:t xml:space="preserve"> single small catfish was observed during this survey, in M</w:t>
      </w:r>
      <w:r w:rsidRPr="008103ED">
        <w:t>iddle</w:t>
      </w:r>
      <w:r>
        <w:t xml:space="preserve"> Dam in February. </w:t>
      </w:r>
      <w:r w:rsidR="00A97349">
        <w:t xml:space="preserve"> </w:t>
      </w:r>
      <w:r>
        <w:t>The catfish was a juvenile approximately 10 cm long.</w:t>
      </w:r>
      <w:r w:rsidR="00A97349">
        <w:t xml:space="preserve"> </w:t>
      </w:r>
      <w:r>
        <w:t xml:space="preserve"> Catfish are generally a sedentary species, so it is possible that the individual seen in February was spawned in Middle Dam or in one of the dams nearby. </w:t>
      </w:r>
      <w:r w:rsidR="00A97349">
        <w:t xml:space="preserve"> </w:t>
      </w:r>
      <w:r>
        <w:t>In December, Middle Dam was much shallowe</w:t>
      </w:r>
      <w:r w:rsidR="006C6C53">
        <w:t>r</w:t>
      </w:r>
      <w:r>
        <w:t xml:space="preserve"> than it was in February, with an average depth of approximately 40 cm. </w:t>
      </w:r>
      <w:r w:rsidR="00A97349">
        <w:t xml:space="preserve"> </w:t>
      </w:r>
      <w:r>
        <w:t xml:space="preserve">At this time, the dam appeared to be drying. However, environmental </w:t>
      </w:r>
      <w:r w:rsidR="006C6C53">
        <w:t>water</w:t>
      </w:r>
      <w:r>
        <w:t xml:space="preserve"> over subsequent months increased water level by almost 1</w:t>
      </w:r>
      <w:r w:rsidR="00570A27">
        <w:t> </w:t>
      </w:r>
      <w:r>
        <w:t xml:space="preserve">m, and created a link to surrounding water bodies.  </w:t>
      </w:r>
    </w:p>
    <w:p w:rsidR="00E809F1" w:rsidRDefault="00E809F1" w:rsidP="00E809F1">
      <w:r>
        <w:t xml:space="preserve">The fish community of Western Dam was dominated by large populations of mosquitofish and carp gudgeon during December. </w:t>
      </w:r>
      <w:r w:rsidR="00A97349">
        <w:t xml:space="preserve"> </w:t>
      </w:r>
      <w:r>
        <w:t xml:space="preserve">However, the community had changed substantially when sampled in February, with a large population of spangled perch and few of the smaller species captured. </w:t>
      </w:r>
      <w:r w:rsidR="00A97349">
        <w:t xml:space="preserve"> </w:t>
      </w:r>
      <w:r>
        <w:t xml:space="preserve">Spangled perch were not collected in December, so appear to have moved in along the drainage channel that links the dam to upstream waterholes and the </w:t>
      </w:r>
      <w:r w:rsidR="001C3C04">
        <w:t>lower</w:t>
      </w:r>
      <w:r>
        <w:t xml:space="preserve"> Gwydir River. </w:t>
      </w:r>
      <w:r w:rsidR="00A97349">
        <w:t xml:space="preserve"> </w:t>
      </w:r>
      <w:r>
        <w:t xml:space="preserve">Spangled perch are a highly dispersive species and often move rapidly along shallow channels, and even wheel ruts, following rainfall (Merrick 1996). </w:t>
      </w:r>
      <w:r w:rsidR="00A97349">
        <w:t xml:space="preserve"> </w:t>
      </w:r>
      <w:r>
        <w:t xml:space="preserve">The arrival of the perch coincided with a decline in the populations of mosquitofish and carp gudgeon. </w:t>
      </w:r>
      <w:r w:rsidR="00A97349">
        <w:t xml:space="preserve"> </w:t>
      </w:r>
      <w:r>
        <w:t>While spangled perch do eat fish, invertebrates form the main part of their diet until they are large enough to consume fish (Merrick 1996).</w:t>
      </w:r>
      <w:r w:rsidR="00A97349">
        <w:t xml:space="preserve"> </w:t>
      </w:r>
      <w:r>
        <w:t xml:space="preserve"> The spangled perch in Western Dam were between 50 and 110 mm long, so at the larger end of this range, </w:t>
      </w:r>
      <w:r w:rsidR="006C6C53">
        <w:t>may</w:t>
      </w:r>
      <w:r>
        <w:t xml:space="preserve"> have preyed on mosquitofish and gudgeon. </w:t>
      </w:r>
      <w:r w:rsidR="00A97349">
        <w:t xml:space="preserve"> </w:t>
      </w:r>
      <w:r>
        <w:t>Spangled perch are also extremely aggressive towards other species, so an alternative scenario is that they drove the smaller species to shelter around the fringes of the dam and into the irrigation channel.</w:t>
      </w:r>
    </w:p>
    <w:p w:rsidR="00E809F1" w:rsidRDefault="00E809F1" w:rsidP="00E809F1">
      <w:r>
        <w:t xml:space="preserve">The decline in mosquitofish populations not only occurred at Western Dam, but was a consistent pattern at all of the wetland sites. </w:t>
      </w:r>
      <w:r w:rsidR="00A97349">
        <w:t xml:space="preserve"> </w:t>
      </w:r>
      <w:r>
        <w:t xml:space="preserve">Mosquitofish appeared to be absent from some sites during February, and reduced by 70-98% at other sites. </w:t>
      </w:r>
      <w:r w:rsidR="00A97349">
        <w:t xml:space="preserve"> </w:t>
      </w:r>
      <w:r>
        <w:t>With an increase in water level, mosquitofish move out from the main water body onto recently inundated areas (Pyke 2008), providing relief for native species that stay in the main channel.</w:t>
      </w:r>
    </w:p>
    <w:p w:rsidR="00E809F1" w:rsidRDefault="00E809F1" w:rsidP="00E809F1">
      <w:r>
        <w:t>Mosquito</w:t>
      </w:r>
      <w:r w:rsidRPr="005A6152">
        <w:t>fish have the potential to impact frog breeding success, especially if waterholes contract during key breeding periods</w:t>
      </w:r>
      <w:r>
        <w:t>, t</w:t>
      </w:r>
      <w:r w:rsidRPr="005A6152">
        <w:t>hrough predation, harassment, over-crowding, and chemical suppression (Pyke 2008).</w:t>
      </w:r>
      <w:r>
        <w:t xml:space="preserve"> </w:t>
      </w:r>
      <w:r w:rsidR="00A97349">
        <w:t xml:space="preserve"> </w:t>
      </w:r>
      <w:r>
        <w:t xml:space="preserve">Properly timed environmental flows can dilute concentrations of mosquitofish and reduce their impacts to frogs and tadpoles.   </w:t>
      </w:r>
    </w:p>
    <w:p w:rsidR="00E809F1" w:rsidRDefault="00E809F1" w:rsidP="006E559A">
      <w:pPr>
        <w:pStyle w:val="Heading8"/>
      </w:pPr>
      <w:r>
        <w:t>Frog communities</w:t>
      </w:r>
    </w:p>
    <w:p w:rsidR="00E809F1" w:rsidRDefault="00E809F1" w:rsidP="00E809F1">
      <w:r>
        <w:t xml:space="preserve">Frog abundance fell between survey periods for all sites except Eastern Dam. Heavy rainfall in late January created a landscape </w:t>
      </w:r>
      <w:r w:rsidR="006C6C53">
        <w:t xml:space="preserve">mosaic </w:t>
      </w:r>
      <w:r>
        <w:t xml:space="preserve">of shallow, vegetation-laden </w:t>
      </w:r>
      <w:r w:rsidR="006C6C53">
        <w:t>temporary</w:t>
      </w:r>
      <w:r>
        <w:t xml:space="preserve"> pools and puddles. </w:t>
      </w:r>
      <w:r w:rsidR="00A97349">
        <w:t xml:space="preserve"> </w:t>
      </w:r>
      <w:r>
        <w:t>During February, few frogs were seen or heard at the survey sites, but there were many calling from the puddles that had formed nearby.  Frog communities in February appear to have respond</w:t>
      </w:r>
      <w:r w:rsidR="00570A27">
        <w:t>ed</w:t>
      </w:r>
      <w:r>
        <w:t xml:space="preserve"> to rainfall events and moved into puddles surrounding the permanent</w:t>
      </w:r>
      <w:r w:rsidR="006C6C53">
        <w:t>ly wet</w:t>
      </w:r>
      <w:r>
        <w:t xml:space="preserve"> sites. </w:t>
      </w:r>
      <w:r w:rsidR="00A97349">
        <w:t xml:space="preserve"> </w:t>
      </w:r>
      <w:r>
        <w:t xml:space="preserve">Temporary, isolated wetlands can be important habitat and breeding areas for frogs, as they are often devoid of predatory fish (Zedler 2003). </w:t>
      </w:r>
      <w:r w:rsidR="00A97349">
        <w:t xml:space="preserve"> </w:t>
      </w:r>
      <w:r>
        <w:t xml:space="preserve">However, while rainfall-generated puddles may draw frogs to them in the hope of fish-free breeding habitat, they often do not persist long enough for tadpoles to become frogs.  </w:t>
      </w:r>
    </w:p>
    <w:p w:rsidR="00E809F1" w:rsidRDefault="00E809F1" w:rsidP="00E809F1">
      <w:r>
        <w:t xml:space="preserve">Environmental </w:t>
      </w:r>
      <w:r w:rsidR="006C6C53">
        <w:t>water is</w:t>
      </w:r>
      <w:r>
        <w:t xml:space="preserve"> also important for frog communities, inundating the fringing vegetation surrounding waterholes, and saturating previously dry channels (Ocock 2013). </w:t>
      </w:r>
      <w:r w:rsidR="00A97349">
        <w:t xml:space="preserve"> </w:t>
      </w:r>
      <w:r>
        <w:t xml:space="preserve">Of the species observed in the Gwydir Wetlands, four are known to have a breeding response to environmental water releases. </w:t>
      </w:r>
      <w:r w:rsidR="00A97349">
        <w:t xml:space="preserve"> </w:t>
      </w:r>
      <w:r>
        <w:t xml:space="preserve">These are broad-palmed rocket frog, spotted marsh frog, barking marsh frog, and eastern sign-bearing froglet, which bred following a release to the Macquarie Marshes (Joanne Ocock 2014, pers comm, cited in </w:t>
      </w:r>
      <w:r w:rsidR="006C6C53">
        <w:t>Southwell 2015) and the Gwydir w</w:t>
      </w:r>
      <w:r>
        <w:t>etlands (Southwell et al</w:t>
      </w:r>
      <w:r w:rsidR="006C6C53">
        <w:t>.</w:t>
      </w:r>
      <w:r>
        <w:t xml:space="preserve"> 2015).</w:t>
      </w:r>
      <w:r w:rsidR="00A97349">
        <w:t xml:space="preserve"> </w:t>
      </w:r>
      <w:r>
        <w:t xml:space="preserve"> These species need the vegetated areas inundated by environmental </w:t>
      </w:r>
      <w:r w:rsidR="006C6C53">
        <w:t>water</w:t>
      </w:r>
      <w:r>
        <w:t xml:space="preserve">, rather than those inundated by rainfall events because they require at least three months </w:t>
      </w:r>
      <w:r w:rsidR="006C6C53">
        <w:t xml:space="preserve">for </w:t>
      </w:r>
      <w:r>
        <w:t>frogs to develop (Southwell et al</w:t>
      </w:r>
      <w:r w:rsidR="006C6C53">
        <w:t>.</w:t>
      </w:r>
      <w:r>
        <w:t xml:space="preserve"> 2015). </w:t>
      </w:r>
    </w:p>
    <w:p w:rsidR="00E809F1" w:rsidRDefault="00E809F1" w:rsidP="00E809F1">
      <w:r>
        <w:t>Water level</w:t>
      </w:r>
      <w:r w:rsidR="006C6C53">
        <w:t>s</w:t>
      </w:r>
      <w:r>
        <w:t xml:space="preserve"> at Gingham Waterhole </w:t>
      </w:r>
      <w:r w:rsidR="006C6C53">
        <w:t>were</w:t>
      </w:r>
      <w:r>
        <w:t xml:space="preserve"> declining in the lead up to the December 2015 survey, but increased again for the February 2016 survey following rainfall and the environmental releases. </w:t>
      </w:r>
      <w:r w:rsidR="00A97349">
        <w:t xml:space="preserve"> </w:t>
      </w:r>
      <w:r>
        <w:t xml:space="preserve">This rise in water level </w:t>
      </w:r>
      <w:r w:rsidR="006C6C53">
        <w:t>resulted in</w:t>
      </w:r>
      <w:r>
        <w:t xml:space="preserve"> a long, shallow depression extending approximately 50 m from the northern shore of the waterhole, to become saturated. Grass and sedges, along with fallen sticks and debris, created complex habitat features for frogs.</w:t>
      </w:r>
      <w:r w:rsidR="00A97349">
        <w:t xml:space="preserve"> </w:t>
      </w:r>
      <w:r>
        <w:t xml:space="preserve"> Aquatic vegetation and structural complexity are drivers for frog habitat occupancy patterns and recruitment success, providing shelter for adult frogs, and an important food source for tadpoles by acting as a substrate for biofilm growth (Anstis 2002).  Suitable aquatic vegetation cover was present at all sites, except Allambie Bridge on the main channel of the Gwydir River.</w:t>
      </w:r>
    </w:p>
    <w:p w:rsidR="00E809F1" w:rsidRDefault="00E809F1" w:rsidP="00E809F1">
      <w:r>
        <w:t xml:space="preserve">The only species that was not detected during the December 2015 survey was the striped burrowing frog. </w:t>
      </w:r>
      <w:r w:rsidR="00A97349">
        <w:t xml:space="preserve"> </w:t>
      </w:r>
      <w:r>
        <w:t>During dry periods, this species aestivates in underground clay chambers for an average of 9 months (but up to several years), until water becomes abundant enough for emergence (Kayes 2009). This species was seen at Bunnor Bird Hide, Gingham Waterhole, and Western Dam, and heard at Eastern Dam</w:t>
      </w:r>
      <w:r w:rsidR="006C6C53">
        <w:t xml:space="preserve"> in February 2016</w:t>
      </w:r>
      <w:r>
        <w:t>.</w:t>
      </w:r>
      <w:r w:rsidR="00A97349">
        <w:t xml:space="preserve"> </w:t>
      </w:r>
      <w:r>
        <w:t xml:space="preserve"> The rainfall event in January may have stimulated emergence from parts of the floodplain. </w:t>
      </w:r>
    </w:p>
    <w:p w:rsidR="00E809F1" w:rsidRDefault="00E809F1" w:rsidP="006E559A">
      <w:pPr>
        <w:pStyle w:val="Heading7"/>
      </w:pPr>
      <w:r>
        <w:t>Conclusion</w:t>
      </w:r>
    </w:p>
    <w:p w:rsidR="00E809F1" w:rsidRDefault="00E809F1" w:rsidP="00E809F1">
      <w:r>
        <w:t xml:space="preserve">Gingham Waterhole is the only known site in the Gwydir River catchment to contain a significant population of olive perchlet, which is a threated species in the Murray-Darling Basin. </w:t>
      </w:r>
      <w:r w:rsidR="00A97349">
        <w:t xml:space="preserve"> </w:t>
      </w:r>
      <w:r>
        <w:t>The delivery of environmental water to Gingham Waterhole, and the maintenance of habitat features such as fringing vegetation and snags, is likely to be critical for the survival of this species</w:t>
      </w:r>
      <w:r w:rsidRPr="00F868C3">
        <w:t xml:space="preserve"> </w:t>
      </w:r>
      <w:r>
        <w:t xml:space="preserve">in the </w:t>
      </w:r>
      <w:r w:rsidR="001C3C04">
        <w:t>lower</w:t>
      </w:r>
      <w:r>
        <w:t xml:space="preserve"> Gwydir system. </w:t>
      </w:r>
    </w:p>
    <w:p w:rsidR="00E809F1" w:rsidRDefault="00E809F1" w:rsidP="00E809F1">
      <w:r>
        <w:t xml:space="preserve">Environmental </w:t>
      </w:r>
      <w:r w:rsidR="006C6C53">
        <w:t>water</w:t>
      </w:r>
      <w:r>
        <w:t xml:space="preserve"> help</w:t>
      </w:r>
      <w:r w:rsidR="00561C43">
        <w:t>e</w:t>
      </w:r>
      <w:r w:rsidR="006C6C53">
        <w:t>d</w:t>
      </w:r>
      <w:r>
        <w:t xml:space="preserve"> connect isolated pools, facilitat</w:t>
      </w:r>
      <w:r w:rsidR="00617870">
        <w:t>ing</w:t>
      </w:r>
      <w:r>
        <w:t xml:space="preserve"> dispersal of fish between previously isolated populations. </w:t>
      </w:r>
      <w:r w:rsidR="00A97349">
        <w:t xml:space="preserve"> </w:t>
      </w:r>
      <w:r>
        <w:t xml:space="preserve">Environmental </w:t>
      </w:r>
      <w:r w:rsidR="006C6C53">
        <w:t>water also</w:t>
      </w:r>
      <w:r>
        <w:t xml:space="preserve"> increased connectivity between the dam sites, which were potentially exploited by spangled perch to move through the system. </w:t>
      </w:r>
      <w:r w:rsidR="00A97349">
        <w:t xml:space="preserve"> </w:t>
      </w:r>
      <w:r>
        <w:t>These flows also contributed to the persistence of key sites that contain populations or individuals of endangered small</w:t>
      </w:r>
      <w:r w:rsidR="00B53BDE">
        <w:t>-</w:t>
      </w:r>
      <w:r>
        <w:t>bodied fish species such as eel-tailed catfish and olive perchlet. Maintenance of these habitats is needed for the ongoing survival of these species.</w:t>
      </w:r>
    </w:p>
    <w:p w:rsidR="00842358" w:rsidRDefault="00E809F1" w:rsidP="00E809F1">
      <w:r>
        <w:t xml:space="preserve">Sampling over the 2015-16 period suggests that a reasonably diverse frog community exists in the wetlands in the </w:t>
      </w:r>
      <w:r w:rsidR="001C3C04">
        <w:t>lower</w:t>
      </w:r>
      <w:r>
        <w:t xml:space="preserve"> Gwydir system.</w:t>
      </w:r>
      <w:r w:rsidR="00A97349">
        <w:t xml:space="preserve"> </w:t>
      </w:r>
      <w:r>
        <w:t xml:space="preserve"> Four of the species observed are known to have positive breeding responses to environmental water. Small but important pulses of environmental water during 2015-16, r</w:t>
      </w:r>
      <w:r w:rsidR="00B53BDE">
        <w:t>efreshed the potentially longer-</w:t>
      </w:r>
      <w:r>
        <w:t>term habitat sites sampled.</w:t>
      </w:r>
      <w:r w:rsidR="00A97349">
        <w:t xml:space="preserve"> </w:t>
      </w:r>
      <w:r>
        <w:t xml:space="preserve"> Local rainfall events also appeared to provide conditions suitable for frog feeding and breeding in shallow well vegetated floodplain depressions. However, these temporary isolated wetlands are unlikely to persist long enough for frog development. </w:t>
      </w:r>
    </w:p>
    <w:p w:rsidR="00E809F1" w:rsidRDefault="00E809F1" w:rsidP="006E559A">
      <w:pPr>
        <w:pStyle w:val="Heading7"/>
      </w:pPr>
      <w:r>
        <w:t>References</w:t>
      </w:r>
    </w:p>
    <w:p w:rsidR="00E809F1" w:rsidRDefault="00E809F1" w:rsidP="00E809F1">
      <w:r>
        <w:t xml:space="preserve">Anstis, M. 2002. </w:t>
      </w:r>
      <w:r w:rsidRPr="004F68E6">
        <w:rPr>
          <w:i/>
        </w:rPr>
        <w:t>Tadpoles of South-eastern Australia</w:t>
      </w:r>
      <w:r>
        <w:t xml:space="preserve">: A guide with keys. Reed New Holland, Chatswood. </w:t>
      </w:r>
    </w:p>
    <w:p w:rsidR="00E809F1" w:rsidRDefault="00E809F1" w:rsidP="00E809F1">
      <w:pPr>
        <w:rPr>
          <w:rStyle w:val="Hyperlink"/>
        </w:rPr>
      </w:pPr>
      <w:r>
        <w:t xml:space="preserve">Fisheries Scientific Committee. 2009. </w:t>
      </w:r>
      <w:r w:rsidRPr="004F68E6">
        <w:rPr>
          <w:i/>
        </w:rPr>
        <w:t xml:space="preserve">Recommendation </w:t>
      </w:r>
      <w:r w:rsidRPr="004F68E6">
        <w:t>Ambassis agassizii</w:t>
      </w:r>
      <w:r w:rsidRPr="004F68E6">
        <w:rPr>
          <w:i/>
        </w:rPr>
        <w:t xml:space="preserve"> (Olive Perchlet)</w:t>
      </w:r>
      <w:r>
        <w:t xml:space="preserve">, </w:t>
      </w:r>
      <w:r w:rsidR="004F68E6">
        <w:t xml:space="preserve">Available at: </w:t>
      </w:r>
      <w:hyperlink r:id="rId164" w:history="1">
        <w:r w:rsidRPr="00A24272">
          <w:rPr>
            <w:rStyle w:val="Hyperlink"/>
          </w:rPr>
          <w:t>http://www.dpi.nsw.gov.au/__data/assets/pdf_file/0005/636530/FR17-olive-perchlet.pdf</w:t>
        </w:r>
      </w:hyperlink>
    </w:p>
    <w:p w:rsidR="00E809F1" w:rsidRPr="006B4609" w:rsidRDefault="00E809F1" w:rsidP="00E809F1">
      <w:r>
        <w:t xml:space="preserve">Kayes, S. 2009. </w:t>
      </w:r>
      <w:r w:rsidRPr="00A1716A">
        <w:rPr>
          <w:i/>
        </w:rPr>
        <w:t>Metabolic depression in Cyclorana alboguttata and the potential role of the endogenous opioid system and thyroid axis as regulators of aestivation</w:t>
      </w:r>
      <w:r>
        <w:t>. PhD Thesis. University of Queensland, Australia.</w:t>
      </w:r>
    </w:p>
    <w:p w:rsidR="00E809F1" w:rsidRDefault="00E809F1" w:rsidP="00E809F1">
      <w:r>
        <w:t>Merrick, J.R. 1996. Freshwater grunters or perches. In R.M McDowall (</w:t>
      </w:r>
      <w:proofErr w:type="gramStart"/>
      <w:r>
        <w:t>ed</w:t>
      </w:r>
      <w:proofErr w:type="gramEnd"/>
      <w:r>
        <w:t xml:space="preserve">) </w:t>
      </w:r>
      <w:r>
        <w:rPr>
          <w:i/>
        </w:rPr>
        <w:t>Freshwater Fishes of South-e</w:t>
      </w:r>
      <w:r w:rsidRPr="00F43CF1">
        <w:rPr>
          <w:i/>
        </w:rPr>
        <w:t>astern Australia</w:t>
      </w:r>
      <w:r>
        <w:t>. Reed Books Australia, Chatswood.</w:t>
      </w:r>
    </w:p>
    <w:p w:rsidR="00E809F1" w:rsidRPr="00C61377" w:rsidRDefault="00E809F1" w:rsidP="00E809F1">
      <w:pPr>
        <w:rPr>
          <w:szCs w:val="20"/>
        </w:rPr>
      </w:pPr>
      <w:r w:rsidRPr="00C61377">
        <w:rPr>
          <w:szCs w:val="20"/>
        </w:rPr>
        <w:t xml:space="preserve">Ocock, J.F. 2013. </w:t>
      </w:r>
      <w:r w:rsidRPr="00C61377">
        <w:rPr>
          <w:i/>
          <w:iCs/>
          <w:szCs w:val="20"/>
        </w:rPr>
        <w:t>Linking frogs with flow: Amphibian community response to flow and rainfall on a dry floodplain wetland</w:t>
      </w:r>
      <w:r>
        <w:rPr>
          <w:i/>
          <w:iCs/>
          <w:szCs w:val="20"/>
        </w:rPr>
        <w:t>.</w:t>
      </w:r>
      <w:r w:rsidRPr="00C61377">
        <w:rPr>
          <w:i/>
          <w:iCs/>
          <w:szCs w:val="20"/>
        </w:rPr>
        <w:t xml:space="preserve"> </w:t>
      </w:r>
      <w:r w:rsidRPr="00C61377">
        <w:rPr>
          <w:szCs w:val="20"/>
        </w:rPr>
        <w:t xml:space="preserve">PhD Thesis. University of New South Wales, Australia. </w:t>
      </w:r>
    </w:p>
    <w:p w:rsidR="00E809F1" w:rsidRDefault="00E809F1" w:rsidP="00E809F1">
      <w:r>
        <w:t>Pyke, G.H., 2008.</w:t>
      </w:r>
      <w:r w:rsidRPr="00BA2CBB">
        <w:t xml:space="preserve"> </w:t>
      </w:r>
      <w:r>
        <w:t xml:space="preserve">Plague minnow or mosquito fish? A review of the biology and impacts of introduced </w:t>
      </w:r>
      <w:r w:rsidRPr="00BA2CBB">
        <w:rPr>
          <w:i/>
        </w:rPr>
        <w:t>Gambusia</w:t>
      </w:r>
      <w:r>
        <w:t xml:space="preserve"> species. </w:t>
      </w:r>
      <w:r w:rsidRPr="00BA2CBB">
        <w:rPr>
          <w:i/>
        </w:rPr>
        <w:t>Annual Review of Ecology, Evolution and Systematics</w:t>
      </w:r>
      <w:r w:rsidR="004F68E6">
        <w:t xml:space="preserve">, </w:t>
      </w:r>
      <w:r w:rsidRPr="004F68E6">
        <w:rPr>
          <w:i/>
        </w:rPr>
        <w:t>39</w:t>
      </w:r>
      <w:r>
        <w:t>:171-191.</w:t>
      </w:r>
    </w:p>
    <w:p w:rsidR="00E809F1" w:rsidRDefault="00E809F1" w:rsidP="00E809F1">
      <w:r>
        <w:t xml:space="preserve">Southwell, M, Wilson, G., Ryder, D., Sparks, P. </w:t>
      </w:r>
      <w:r w:rsidR="009F0217">
        <w:t>&amp;</w:t>
      </w:r>
      <w:r>
        <w:t xml:space="preserve"> Thoms, M. 2015. </w:t>
      </w:r>
      <w:r w:rsidRPr="00C61377">
        <w:rPr>
          <w:i/>
        </w:rPr>
        <w:t>Monitoring the ecological response of Commonwealth environmental water delivered in 2013-14 in the Gwydir River system</w:t>
      </w:r>
      <w:r>
        <w:t>. Commonwealth of Australia</w:t>
      </w:r>
    </w:p>
    <w:p w:rsidR="00F8016A" w:rsidRDefault="00E809F1" w:rsidP="00E809F1">
      <w:pPr>
        <w:sectPr w:rsidR="00F8016A" w:rsidSect="004F411E">
          <w:headerReference w:type="default" r:id="rId165"/>
          <w:footerReference w:type="default" r:id="rId166"/>
          <w:type w:val="nextColumn"/>
          <w:pgSz w:w="11899" w:h="16838"/>
          <w:pgMar w:top="1508" w:right="1219" w:bottom="1457" w:left="1480" w:header="811" w:footer="305" w:gutter="0"/>
          <w:pgNumType w:chapStyle="6"/>
          <w:cols w:space="708"/>
          <w:docGrid w:linePitch="360"/>
        </w:sectPr>
      </w:pPr>
      <w:r>
        <w:t xml:space="preserve">Zedler, P.H. 2003. Vernal pools and the concept of “isolated wetlands”. </w:t>
      </w:r>
      <w:r>
        <w:rPr>
          <w:i/>
        </w:rPr>
        <w:t>WETLANDS</w:t>
      </w:r>
      <w:r>
        <w:t xml:space="preserve">, </w:t>
      </w:r>
      <w:r w:rsidRPr="004F68E6">
        <w:rPr>
          <w:i/>
        </w:rPr>
        <w:t>23</w:t>
      </w:r>
      <w:r>
        <w:t>, 597-607.</w:t>
      </w:r>
    </w:p>
    <w:p w:rsidR="0056539E" w:rsidRDefault="00F8016A" w:rsidP="00F8016A">
      <w:pPr>
        <w:pStyle w:val="Heading6"/>
      </w:pPr>
      <w:r>
        <w:t>Fish</w:t>
      </w:r>
      <w:r w:rsidR="00617870">
        <w:t xml:space="preserve"> River</w:t>
      </w:r>
    </w:p>
    <w:p w:rsidR="00765D9C" w:rsidRDefault="00765D9C" w:rsidP="00765D9C">
      <w:pPr>
        <w:pStyle w:val="Heading7"/>
      </w:pPr>
      <w:r>
        <w:t>Introduction</w:t>
      </w:r>
    </w:p>
    <w:p w:rsidR="00433ED5" w:rsidRDefault="00433ED5" w:rsidP="00433ED5">
      <w:r>
        <w:t>The fish assemblages of the Gwydir Valley are generally considered to be in a severely degraded state (Murray-Darling Basin Authority 2012).</w:t>
      </w:r>
      <w:r w:rsidR="00A97349">
        <w:t xml:space="preserve"> </w:t>
      </w:r>
      <w:r>
        <w:t xml:space="preserve"> Invasion by exotic species such as common carp (</w:t>
      </w:r>
      <w:r>
        <w:rPr>
          <w:i/>
        </w:rPr>
        <w:t>Cyprinus carpio</w:t>
      </w:r>
      <w:r>
        <w:t>), eastern mosquitofish (</w:t>
      </w:r>
      <w:r>
        <w:rPr>
          <w:i/>
        </w:rPr>
        <w:t>Gambusia holbrooki</w:t>
      </w:r>
      <w:r>
        <w:t>), goldfish (</w:t>
      </w:r>
      <w:r>
        <w:rPr>
          <w:i/>
        </w:rPr>
        <w:t>Carassius auratus</w:t>
      </w:r>
      <w:r>
        <w:t>) and redfin perch (</w:t>
      </w:r>
      <w:r>
        <w:rPr>
          <w:i/>
        </w:rPr>
        <w:t>Perca fluviatilis</w:t>
      </w:r>
      <w:r>
        <w:t>) and the decline of iconic species such as the Murray cod (</w:t>
      </w:r>
      <w:r w:rsidRPr="00AB1C31">
        <w:rPr>
          <w:i/>
        </w:rPr>
        <w:t>Ma</w:t>
      </w:r>
      <w:r>
        <w:rPr>
          <w:i/>
        </w:rPr>
        <w:t>c</w:t>
      </w:r>
      <w:r w:rsidRPr="00AB1C31">
        <w:rPr>
          <w:i/>
        </w:rPr>
        <w:t>cullochella peellii</w:t>
      </w:r>
      <w:r>
        <w:t>) and eel-tailed catfish (</w:t>
      </w:r>
      <w:r w:rsidRPr="00AB1C31">
        <w:rPr>
          <w:i/>
        </w:rPr>
        <w:t>Tandanus tandanus</w:t>
      </w:r>
      <w:r>
        <w:t>) have left the fish communities of the Gwydir river system Selected Area in poor condition.</w:t>
      </w:r>
    </w:p>
    <w:p w:rsidR="00433ED5" w:rsidRDefault="00433ED5" w:rsidP="00433ED5">
      <w:r>
        <w:t xml:space="preserve">The Fish (River) indicator aims to benchmark and describe the fish community in abundance, biomass and community health across four hydrological zones in the lower Gwydir Basin in relation environmental water releases. </w:t>
      </w:r>
      <w:r w:rsidR="00A97349">
        <w:t xml:space="preserve"> </w:t>
      </w:r>
      <w:r>
        <w:t>Several specific questions were posed in relation to this indicator:</w:t>
      </w:r>
    </w:p>
    <w:p w:rsidR="00433ED5" w:rsidRPr="00433ED5" w:rsidRDefault="00433ED5" w:rsidP="005E1E2E">
      <w:pPr>
        <w:pStyle w:val="Bullets1"/>
        <w:numPr>
          <w:ilvl w:val="0"/>
          <w:numId w:val="10"/>
        </w:numPr>
        <w:ind w:left="1134" w:hanging="567"/>
      </w:pPr>
      <w:r w:rsidRPr="00433ED5">
        <w:t xml:space="preserve">What did Commonwealth environmental water contribute to native fish community resilience? </w:t>
      </w:r>
    </w:p>
    <w:p w:rsidR="00433ED5" w:rsidRPr="00433ED5" w:rsidRDefault="00433ED5" w:rsidP="005E1E2E">
      <w:pPr>
        <w:pStyle w:val="Bullets1"/>
        <w:numPr>
          <w:ilvl w:val="0"/>
          <w:numId w:val="10"/>
        </w:numPr>
        <w:ind w:left="1134" w:hanging="567"/>
      </w:pPr>
      <w:r w:rsidRPr="00433ED5">
        <w:t xml:space="preserve">What did Commonwealth environmental water contribute to native fish survival? </w:t>
      </w:r>
    </w:p>
    <w:p w:rsidR="00433ED5" w:rsidRPr="00433ED5" w:rsidRDefault="00433ED5" w:rsidP="005E1E2E">
      <w:pPr>
        <w:pStyle w:val="Bullets1"/>
        <w:numPr>
          <w:ilvl w:val="0"/>
          <w:numId w:val="10"/>
        </w:numPr>
        <w:ind w:left="1134" w:hanging="567"/>
      </w:pPr>
      <w:r w:rsidRPr="00433ED5">
        <w:t xml:space="preserve">What did Commonwealth environmental water contribute to native fish populations? </w:t>
      </w:r>
    </w:p>
    <w:p w:rsidR="00433ED5" w:rsidRPr="00433ED5" w:rsidRDefault="00433ED5" w:rsidP="005E1E2E">
      <w:pPr>
        <w:pStyle w:val="Bullets1"/>
        <w:numPr>
          <w:ilvl w:val="0"/>
          <w:numId w:val="10"/>
        </w:numPr>
        <w:spacing w:after="240"/>
        <w:ind w:left="1134" w:hanging="567"/>
      </w:pPr>
      <w:r w:rsidRPr="00433ED5">
        <w:t xml:space="preserve">What did Commonwealth environmental water contribute to native fish diversity? </w:t>
      </w:r>
    </w:p>
    <w:p w:rsidR="00765D9C" w:rsidRDefault="00765D9C" w:rsidP="00765D9C">
      <w:pPr>
        <w:pStyle w:val="Heading8"/>
      </w:pPr>
      <w:r w:rsidRPr="000C03DE">
        <w:t>Environmental watering</w:t>
      </w:r>
      <w:r>
        <w:t xml:space="preserve"> in 2015-16</w:t>
      </w:r>
    </w:p>
    <w:p w:rsidR="00433ED5" w:rsidRDefault="00433ED5" w:rsidP="00433ED5">
      <w:r>
        <w:t>Available Commonwealth environmental water holdings totalled 39,450 ML in the 2015-16 water year.  This was complemented by water entitlements held by NSW OEH in the Environmental Contingency Allowance (ECA) of 58,370 ML.  Of this, a total of 8,400 ML of Commonwealth water and 4,850 ML of ECA water were delivered in the 2015-16 water year via several events across several channels (</w:t>
      </w:r>
      <w:r w:rsidR="00916C5E">
        <w:fldChar w:fldCharType="begin"/>
      </w:r>
      <w:r w:rsidR="00916C5E">
        <w:instrText xml:space="preserve"> REF _Ref457987841 \r \h </w:instrText>
      </w:r>
      <w:r w:rsidR="00916C5E">
        <w:fldChar w:fldCharType="separate"/>
      </w:r>
      <w:r w:rsidR="005D5925">
        <w:t>Appendix A</w:t>
      </w:r>
      <w:r w:rsidR="00916C5E">
        <w:fldChar w:fldCharType="end"/>
      </w:r>
      <w:r>
        <w:t>)</w:t>
      </w:r>
    </w:p>
    <w:p w:rsidR="00433ED5" w:rsidRDefault="00433ED5" w:rsidP="00433ED5">
      <w:r>
        <w:t xml:space="preserve">During 2015-16 environmental water was delivered to a number of assets within the Gwydir river system Selected Area. </w:t>
      </w:r>
      <w:r w:rsidR="00A97349">
        <w:t xml:space="preserve"> </w:t>
      </w:r>
      <w:r>
        <w:t>In November 2015, a flow event occurred down the Mehi River and supplementary water licences owned by the CEWO were triggered.</w:t>
      </w:r>
      <w:r w:rsidR="00A97349">
        <w:t xml:space="preserve"> </w:t>
      </w:r>
      <w:r>
        <w:t xml:space="preserve"> A total of 1300 ML were accounted for with 964 ML of this water flowing down the Mehi River, and 336 ML directed down Mallowa Creek.  </w:t>
      </w:r>
    </w:p>
    <w:p w:rsidR="00433ED5" w:rsidRDefault="00433ED5" w:rsidP="00433ED5">
      <w:r>
        <w:t xml:space="preserve">Through January 2016, flows were delivered into the Mallowa Creek system to inundate fringing wetlands in association with State water bulk water deliveries. </w:t>
      </w:r>
      <w:r w:rsidR="00A97349">
        <w:t xml:space="preserve"> </w:t>
      </w:r>
      <w:r>
        <w:t xml:space="preserve">Flows were also delivered into the </w:t>
      </w:r>
      <w:r w:rsidR="001C3C04">
        <w:t>lower</w:t>
      </w:r>
      <w:r>
        <w:t xml:space="preserve"> Gwydir River and Gingham watercourse in February 2016, to replace flows that were abstracted in a supplementary flow event. </w:t>
      </w:r>
      <w:r w:rsidR="00A97349">
        <w:t xml:space="preserve"> </w:t>
      </w:r>
      <w:r>
        <w:t xml:space="preserve">Due to critically low flows experienced in the lower Gwydir system in March and April 2016, water was delivered down the lower Gwydir, Gingham, Mehi and Carole channels as part of a dry river flow action in early April. </w:t>
      </w:r>
      <w:r w:rsidR="00A97349">
        <w:t xml:space="preserve"> </w:t>
      </w:r>
      <w:r>
        <w:t>This followed a period of 30-40 days of nil flows conditions across the catchment.</w:t>
      </w:r>
    </w:p>
    <w:p w:rsidR="00765D9C" w:rsidRPr="00C21FFC" w:rsidRDefault="00765D9C" w:rsidP="00765D9C">
      <w:pPr>
        <w:pStyle w:val="Heading8"/>
      </w:pPr>
      <w:r>
        <w:rPr>
          <w:rFonts w:eastAsia="Calibri" w:cs="Arial"/>
          <w:lang w:val="en-US"/>
        </w:rPr>
        <w:t xml:space="preserve"> </w:t>
      </w:r>
      <w:r w:rsidRPr="00C21FFC">
        <w:t>Previous monitoring</w:t>
      </w:r>
    </w:p>
    <w:p w:rsidR="00433ED5" w:rsidRDefault="00433ED5" w:rsidP="00433ED5">
      <w:r>
        <w:t>The Sustainable River</w:t>
      </w:r>
      <w:r w:rsidR="003B1F77">
        <w:t>s</w:t>
      </w:r>
      <w:r>
        <w:t xml:space="preserve"> Audit </w:t>
      </w:r>
      <w:r w:rsidR="00B53BDE">
        <w:t xml:space="preserve">(SRA), </w:t>
      </w:r>
      <w:r>
        <w:t>conducted at the end of the millennium drought (2008-2010)</w:t>
      </w:r>
      <w:r w:rsidR="00B53BDE">
        <w:t>,</w:t>
      </w:r>
      <w:r>
        <w:t xml:space="preserve"> </w:t>
      </w:r>
      <w:r w:rsidR="00B53BDE">
        <w:t xml:space="preserve">found that </w:t>
      </w:r>
      <w:r>
        <w:t xml:space="preserve">fish in the upper sections (above 400 mASL) of the </w:t>
      </w:r>
      <w:r w:rsidR="00B53BDE">
        <w:t>Gwydir v</w:t>
      </w:r>
      <w:r>
        <w:t>alley were in “Very Poor” condition, the Slopes (201-400 mASL) were in “Moderate” condition, whilst in the Lowland (31-200 mASL) they were classified as “Poor” (Murray-Darling Basin Authority 2012). Overall</w:t>
      </w:r>
      <w:r w:rsidR="00B53BDE">
        <w:t>,</w:t>
      </w:r>
      <w:r>
        <w:t xml:space="preserve"> the fish community across the </w:t>
      </w:r>
      <w:r w:rsidR="00B53BDE">
        <w:t xml:space="preserve">Gwydir </w:t>
      </w:r>
      <w:r>
        <w:t xml:space="preserve">valley as a whole was classified as “Poor”. </w:t>
      </w:r>
      <w:r w:rsidR="00A97349">
        <w:t xml:space="preserve"> </w:t>
      </w:r>
      <w:r>
        <w:t xml:space="preserve">The SRA reported that the Gwydir had reduced numbers of species and abundance </w:t>
      </w:r>
      <w:r w:rsidR="00B53BDE">
        <w:t>of</w:t>
      </w:r>
      <w:r>
        <w:t xml:space="preserve"> native fish, recruitment was variable and generally low, and that there were exotic species at most sites including high abundances of common carp, eastern mosquitofish, </w:t>
      </w:r>
      <w:proofErr w:type="gramStart"/>
      <w:r>
        <w:t>goldfish</w:t>
      </w:r>
      <w:proofErr w:type="gramEnd"/>
      <w:r>
        <w:t xml:space="preserve"> and redfin perch. </w:t>
      </w:r>
    </w:p>
    <w:p w:rsidR="00765D9C" w:rsidRDefault="00433ED5" w:rsidP="00433ED5">
      <w:r w:rsidRPr="006A56FD">
        <w:t xml:space="preserve">Recent sampling of the lower Gwydir fish community was undertaken as part of the Commonwealth Environmental Water Office (CEWO) Short Term (STIM; 2013-14) and Long Term Intervention Monitoring (LTIM; 2015) Programs (Southwell </w:t>
      </w:r>
      <w:r w:rsidRPr="006A56FD">
        <w:rPr>
          <w:i/>
        </w:rPr>
        <w:t xml:space="preserve">et al. </w:t>
      </w:r>
      <w:r w:rsidRPr="006A56FD">
        <w:t>201</w:t>
      </w:r>
      <w:r w:rsidR="00B53BDE">
        <w:t>5</w:t>
      </w:r>
      <w:r w:rsidRPr="006A56FD">
        <w:t xml:space="preserve">; </w:t>
      </w:r>
      <w:r w:rsidR="00B53BDE">
        <w:t>Commonwealth of Australia</w:t>
      </w:r>
      <w:r w:rsidRPr="006A56FD">
        <w:rPr>
          <w:i/>
        </w:rPr>
        <w:t xml:space="preserve"> </w:t>
      </w:r>
      <w:r w:rsidRPr="006A56FD">
        <w:t>2015).</w:t>
      </w:r>
      <w:r w:rsidR="00A97349">
        <w:t xml:space="preserve"> </w:t>
      </w:r>
      <w:r w:rsidRPr="006A56FD">
        <w:t xml:space="preserve"> </w:t>
      </w:r>
      <w:r>
        <w:t>Ten</w:t>
      </w:r>
      <w:r w:rsidRPr="006A56FD">
        <w:t xml:space="preserve"> native species and three exotic species </w:t>
      </w:r>
      <w:r>
        <w:t>were captured in both programs</w:t>
      </w:r>
      <w:r w:rsidRPr="006A56FD">
        <w:t>. Ove</w:t>
      </w:r>
      <w:r w:rsidR="00B53BDE">
        <w:t xml:space="preserve">rall, the most abundant species </w:t>
      </w:r>
      <w:r w:rsidRPr="006A56FD">
        <w:t>was bony herring (</w:t>
      </w:r>
      <w:r w:rsidRPr="006A56FD">
        <w:rPr>
          <w:i/>
        </w:rPr>
        <w:t>Nematolosa erebi</w:t>
      </w:r>
      <w:r w:rsidRPr="006A56FD">
        <w:t>) which made up 41.6% of the total catch</w:t>
      </w:r>
      <w:r>
        <w:t xml:space="preserve"> in 2013-14 and 31% in 2014-15.</w:t>
      </w:r>
      <w:r w:rsidRPr="006A56FD">
        <w:t xml:space="preserve"> </w:t>
      </w:r>
      <w:r w:rsidR="00A97349">
        <w:t xml:space="preserve"> </w:t>
      </w:r>
      <w:r w:rsidRPr="006A56FD">
        <w:t>Other large-bo</w:t>
      </w:r>
      <w:r w:rsidR="00B53BDE">
        <w:t>died species such as Murray cod</w:t>
      </w:r>
      <w:r w:rsidRPr="006A56FD">
        <w:t>, golden perch (</w:t>
      </w:r>
      <w:r w:rsidRPr="006A56FD">
        <w:rPr>
          <w:i/>
        </w:rPr>
        <w:t>Macquaria ambigua</w:t>
      </w:r>
      <w:r w:rsidR="00B53BDE">
        <w:t>) and freshwater catfish</w:t>
      </w:r>
      <w:r w:rsidRPr="006A56FD">
        <w:t xml:space="preserve"> were only caught in relatively low numbers</w:t>
      </w:r>
      <w:r>
        <w:t xml:space="preserve"> in both studies</w:t>
      </w:r>
      <w:r w:rsidRPr="006A56FD">
        <w:t xml:space="preserve">. </w:t>
      </w:r>
      <w:r w:rsidR="00A97349">
        <w:t xml:space="preserve"> </w:t>
      </w:r>
      <w:r w:rsidRPr="006A56FD">
        <w:t>Australian smelt (</w:t>
      </w:r>
      <w:r w:rsidRPr="006A56FD">
        <w:rPr>
          <w:i/>
          <w:color w:val="000000"/>
        </w:rPr>
        <w:t>Retropinna semoni</w:t>
      </w:r>
      <w:r w:rsidRPr="006A56FD">
        <w:rPr>
          <w:color w:val="000000"/>
        </w:rPr>
        <w:t>) and carp gudgeon (</w:t>
      </w:r>
      <w:r w:rsidRPr="006A56FD">
        <w:rPr>
          <w:i/>
          <w:color w:val="000000"/>
        </w:rPr>
        <w:t xml:space="preserve">Hypseleotris </w:t>
      </w:r>
      <w:r w:rsidRPr="006A56FD">
        <w:rPr>
          <w:color w:val="000000"/>
        </w:rPr>
        <w:t xml:space="preserve">sp.) dominated the catch among the small-bodied species. </w:t>
      </w:r>
      <w:r w:rsidR="00A97349">
        <w:rPr>
          <w:color w:val="000000"/>
        </w:rPr>
        <w:t xml:space="preserve"> </w:t>
      </w:r>
      <w:r w:rsidRPr="006A56FD">
        <w:rPr>
          <w:color w:val="000000"/>
        </w:rPr>
        <w:t xml:space="preserve">Common carp </w:t>
      </w:r>
      <w:r w:rsidRPr="00F40089">
        <w:rPr>
          <w:color w:val="000000"/>
        </w:rPr>
        <w:t>were</w:t>
      </w:r>
      <w:r w:rsidRPr="006A56FD">
        <w:rPr>
          <w:color w:val="000000"/>
        </w:rPr>
        <w:t xml:space="preserve"> the most abundant </w:t>
      </w:r>
      <w:r>
        <w:rPr>
          <w:color w:val="000000"/>
        </w:rPr>
        <w:t xml:space="preserve">exotic </w:t>
      </w:r>
      <w:r w:rsidRPr="006A56FD">
        <w:rPr>
          <w:color w:val="000000"/>
        </w:rPr>
        <w:t xml:space="preserve">species sampled </w:t>
      </w:r>
      <w:r>
        <w:rPr>
          <w:color w:val="000000"/>
        </w:rPr>
        <w:t xml:space="preserve">in both studies and made up &gt;50% of the biomass of all fish sampled in the 2014-15 LTIM </w:t>
      </w:r>
      <w:r>
        <w:t>(Commonwealth of Australia</w:t>
      </w:r>
      <w:r w:rsidRPr="006A56FD">
        <w:rPr>
          <w:i/>
        </w:rPr>
        <w:t xml:space="preserve"> </w:t>
      </w:r>
      <w:r w:rsidRPr="006A56FD">
        <w:t>2015</w:t>
      </w:r>
      <w:r>
        <w:t>)</w:t>
      </w:r>
      <w:r>
        <w:rPr>
          <w:color w:val="000000"/>
        </w:rPr>
        <w:t>.</w:t>
      </w:r>
    </w:p>
    <w:p w:rsidR="00765D9C" w:rsidRDefault="00765D9C" w:rsidP="00617870">
      <w:pPr>
        <w:pStyle w:val="Heading7"/>
      </w:pPr>
      <w:bookmarkStart w:id="137" w:name="_Toc398489963"/>
      <w:r>
        <w:t>Methods</w:t>
      </w:r>
      <w:bookmarkEnd w:id="137"/>
    </w:p>
    <w:p w:rsidR="00765D9C" w:rsidRPr="00D02C99" w:rsidRDefault="00765D9C" w:rsidP="00617870">
      <w:pPr>
        <w:pStyle w:val="Heading8"/>
      </w:pPr>
      <w:r>
        <w:t>Sampling sites</w:t>
      </w:r>
    </w:p>
    <w:p w:rsidR="00433ED5" w:rsidRDefault="00433ED5" w:rsidP="00433ED5">
      <w:r>
        <w:t xml:space="preserve">Nineteen sites were sampled as part of the 2015-16 sampling round for the </w:t>
      </w:r>
      <w:r w:rsidRPr="00DC3884">
        <w:t>Fish (River)</w:t>
      </w:r>
      <w:r>
        <w:rPr>
          <w:i/>
        </w:rPr>
        <w:t xml:space="preserve"> </w:t>
      </w:r>
      <w:r>
        <w:t>assessment</w:t>
      </w:r>
      <w:r w:rsidRPr="008F5D66">
        <w:t xml:space="preserve"> between 4 February and 21 April 2016</w:t>
      </w:r>
      <w:r>
        <w:t xml:space="preserve"> (</w:t>
      </w:r>
      <w:r w:rsidR="00916C5E">
        <w:fldChar w:fldCharType="begin"/>
      </w:r>
      <w:r w:rsidR="00916C5E">
        <w:instrText xml:space="preserve"> REF _Ref458691901 \h </w:instrText>
      </w:r>
      <w:r w:rsidR="00A97349">
        <w:instrText xml:space="preserve"> \* MERGEFORMAT </w:instrText>
      </w:r>
      <w:r w:rsidR="00916C5E">
        <w:fldChar w:fldCharType="separate"/>
      </w:r>
      <w:r w:rsidR="005D5925">
        <w:t>Figure</w:t>
      </w:r>
      <w:r w:rsidR="005D5925">
        <w:rPr>
          <w:noProof/>
        </w:rPr>
        <w:t xml:space="preserve"> I</w:t>
      </w:r>
      <w:r w:rsidR="005D5925">
        <w:rPr>
          <w:noProof/>
        </w:rPr>
        <w:noBreakHyphen/>
        <w:t>1</w:t>
      </w:r>
      <w:r w:rsidR="00916C5E">
        <w:fldChar w:fldCharType="end"/>
      </w:r>
      <w:r>
        <w:t>)</w:t>
      </w:r>
      <w:r w:rsidRPr="008F5D66">
        <w:t xml:space="preserve">. </w:t>
      </w:r>
      <w:r w:rsidR="00A97349">
        <w:t xml:space="preserve"> </w:t>
      </w:r>
      <w:r>
        <w:t>Eighteen of these sites were consistent with s</w:t>
      </w:r>
      <w:r w:rsidRPr="00E27880">
        <w:t xml:space="preserve">ites </w:t>
      </w:r>
      <w:r>
        <w:t xml:space="preserve">sampled during 2014-15 and one site was an alternate due to site access issues. </w:t>
      </w:r>
      <w:r w:rsidR="00A97349">
        <w:t xml:space="preserve"> </w:t>
      </w:r>
      <w:r w:rsidRPr="008F5D66">
        <w:t>The remaining six sites sampled in 201</w:t>
      </w:r>
      <w:r>
        <w:t>4-15</w:t>
      </w:r>
      <w:r w:rsidRPr="008F5D66">
        <w:t xml:space="preserve"> were visited but were not sampled because they were either completely dry or there was insufficient water to undertake the</w:t>
      </w:r>
      <w:r>
        <w:t xml:space="preserve"> required sampling effort within one kilometr</w:t>
      </w:r>
      <w:r w:rsidR="00B53BDE">
        <w:t>e</w:t>
      </w:r>
      <w:r>
        <w:t xml:space="preserve">s upstream or downstream of the designated starting point. Sites were sampled based on protocols for either Category 1 and/or Category 3 Fish indicators (Commonwealth of Australia 2014). </w:t>
      </w:r>
      <w:r w:rsidR="00A97349">
        <w:t xml:space="preserve"> </w:t>
      </w:r>
      <w:r>
        <w:t xml:space="preserve">Along with sites monitored specifically for the LTIM program, data collected by Fisheries NSW as part of the Murray-Darling Basin Plan monitoring program in the Gingham, Mehi and Moomin </w:t>
      </w:r>
      <w:r w:rsidR="00B53BDE">
        <w:t>channels</w:t>
      </w:r>
      <w:r>
        <w:t>, was also again utilised in the analysis (</w:t>
      </w:r>
      <w:r w:rsidR="00916C5E">
        <w:fldChar w:fldCharType="begin"/>
      </w:r>
      <w:r w:rsidR="00916C5E">
        <w:instrText xml:space="preserve"> REF _Ref458691933 \h </w:instrText>
      </w:r>
      <w:r w:rsidR="00916C5E">
        <w:fldChar w:fldCharType="separate"/>
      </w:r>
      <w:r w:rsidR="005D5925">
        <w:t xml:space="preserve">Table </w:t>
      </w:r>
      <w:r w:rsidR="005D5925">
        <w:rPr>
          <w:noProof/>
        </w:rPr>
        <w:t>I</w:t>
      </w:r>
      <w:r w:rsidR="005D5925">
        <w:noBreakHyphen/>
      </w:r>
      <w:r w:rsidR="005D5925">
        <w:rPr>
          <w:noProof/>
        </w:rPr>
        <w:t>1</w:t>
      </w:r>
      <w:r w:rsidR="00916C5E">
        <w:fldChar w:fldCharType="end"/>
      </w:r>
      <w:r>
        <w:t xml:space="preserve">). </w:t>
      </w:r>
      <w:r w:rsidR="00A97349">
        <w:t xml:space="preserve"> </w:t>
      </w:r>
      <w:r>
        <w:t xml:space="preserve">For these sites, 1080 sec of boat or 1200 sec of backpack electrofishing (or where applicable combinations of both) was used as the sampling effort.  </w:t>
      </w:r>
    </w:p>
    <w:p w:rsidR="00433ED5" w:rsidRDefault="00433ED5" w:rsidP="00433ED5">
      <w:r>
        <w:t xml:space="preserve">Sampling sites in all four </w:t>
      </w:r>
      <w:r w:rsidR="00AB2CE2">
        <w:t>channels</w:t>
      </w:r>
      <w:r>
        <w:t xml:space="preserve"> were typical of the meandering waterways found throughout the lowland reaches of the Murray-Darling Basin. </w:t>
      </w:r>
      <w:r w:rsidR="00A97349">
        <w:t xml:space="preserve"> </w:t>
      </w:r>
      <w:r>
        <w:t>The waters at all sites tended to be turbid and relatively shallow and there were distinct pool/run/riffle zones present within many of the sites (</w:t>
      </w:r>
      <w:r w:rsidR="00A97349">
        <w:fldChar w:fldCharType="begin"/>
      </w:r>
      <w:r w:rsidR="00A97349">
        <w:instrText xml:space="preserve"> REF _Ref459890308 \h </w:instrText>
      </w:r>
      <w:r w:rsidR="00A97349">
        <w:fldChar w:fldCharType="separate"/>
      </w:r>
      <w:r w:rsidR="005D5925">
        <w:t xml:space="preserve">Figure </w:t>
      </w:r>
      <w:r w:rsidR="005D5925">
        <w:rPr>
          <w:noProof/>
        </w:rPr>
        <w:t>I</w:t>
      </w:r>
      <w:r w:rsidR="005D5925">
        <w:noBreakHyphen/>
      </w:r>
      <w:r w:rsidR="005D5925">
        <w:rPr>
          <w:noProof/>
        </w:rPr>
        <w:t>2</w:t>
      </w:r>
      <w:r w:rsidR="00A97349">
        <w:fldChar w:fldCharType="end"/>
      </w:r>
      <w:r>
        <w:t xml:space="preserve">). </w:t>
      </w:r>
      <w:r w:rsidR="00A97349">
        <w:t xml:space="preserve"> </w:t>
      </w:r>
      <w:r>
        <w:t xml:space="preserve">In the Gwydir River upstream of Tyreel Weir and in the Mehi River, the river channel tended to be wider, deeper and more permanent in nature, averaging ~30 m in </w:t>
      </w:r>
      <w:r w:rsidRPr="009A3CCC">
        <w:t>width and ~1.</w:t>
      </w:r>
      <w:r>
        <w:t xml:space="preserve">5 m in depth. </w:t>
      </w:r>
      <w:r w:rsidR="00A97349">
        <w:t xml:space="preserve"> </w:t>
      </w:r>
      <w:r>
        <w:t xml:space="preserve">In the lower Gwydir, Gingham and Moomin, the majority of sites were </w:t>
      </w:r>
      <w:r w:rsidRPr="001279D1">
        <w:t xml:space="preserve">narrower </w:t>
      </w:r>
      <w:r>
        <w:t xml:space="preserve">(~8-16 m) </w:t>
      </w:r>
      <w:r w:rsidRPr="001279D1">
        <w:t>and shallower</w:t>
      </w:r>
      <w:r>
        <w:t xml:space="preserve"> </w:t>
      </w:r>
      <w:r w:rsidRPr="009A3CCC">
        <w:t>(~0.5</w:t>
      </w:r>
      <w:r>
        <w:t> </w:t>
      </w:r>
      <w:r w:rsidRPr="009A3CCC">
        <w:t>m)</w:t>
      </w:r>
      <w:r>
        <w:t xml:space="preserve"> (</w:t>
      </w:r>
      <w:r w:rsidR="003956BA">
        <w:fldChar w:fldCharType="begin"/>
      </w:r>
      <w:r w:rsidR="003956BA">
        <w:instrText xml:space="preserve"> REF _Ref459890308 \h </w:instrText>
      </w:r>
      <w:r w:rsidR="003956BA">
        <w:fldChar w:fldCharType="separate"/>
      </w:r>
      <w:r w:rsidR="005D5925">
        <w:t xml:space="preserve">Figure </w:t>
      </w:r>
      <w:r w:rsidR="005D5925">
        <w:rPr>
          <w:noProof/>
        </w:rPr>
        <w:t>I</w:t>
      </w:r>
      <w:r w:rsidR="005D5925">
        <w:noBreakHyphen/>
      </w:r>
      <w:r w:rsidR="005D5925">
        <w:rPr>
          <w:noProof/>
        </w:rPr>
        <w:t>2</w:t>
      </w:r>
      <w:r w:rsidR="003956BA">
        <w:fldChar w:fldCharType="end"/>
      </w:r>
      <w:r>
        <w:t>)</w:t>
      </w:r>
      <w:r w:rsidRPr="009A3CCC">
        <w:t>.</w:t>
      </w:r>
      <w:r>
        <w:t xml:space="preserve">  The majority of sites had much less water compared to when they were sampled in 2014-15. </w:t>
      </w:r>
      <w:r w:rsidR="00A97349">
        <w:t xml:space="preserve"> </w:t>
      </w:r>
      <w:r>
        <w:t>This was particularly apparent at sites in the lower sections of all four systems, where the water had either stopped running or there was only a trickle between what could be considered as series of small refugia pools.</w:t>
      </w:r>
    </w:p>
    <w:p w:rsidR="00433ED5" w:rsidRDefault="00433ED5" w:rsidP="00433ED5">
      <w:r>
        <w:t xml:space="preserve">In-stream habitat across all four </w:t>
      </w:r>
      <w:r w:rsidR="00AB2CE2">
        <w:t>channels</w:t>
      </w:r>
      <w:r>
        <w:t xml:space="preserve"> was dominated by submerged timber and undercut banks.</w:t>
      </w:r>
      <w:r w:rsidR="00A97349">
        <w:t xml:space="preserve"> </w:t>
      </w:r>
      <w:r>
        <w:t xml:space="preserve"> The substratum at sites was typically mud; however, gravel, sand and silt substrates were also present in some areas.</w:t>
      </w:r>
      <w:r w:rsidR="00A97349">
        <w:t xml:space="preserve"> </w:t>
      </w:r>
      <w:r>
        <w:t xml:space="preserve"> In general, all four </w:t>
      </w:r>
      <w:r w:rsidR="00AB2CE2">
        <w:t>channels</w:t>
      </w:r>
      <w:r>
        <w:t xml:space="preserve"> were highly disturbed as a result of anthropogenic influences such as agriculture, altered flows, and terrestrial and aquatic exotic species.</w:t>
      </w:r>
      <w:r w:rsidR="00A97349">
        <w:t xml:space="preserve"> </w:t>
      </w:r>
      <w:r>
        <w:t xml:space="preserve"> The majority of sites were adjacent to irrigated and dryland cropping land. </w:t>
      </w:r>
      <w:r w:rsidR="00A97349">
        <w:t xml:space="preserve"> </w:t>
      </w:r>
      <w:r>
        <w:t xml:space="preserve">Most sites were fringed by only a narrow riparian zone, dominated by native trees and exotic shrubs. </w:t>
      </w:r>
      <w:r w:rsidR="00A97349">
        <w:t xml:space="preserve"> </w:t>
      </w:r>
      <w:r>
        <w:t>Notable terrestrial weeds included African boxthorn (</w:t>
      </w:r>
      <w:r w:rsidRPr="007B3ECE">
        <w:rPr>
          <w:i/>
        </w:rPr>
        <w:t>Lycium ferocissimum</w:t>
      </w:r>
      <w:r>
        <w:t>), noogoora burr (</w:t>
      </w:r>
      <w:r w:rsidRPr="007B3ECE">
        <w:rPr>
          <w:i/>
        </w:rPr>
        <w:t>Xanthium pungens</w:t>
      </w:r>
      <w:r>
        <w:t xml:space="preserve">) and lippia </w:t>
      </w:r>
      <w:r w:rsidRPr="007B3ECE">
        <w:t>(</w:t>
      </w:r>
      <w:r w:rsidRPr="007B3ECE">
        <w:rPr>
          <w:i/>
        </w:rPr>
        <w:t>Phyla canescens</w:t>
      </w:r>
      <w:r>
        <w:t xml:space="preserve">). </w:t>
      </w:r>
    </w:p>
    <w:p w:rsidR="00E23B8D" w:rsidRDefault="00E23B8D" w:rsidP="00E23B8D"/>
    <w:p w:rsidR="00617870" w:rsidRPr="00E23B8D" w:rsidRDefault="00617870" w:rsidP="00E23B8D">
      <w:pPr>
        <w:sectPr w:rsidR="00617870" w:rsidRPr="00E23B8D" w:rsidSect="00E23B8D">
          <w:headerReference w:type="default" r:id="rId167"/>
          <w:type w:val="nextColumn"/>
          <w:pgSz w:w="11899" w:h="16838"/>
          <w:pgMar w:top="1418" w:right="1219" w:bottom="1276" w:left="1480" w:header="811" w:footer="305" w:gutter="0"/>
          <w:pgNumType w:start="1" w:chapStyle="6"/>
          <w:cols w:space="708"/>
          <w:docGrid w:linePitch="360"/>
        </w:sectPr>
      </w:pPr>
    </w:p>
    <w:p w:rsidR="00E23B8D" w:rsidRDefault="004176FF" w:rsidP="00E23B8D">
      <w:pPr>
        <w:pStyle w:val="Caption"/>
      </w:pPr>
      <w:r w:rsidRPr="008F5E11">
        <w:rPr>
          <w:noProof/>
          <w:lang w:eastAsia="en-AU"/>
        </w:rPr>
        <w:drawing>
          <wp:inline distT="0" distB="0" distL="0" distR="0">
            <wp:extent cx="8058150" cy="5686425"/>
            <wp:effectExtent l="0" t="0" r="0" b="9525"/>
            <wp:docPr id="95" name="Picture 294" descr="Y:\14ARMNRM-0001 Stage 2 LTIM Gwydir\Maps\Final report maps 2015-2016\Fig C-1 Fish 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Y:\14ARMNRM-0001 Stage 2 LTIM Gwydir\Maps\Final report maps 2015-2016\Fig C-1 Fish sites.jpg"/>
                    <pic:cNvPicPr>
                      <a:picLocks noChangeAspect="1" noChangeArrowheads="1"/>
                    </pic:cNvPicPr>
                  </pic:nvPicPr>
                  <pic:blipFill>
                    <a:blip r:embed="rId168">
                      <a:extLst>
                        <a:ext uri="{28A0092B-C50C-407E-A947-70E740481C1C}">
                          <a14:useLocalDpi xmlns:a14="http://schemas.microsoft.com/office/drawing/2010/main"/>
                        </a:ext>
                      </a:extLst>
                    </a:blip>
                    <a:srcRect/>
                    <a:stretch>
                      <a:fillRect/>
                    </a:stretch>
                  </pic:blipFill>
                  <pic:spPr bwMode="auto">
                    <a:xfrm>
                      <a:off x="0" y="0"/>
                      <a:ext cx="8058150" cy="5686425"/>
                    </a:xfrm>
                    <a:prstGeom prst="rect">
                      <a:avLst/>
                    </a:prstGeom>
                    <a:noFill/>
                    <a:ln>
                      <a:noFill/>
                    </a:ln>
                  </pic:spPr>
                </pic:pic>
              </a:graphicData>
            </a:graphic>
          </wp:inline>
        </w:drawing>
      </w:r>
      <w:bookmarkStart w:id="138" w:name="_Ref458691901"/>
    </w:p>
    <w:p w:rsidR="006909A2" w:rsidRDefault="00617870" w:rsidP="00E23B8D">
      <w:pPr>
        <w:pStyle w:val="Caption"/>
      </w:pPr>
      <w:r>
        <w:t xml:space="preserve">Figure </w:t>
      </w:r>
      <w:fldSimple w:instr=" STYLEREF 6 \s ">
        <w:r w:rsidR="00673DAF">
          <w:rPr>
            <w:noProof/>
          </w:rPr>
          <w:t>I</w:t>
        </w:r>
      </w:fldSimple>
      <w:r w:rsidR="00673DAF">
        <w:noBreakHyphen/>
      </w:r>
      <w:fldSimple w:instr=" SEQ Figure \* ARABIC \s 6 ">
        <w:r w:rsidR="00673DAF">
          <w:rPr>
            <w:noProof/>
          </w:rPr>
          <w:t>1</w:t>
        </w:r>
      </w:fldSimple>
      <w:bookmarkEnd w:id="138"/>
      <w:r>
        <w:t xml:space="preserve"> </w:t>
      </w:r>
      <w:r w:rsidRPr="00D047D9">
        <w:t>Location of sampling sites in the Gwydir</w:t>
      </w:r>
      <w:r w:rsidR="00433ED5">
        <w:t xml:space="preserve"> </w:t>
      </w:r>
      <w:r w:rsidR="00561C43">
        <w:t>River</w:t>
      </w:r>
      <w:r w:rsidRPr="00D047D9">
        <w:t>, Mehi</w:t>
      </w:r>
      <w:r w:rsidR="00433ED5">
        <w:t xml:space="preserve"> </w:t>
      </w:r>
      <w:r w:rsidR="00561C43">
        <w:t>River</w:t>
      </w:r>
      <w:r w:rsidRPr="00D047D9">
        <w:t>, Moomin</w:t>
      </w:r>
      <w:r w:rsidR="00433ED5">
        <w:t xml:space="preserve"> Creek</w:t>
      </w:r>
      <w:r w:rsidRPr="00D047D9">
        <w:t xml:space="preserve"> and Gingham </w:t>
      </w:r>
      <w:r w:rsidR="001C3C04">
        <w:t>watercourse</w:t>
      </w:r>
      <w:r w:rsidR="00433ED5">
        <w:t xml:space="preserve"> used in </w:t>
      </w:r>
      <w:r w:rsidR="009D5114">
        <w:t xml:space="preserve">Fish </w:t>
      </w:r>
      <w:r w:rsidR="00433ED5">
        <w:t>(</w:t>
      </w:r>
      <w:r w:rsidR="009D5114">
        <w:t>River</w:t>
      </w:r>
      <w:r w:rsidR="00433ED5">
        <w:t>)</w:t>
      </w:r>
      <w:r w:rsidR="009D5114">
        <w:t xml:space="preserve"> analyses</w:t>
      </w:r>
    </w:p>
    <w:p w:rsidR="00423C6C" w:rsidRDefault="00E23B8D" w:rsidP="00423C6C">
      <w:pPr>
        <w:pStyle w:val="Caption"/>
      </w:pPr>
      <w:r>
        <w:br w:type="page"/>
      </w:r>
      <w:bookmarkStart w:id="139" w:name="_Ref458691933"/>
      <w:bookmarkStart w:id="140" w:name="_Ref458691917"/>
      <w:r w:rsidR="00423C6C">
        <w:t xml:space="preserve">Table </w:t>
      </w:r>
      <w:fldSimple w:instr=" STYLEREF 6 \s ">
        <w:r w:rsidR="005D5925">
          <w:rPr>
            <w:noProof/>
          </w:rPr>
          <w:t>I</w:t>
        </w:r>
      </w:fldSimple>
      <w:r w:rsidR="005D4453">
        <w:noBreakHyphen/>
      </w:r>
      <w:fldSimple w:instr=" SEQ Table \* ARABIC \s 6 ">
        <w:r w:rsidR="005D5925">
          <w:rPr>
            <w:noProof/>
          </w:rPr>
          <w:t>1</w:t>
        </w:r>
      </w:fldSimple>
      <w:bookmarkEnd w:id="139"/>
      <w:r w:rsidR="00423C6C">
        <w:t xml:space="preserve"> </w:t>
      </w:r>
      <w:r w:rsidR="00423C6C" w:rsidRPr="00EF7873">
        <w:t>Locations and details of sites used in the 2015-16</w:t>
      </w:r>
      <w:r w:rsidR="0021345C">
        <w:t xml:space="preserve"> analysis</w:t>
      </w:r>
      <w:r w:rsidR="00423C6C" w:rsidRPr="00EF7873">
        <w:t>. Red shading indicates sites that were visited but not sampled due to having too little or no water.</w:t>
      </w:r>
      <w:bookmarkEnd w:id="140"/>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426"/>
        <w:gridCol w:w="2689"/>
        <w:gridCol w:w="1575"/>
        <w:gridCol w:w="1360"/>
        <w:gridCol w:w="1482"/>
        <w:gridCol w:w="1176"/>
        <w:gridCol w:w="1157"/>
        <w:gridCol w:w="2274"/>
      </w:tblGrid>
      <w:tr w:rsidR="005F23F1" w:rsidRPr="00E23B8D" w:rsidTr="00CC18AA">
        <w:trPr>
          <w:trHeight w:hRule="exact" w:val="385"/>
          <w:tblHeader/>
        </w:trPr>
        <w:tc>
          <w:tcPr>
            <w:tcW w:w="858" w:type="pct"/>
            <w:shd w:val="clear" w:color="auto" w:fill="D9D9D9"/>
            <w:vAlign w:val="center"/>
            <w:hideMark/>
          </w:tcPr>
          <w:p w:rsidR="00423C6C" w:rsidRPr="00CC18AA" w:rsidRDefault="00423C6C" w:rsidP="00CC18AA">
            <w:pPr>
              <w:spacing w:before="60" w:after="60"/>
              <w:jc w:val="center"/>
              <w:rPr>
                <w:rFonts w:cs="Arial"/>
                <w:bCs/>
                <w:color w:val="000000"/>
                <w:szCs w:val="20"/>
                <w:lang w:val="en-US" w:eastAsia="en-AU"/>
              </w:rPr>
            </w:pPr>
            <w:r w:rsidRPr="00CC18AA">
              <w:rPr>
                <w:rFonts w:cs="Arial"/>
                <w:bCs/>
                <w:color w:val="000000"/>
                <w:szCs w:val="20"/>
                <w:lang w:val="en-US" w:eastAsia="en-AU"/>
              </w:rPr>
              <w:t>Site Name</w:t>
            </w:r>
          </w:p>
        </w:tc>
        <w:tc>
          <w:tcPr>
            <w:tcW w:w="951" w:type="pct"/>
            <w:shd w:val="clear" w:color="auto" w:fill="D9D9D9"/>
            <w:vAlign w:val="center"/>
            <w:hideMark/>
          </w:tcPr>
          <w:p w:rsidR="00423C6C" w:rsidRPr="00CC18AA" w:rsidRDefault="00AB2CE2" w:rsidP="00CC18AA">
            <w:pPr>
              <w:spacing w:before="60" w:after="60"/>
              <w:jc w:val="center"/>
              <w:rPr>
                <w:rFonts w:cs="Arial"/>
                <w:bCs/>
                <w:color w:val="000000"/>
                <w:szCs w:val="20"/>
                <w:lang w:val="en-US" w:eastAsia="en-AU"/>
              </w:rPr>
            </w:pPr>
            <w:r w:rsidRPr="00CC18AA">
              <w:rPr>
                <w:rFonts w:cs="Arial"/>
                <w:bCs/>
                <w:color w:val="000000"/>
                <w:szCs w:val="20"/>
                <w:lang w:val="en-US" w:eastAsia="en-AU"/>
              </w:rPr>
              <w:t>Channel</w:t>
            </w:r>
          </w:p>
        </w:tc>
        <w:tc>
          <w:tcPr>
            <w:tcW w:w="557" w:type="pct"/>
            <w:shd w:val="clear" w:color="auto" w:fill="D9D9D9"/>
            <w:vAlign w:val="center"/>
            <w:hideMark/>
          </w:tcPr>
          <w:p w:rsidR="00423C6C" w:rsidRPr="00CC18AA" w:rsidRDefault="00423C6C" w:rsidP="00CC18AA">
            <w:pPr>
              <w:spacing w:before="60" w:after="60"/>
              <w:jc w:val="center"/>
              <w:rPr>
                <w:rFonts w:cs="Arial"/>
                <w:bCs/>
                <w:color w:val="000000"/>
                <w:szCs w:val="20"/>
                <w:lang w:val="en-US" w:eastAsia="en-AU"/>
              </w:rPr>
            </w:pPr>
            <w:r w:rsidRPr="00CC18AA">
              <w:rPr>
                <w:rFonts w:cs="Arial"/>
                <w:bCs/>
                <w:color w:val="000000"/>
                <w:szCs w:val="20"/>
                <w:lang w:val="en-US" w:eastAsia="en-AU"/>
              </w:rPr>
              <w:t>Source</w:t>
            </w:r>
          </w:p>
        </w:tc>
        <w:tc>
          <w:tcPr>
            <w:tcW w:w="481" w:type="pct"/>
            <w:shd w:val="clear" w:color="auto" w:fill="D9D9D9"/>
            <w:vAlign w:val="center"/>
            <w:hideMark/>
          </w:tcPr>
          <w:p w:rsidR="00423C6C" w:rsidRPr="00CC18AA" w:rsidRDefault="00423C6C" w:rsidP="00CC18AA">
            <w:pPr>
              <w:spacing w:before="60" w:after="60"/>
              <w:jc w:val="center"/>
              <w:rPr>
                <w:rFonts w:cs="Arial"/>
                <w:bCs/>
                <w:color w:val="000000"/>
                <w:szCs w:val="20"/>
                <w:lang w:val="en-US" w:eastAsia="en-AU"/>
              </w:rPr>
            </w:pPr>
            <w:r w:rsidRPr="00CC18AA">
              <w:rPr>
                <w:rFonts w:cs="Arial"/>
                <w:bCs/>
                <w:color w:val="000000"/>
                <w:szCs w:val="20"/>
                <w:lang w:val="en-US" w:eastAsia="en-AU"/>
              </w:rPr>
              <w:t>Latitude</w:t>
            </w:r>
          </w:p>
        </w:tc>
        <w:tc>
          <w:tcPr>
            <w:tcW w:w="524" w:type="pct"/>
            <w:shd w:val="clear" w:color="auto" w:fill="D9D9D9"/>
            <w:vAlign w:val="center"/>
            <w:hideMark/>
          </w:tcPr>
          <w:p w:rsidR="00423C6C" w:rsidRPr="00CC18AA" w:rsidRDefault="00423C6C" w:rsidP="00CC18AA">
            <w:pPr>
              <w:spacing w:before="60" w:after="60"/>
              <w:jc w:val="center"/>
              <w:rPr>
                <w:rFonts w:cs="Arial"/>
                <w:bCs/>
                <w:color w:val="000000"/>
                <w:szCs w:val="20"/>
                <w:lang w:val="en-US" w:eastAsia="en-AU"/>
              </w:rPr>
            </w:pPr>
            <w:r w:rsidRPr="00CC18AA">
              <w:rPr>
                <w:rFonts w:cs="Arial"/>
                <w:bCs/>
                <w:color w:val="000000"/>
                <w:szCs w:val="20"/>
                <w:lang w:val="en-US" w:eastAsia="en-AU"/>
              </w:rPr>
              <w:t>Longitude</w:t>
            </w:r>
          </w:p>
        </w:tc>
        <w:tc>
          <w:tcPr>
            <w:tcW w:w="416" w:type="pct"/>
            <w:shd w:val="clear" w:color="auto" w:fill="D9D9D9"/>
            <w:vAlign w:val="center"/>
            <w:hideMark/>
          </w:tcPr>
          <w:p w:rsidR="00423C6C" w:rsidRPr="00CC18AA" w:rsidRDefault="00423C6C" w:rsidP="00CC18AA">
            <w:pPr>
              <w:spacing w:before="60" w:after="60"/>
              <w:jc w:val="center"/>
              <w:rPr>
                <w:rFonts w:cs="Arial"/>
                <w:bCs/>
                <w:color w:val="000000"/>
                <w:szCs w:val="20"/>
                <w:lang w:val="en-US" w:eastAsia="en-AU"/>
              </w:rPr>
            </w:pPr>
            <w:r w:rsidRPr="00CC18AA">
              <w:rPr>
                <w:rFonts w:cs="Arial"/>
                <w:bCs/>
                <w:color w:val="000000"/>
                <w:szCs w:val="20"/>
                <w:lang w:val="en-US" w:eastAsia="en-AU"/>
              </w:rPr>
              <w:t>Altitude</w:t>
            </w:r>
          </w:p>
        </w:tc>
        <w:tc>
          <w:tcPr>
            <w:tcW w:w="409" w:type="pct"/>
            <w:shd w:val="clear" w:color="auto" w:fill="D9D9D9"/>
            <w:vAlign w:val="center"/>
            <w:hideMark/>
          </w:tcPr>
          <w:p w:rsidR="00423C6C" w:rsidRPr="00CC18AA" w:rsidRDefault="00423C6C" w:rsidP="00CC18AA">
            <w:pPr>
              <w:spacing w:before="60" w:after="60"/>
              <w:jc w:val="center"/>
              <w:rPr>
                <w:rFonts w:cs="Arial"/>
                <w:bCs/>
                <w:color w:val="000000"/>
                <w:szCs w:val="20"/>
                <w:lang w:val="en-US" w:eastAsia="en-AU"/>
              </w:rPr>
            </w:pPr>
            <w:r w:rsidRPr="00CC18AA">
              <w:rPr>
                <w:rFonts w:cs="Arial"/>
                <w:bCs/>
                <w:color w:val="000000"/>
                <w:szCs w:val="20"/>
                <w:lang w:val="en-US" w:eastAsia="en-AU"/>
              </w:rPr>
              <w:t>Zone</w:t>
            </w:r>
          </w:p>
        </w:tc>
        <w:tc>
          <w:tcPr>
            <w:tcW w:w="804" w:type="pct"/>
            <w:shd w:val="clear" w:color="auto" w:fill="D9D9D9"/>
            <w:vAlign w:val="center"/>
            <w:hideMark/>
          </w:tcPr>
          <w:p w:rsidR="00423C6C" w:rsidRPr="00CC18AA" w:rsidRDefault="00423C6C" w:rsidP="00CC18AA">
            <w:pPr>
              <w:spacing w:before="60" w:after="60"/>
              <w:jc w:val="center"/>
              <w:rPr>
                <w:rFonts w:cs="Arial"/>
                <w:bCs/>
                <w:color w:val="000000"/>
                <w:szCs w:val="20"/>
                <w:lang w:val="en-US" w:eastAsia="en-AU"/>
              </w:rPr>
            </w:pPr>
            <w:r w:rsidRPr="00CC18AA">
              <w:rPr>
                <w:rFonts w:cs="Arial"/>
                <w:bCs/>
                <w:color w:val="000000"/>
                <w:szCs w:val="20"/>
                <w:lang w:val="en-US" w:eastAsia="en-AU"/>
              </w:rPr>
              <w:t>Effort</w:t>
            </w:r>
          </w:p>
        </w:tc>
      </w:tr>
      <w:tr w:rsidR="005F23F1" w:rsidRPr="00E23B8D" w:rsidTr="00CC18AA">
        <w:trPr>
          <w:trHeight w:hRule="exact" w:val="431"/>
        </w:trPr>
        <w:tc>
          <w:tcPr>
            <w:tcW w:w="858" w:type="pct"/>
            <w:shd w:val="clear" w:color="auto" w:fill="auto"/>
            <w:noWrap/>
            <w:vAlign w:val="center"/>
          </w:tcPr>
          <w:p w:rsidR="002F658F" w:rsidRPr="00CC18AA" w:rsidRDefault="002F658F" w:rsidP="00CC18AA">
            <w:pPr>
              <w:spacing w:before="60" w:after="60"/>
              <w:jc w:val="left"/>
              <w:rPr>
                <w:rFonts w:cs="Arial"/>
                <w:bCs/>
                <w:color w:val="000000"/>
                <w:szCs w:val="20"/>
                <w:lang w:val="en-US" w:eastAsia="en-AU"/>
              </w:rPr>
            </w:pPr>
            <w:r w:rsidRPr="00CC18AA">
              <w:rPr>
                <w:rFonts w:cs="Arial"/>
                <w:bCs/>
                <w:color w:val="000000"/>
                <w:szCs w:val="20"/>
                <w:lang w:val="en-US" w:eastAsia="en-AU"/>
              </w:rPr>
              <w:t>Gingham 27</w:t>
            </w:r>
          </w:p>
        </w:tc>
        <w:tc>
          <w:tcPr>
            <w:tcW w:w="951" w:type="pct"/>
            <w:shd w:val="clear" w:color="auto" w:fill="auto"/>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Gingham watercourse</w:t>
            </w:r>
          </w:p>
        </w:tc>
        <w:tc>
          <w:tcPr>
            <w:tcW w:w="557" w:type="pct"/>
            <w:shd w:val="clear" w:color="auto" w:fill="auto"/>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LTIM CAT 3</w:t>
            </w:r>
          </w:p>
        </w:tc>
        <w:tc>
          <w:tcPr>
            <w:tcW w:w="481" w:type="pct"/>
            <w:shd w:val="clear" w:color="auto" w:fill="auto"/>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750216</w:t>
            </w:r>
          </w:p>
        </w:tc>
        <w:tc>
          <w:tcPr>
            <w:tcW w:w="524" w:type="pct"/>
            <w:shd w:val="clear" w:color="auto" w:fill="auto"/>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6751475</w:t>
            </w:r>
          </w:p>
        </w:tc>
        <w:tc>
          <w:tcPr>
            <w:tcW w:w="416" w:type="pct"/>
            <w:shd w:val="clear" w:color="auto" w:fill="auto"/>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168</w:t>
            </w:r>
          </w:p>
        </w:tc>
        <w:tc>
          <w:tcPr>
            <w:tcW w:w="409" w:type="pct"/>
            <w:shd w:val="clear" w:color="auto" w:fill="auto"/>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Lowland</w:t>
            </w:r>
          </w:p>
        </w:tc>
        <w:tc>
          <w:tcPr>
            <w:tcW w:w="804" w:type="pct"/>
            <w:shd w:val="clear" w:color="auto" w:fill="auto"/>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Backpack</w:t>
            </w:r>
          </w:p>
        </w:tc>
      </w:tr>
      <w:tr w:rsidR="005F23F1" w:rsidRPr="00E23B8D" w:rsidTr="00CC18AA">
        <w:trPr>
          <w:trHeight w:hRule="exact" w:val="431"/>
        </w:trPr>
        <w:tc>
          <w:tcPr>
            <w:tcW w:w="858" w:type="pct"/>
            <w:shd w:val="clear" w:color="auto" w:fill="auto"/>
            <w:noWrap/>
            <w:vAlign w:val="center"/>
            <w:hideMark/>
          </w:tcPr>
          <w:p w:rsidR="002F658F" w:rsidRPr="00CC18AA" w:rsidRDefault="002F658F" w:rsidP="00CC18AA">
            <w:pPr>
              <w:spacing w:before="60" w:after="60"/>
              <w:jc w:val="left"/>
              <w:rPr>
                <w:rFonts w:cs="Arial"/>
                <w:bCs/>
                <w:color w:val="000000"/>
                <w:szCs w:val="20"/>
                <w:lang w:val="en-US" w:eastAsia="en-AU"/>
              </w:rPr>
            </w:pPr>
            <w:r w:rsidRPr="00CC18AA">
              <w:rPr>
                <w:rFonts w:cs="Arial"/>
                <w:bCs/>
                <w:color w:val="000000"/>
                <w:szCs w:val="20"/>
                <w:lang w:val="en-US" w:eastAsia="en-AU"/>
              </w:rPr>
              <w:t>Gingham 38</w:t>
            </w:r>
          </w:p>
        </w:tc>
        <w:tc>
          <w:tcPr>
            <w:tcW w:w="951"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Gingham watercourse</w:t>
            </w:r>
          </w:p>
        </w:tc>
        <w:tc>
          <w:tcPr>
            <w:tcW w:w="557"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LTIM CAT 3</w:t>
            </w:r>
          </w:p>
        </w:tc>
        <w:tc>
          <w:tcPr>
            <w:tcW w:w="481"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742843</w:t>
            </w:r>
          </w:p>
        </w:tc>
        <w:tc>
          <w:tcPr>
            <w:tcW w:w="524"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6756626</w:t>
            </w:r>
          </w:p>
        </w:tc>
        <w:tc>
          <w:tcPr>
            <w:tcW w:w="416"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168</w:t>
            </w:r>
          </w:p>
        </w:tc>
        <w:tc>
          <w:tcPr>
            <w:tcW w:w="409"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Lowland</w:t>
            </w:r>
          </w:p>
        </w:tc>
        <w:tc>
          <w:tcPr>
            <w:tcW w:w="804"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Backpack</w:t>
            </w:r>
          </w:p>
        </w:tc>
      </w:tr>
      <w:tr w:rsidR="005F23F1" w:rsidRPr="00E23B8D" w:rsidTr="00CC18AA">
        <w:trPr>
          <w:trHeight w:hRule="exact" w:val="431"/>
        </w:trPr>
        <w:tc>
          <w:tcPr>
            <w:tcW w:w="858" w:type="pct"/>
            <w:shd w:val="clear" w:color="auto" w:fill="auto"/>
            <w:noWrap/>
            <w:vAlign w:val="center"/>
          </w:tcPr>
          <w:p w:rsidR="002F658F" w:rsidRPr="00CC18AA" w:rsidRDefault="002F658F" w:rsidP="00CC18AA">
            <w:pPr>
              <w:spacing w:before="60" w:after="60"/>
              <w:jc w:val="left"/>
              <w:rPr>
                <w:rFonts w:cs="Arial"/>
                <w:bCs/>
                <w:color w:val="000000"/>
                <w:szCs w:val="20"/>
                <w:lang w:val="en-US" w:eastAsia="en-AU"/>
              </w:rPr>
            </w:pPr>
            <w:r w:rsidRPr="00CC18AA">
              <w:rPr>
                <w:rFonts w:cs="Arial"/>
                <w:bCs/>
                <w:color w:val="000000"/>
                <w:szCs w:val="20"/>
                <w:lang w:val="en-US" w:eastAsia="en-AU"/>
              </w:rPr>
              <w:t>Gingham Waterhole</w:t>
            </w:r>
          </w:p>
        </w:tc>
        <w:tc>
          <w:tcPr>
            <w:tcW w:w="951" w:type="pct"/>
            <w:shd w:val="clear" w:color="auto" w:fill="auto"/>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Gingham watercourse</w:t>
            </w:r>
          </w:p>
        </w:tc>
        <w:tc>
          <w:tcPr>
            <w:tcW w:w="557" w:type="pct"/>
            <w:shd w:val="clear" w:color="auto" w:fill="auto"/>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MDBP</w:t>
            </w:r>
          </w:p>
        </w:tc>
        <w:tc>
          <w:tcPr>
            <w:tcW w:w="481" w:type="pct"/>
            <w:shd w:val="clear" w:color="auto" w:fill="auto"/>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723745</w:t>
            </w:r>
          </w:p>
        </w:tc>
        <w:tc>
          <w:tcPr>
            <w:tcW w:w="524" w:type="pct"/>
            <w:shd w:val="clear" w:color="auto" w:fill="auto"/>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6762848</w:t>
            </w:r>
          </w:p>
        </w:tc>
        <w:tc>
          <w:tcPr>
            <w:tcW w:w="416" w:type="pct"/>
            <w:shd w:val="clear" w:color="auto" w:fill="auto"/>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173</w:t>
            </w:r>
          </w:p>
        </w:tc>
        <w:tc>
          <w:tcPr>
            <w:tcW w:w="409" w:type="pct"/>
            <w:shd w:val="clear" w:color="auto" w:fill="auto"/>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Lowland</w:t>
            </w:r>
          </w:p>
        </w:tc>
        <w:tc>
          <w:tcPr>
            <w:tcW w:w="804" w:type="pct"/>
            <w:shd w:val="clear" w:color="auto" w:fill="auto"/>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Small boat</w:t>
            </w:r>
          </w:p>
        </w:tc>
      </w:tr>
      <w:tr w:rsidR="005F23F1" w:rsidRPr="00E23B8D" w:rsidTr="00CC18AA">
        <w:trPr>
          <w:trHeight w:hRule="exact" w:val="431"/>
        </w:trPr>
        <w:tc>
          <w:tcPr>
            <w:tcW w:w="858" w:type="pct"/>
            <w:shd w:val="clear" w:color="auto" w:fill="auto"/>
            <w:noWrap/>
            <w:vAlign w:val="center"/>
            <w:hideMark/>
          </w:tcPr>
          <w:p w:rsidR="002F658F" w:rsidRPr="00CC18AA" w:rsidRDefault="002F658F" w:rsidP="00CC18AA">
            <w:pPr>
              <w:spacing w:before="60" w:after="60"/>
              <w:jc w:val="left"/>
              <w:rPr>
                <w:rFonts w:cs="Arial"/>
                <w:bCs/>
                <w:color w:val="000000"/>
                <w:szCs w:val="20"/>
                <w:lang w:val="en-US" w:eastAsia="en-AU"/>
              </w:rPr>
            </w:pPr>
            <w:r w:rsidRPr="00CC18AA">
              <w:rPr>
                <w:rFonts w:cs="Arial"/>
                <w:bCs/>
                <w:color w:val="000000"/>
                <w:szCs w:val="20"/>
                <w:lang w:val="en-US" w:eastAsia="en-AU"/>
              </w:rPr>
              <w:t>Bullerana</w:t>
            </w:r>
          </w:p>
        </w:tc>
        <w:tc>
          <w:tcPr>
            <w:tcW w:w="951"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Gingham watercourse</w:t>
            </w:r>
          </w:p>
        </w:tc>
        <w:tc>
          <w:tcPr>
            <w:tcW w:w="557"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LTIM CAT 3</w:t>
            </w:r>
          </w:p>
        </w:tc>
        <w:tc>
          <w:tcPr>
            <w:tcW w:w="481"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747714</w:t>
            </w:r>
          </w:p>
        </w:tc>
        <w:tc>
          <w:tcPr>
            <w:tcW w:w="524"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6752639</w:t>
            </w:r>
          </w:p>
        </w:tc>
        <w:tc>
          <w:tcPr>
            <w:tcW w:w="416"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175</w:t>
            </w:r>
          </w:p>
        </w:tc>
        <w:tc>
          <w:tcPr>
            <w:tcW w:w="409"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Lowland</w:t>
            </w:r>
          </w:p>
        </w:tc>
        <w:tc>
          <w:tcPr>
            <w:tcW w:w="804"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Backpack</w:t>
            </w:r>
          </w:p>
        </w:tc>
      </w:tr>
      <w:tr w:rsidR="005F23F1" w:rsidRPr="00E23B8D" w:rsidTr="00CC18AA">
        <w:trPr>
          <w:trHeight w:hRule="exact" w:val="431"/>
        </w:trPr>
        <w:tc>
          <w:tcPr>
            <w:tcW w:w="858" w:type="pct"/>
            <w:shd w:val="clear" w:color="auto" w:fill="auto"/>
            <w:noWrap/>
            <w:vAlign w:val="center"/>
            <w:hideMark/>
          </w:tcPr>
          <w:p w:rsidR="002F658F" w:rsidRPr="00CC18AA" w:rsidRDefault="002F658F" w:rsidP="00CC18AA">
            <w:pPr>
              <w:spacing w:before="60" w:after="60"/>
              <w:jc w:val="left"/>
              <w:rPr>
                <w:rFonts w:cs="Arial"/>
                <w:bCs/>
                <w:color w:val="000000"/>
                <w:szCs w:val="20"/>
                <w:lang w:val="en-US" w:eastAsia="en-AU"/>
              </w:rPr>
            </w:pPr>
            <w:r w:rsidRPr="00CC18AA">
              <w:rPr>
                <w:rFonts w:cs="Arial"/>
                <w:bCs/>
                <w:color w:val="000000"/>
                <w:szCs w:val="20"/>
                <w:lang w:val="en-US" w:eastAsia="en-AU"/>
              </w:rPr>
              <w:t>Gingham 4</w:t>
            </w:r>
          </w:p>
        </w:tc>
        <w:tc>
          <w:tcPr>
            <w:tcW w:w="951"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Gingham watercourse</w:t>
            </w:r>
          </w:p>
        </w:tc>
        <w:tc>
          <w:tcPr>
            <w:tcW w:w="557"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LTIM CAT 3</w:t>
            </w:r>
          </w:p>
        </w:tc>
        <w:tc>
          <w:tcPr>
            <w:tcW w:w="481"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766926</w:t>
            </w:r>
          </w:p>
        </w:tc>
        <w:tc>
          <w:tcPr>
            <w:tcW w:w="524"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6742997</w:t>
            </w:r>
          </w:p>
        </w:tc>
        <w:tc>
          <w:tcPr>
            <w:tcW w:w="416"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208</w:t>
            </w:r>
          </w:p>
        </w:tc>
        <w:tc>
          <w:tcPr>
            <w:tcW w:w="409"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Slopes (L)</w:t>
            </w:r>
          </w:p>
        </w:tc>
        <w:tc>
          <w:tcPr>
            <w:tcW w:w="804"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Medium boat</w:t>
            </w:r>
          </w:p>
        </w:tc>
      </w:tr>
      <w:tr w:rsidR="005F23F1" w:rsidRPr="00E23B8D" w:rsidTr="00CC18AA">
        <w:trPr>
          <w:trHeight w:hRule="exact" w:val="431"/>
        </w:trPr>
        <w:tc>
          <w:tcPr>
            <w:tcW w:w="858" w:type="pct"/>
            <w:shd w:val="clear" w:color="auto" w:fill="F2DBDB"/>
            <w:noWrap/>
            <w:vAlign w:val="center"/>
          </w:tcPr>
          <w:p w:rsidR="002F658F" w:rsidRPr="00CC18AA" w:rsidRDefault="002F658F" w:rsidP="00CC18AA">
            <w:pPr>
              <w:spacing w:before="60" w:after="60"/>
              <w:jc w:val="left"/>
              <w:rPr>
                <w:rFonts w:cs="Arial"/>
                <w:bCs/>
                <w:color w:val="000000"/>
                <w:szCs w:val="20"/>
                <w:lang w:val="en-US" w:eastAsia="en-AU"/>
              </w:rPr>
            </w:pPr>
            <w:r w:rsidRPr="00CC18AA">
              <w:rPr>
                <w:rFonts w:cs="Arial"/>
                <w:bCs/>
                <w:color w:val="000000"/>
                <w:szCs w:val="20"/>
                <w:lang w:val="en-US" w:eastAsia="en-AU"/>
              </w:rPr>
              <w:t>Brageen Crossing</w:t>
            </w:r>
          </w:p>
        </w:tc>
        <w:tc>
          <w:tcPr>
            <w:tcW w:w="951" w:type="pct"/>
            <w:shd w:val="clear" w:color="auto" w:fill="F2DBDB"/>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Gwydir River</w:t>
            </w:r>
          </w:p>
        </w:tc>
        <w:tc>
          <w:tcPr>
            <w:tcW w:w="557" w:type="pct"/>
            <w:shd w:val="clear" w:color="auto" w:fill="F2DBDB"/>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LTIM CAT 1</w:t>
            </w:r>
          </w:p>
        </w:tc>
        <w:tc>
          <w:tcPr>
            <w:tcW w:w="481" w:type="pct"/>
            <w:shd w:val="clear" w:color="auto" w:fill="F2DBDB"/>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755712</w:t>
            </w:r>
          </w:p>
        </w:tc>
        <w:tc>
          <w:tcPr>
            <w:tcW w:w="524" w:type="pct"/>
            <w:shd w:val="clear" w:color="auto" w:fill="F2DBDB"/>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6742946</w:t>
            </w:r>
          </w:p>
        </w:tc>
        <w:tc>
          <w:tcPr>
            <w:tcW w:w="416" w:type="pct"/>
            <w:shd w:val="clear" w:color="auto" w:fill="F2DBDB"/>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185</w:t>
            </w:r>
          </w:p>
        </w:tc>
        <w:tc>
          <w:tcPr>
            <w:tcW w:w="409" w:type="pct"/>
            <w:shd w:val="clear" w:color="auto" w:fill="F2DBDB"/>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Lowland</w:t>
            </w:r>
          </w:p>
        </w:tc>
        <w:tc>
          <w:tcPr>
            <w:tcW w:w="804" w:type="pct"/>
            <w:shd w:val="clear" w:color="auto" w:fill="F2DBDB"/>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Not sampled</w:t>
            </w:r>
          </w:p>
        </w:tc>
      </w:tr>
      <w:tr w:rsidR="005F23F1" w:rsidRPr="00E23B8D" w:rsidTr="00CC18AA">
        <w:trPr>
          <w:trHeight w:hRule="exact" w:val="431"/>
        </w:trPr>
        <w:tc>
          <w:tcPr>
            <w:tcW w:w="858" w:type="pct"/>
            <w:shd w:val="clear" w:color="auto" w:fill="F2DBDB"/>
            <w:noWrap/>
            <w:vAlign w:val="center"/>
          </w:tcPr>
          <w:p w:rsidR="002F658F" w:rsidRPr="00CC18AA" w:rsidRDefault="002F658F" w:rsidP="00CC18AA">
            <w:pPr>
              <w:spacing w:before="60" w:after="60"/>
              <w:jc w:val="left"/>
              <w:rPr>
                <w:rFonts w:cs="Arial"/>
                <w:bCs/>
                <w:color w:val="000000"/>
                <w:szCs w:val="20"/>
                <w:lang w:val="en-US" w:eastAsia="en-AU"/>
              </w:rPr>
            </w:pPr>
            <w:r w:rsidRPr="00CC18AA">
              <w:rPr>
                <w:rFonts w:cs="Arial"/>
                <w:bCs/>
                <w:color w:val="000000"/>
                <w:szCs w:val="20"/>
                <w:lang w:val="en-US" w:eastAsia="en-AU"/>
              </w:rPr>
              <w:t>GLTIM C1 S9</w:t>
            </w:r>
          </w:p>
        </w:tc>
        <w:tc>
          <w:tcPr>
            <w:tcW w:w="951" w:type="pct"/>
            <w:shd w:val="clear" w:color="auto" w:fill="F2DBDB"/>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Gwydir River</w:t>
            </w:r>
          </w:p>
        </w:tc>
        <w:tc>
          <w:tcPr>
            <w:tcW w:w="557" w:type="pct"/>
            <w:shd w:val="clear" w:color="auto" w:fill="F2DBDB"/>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LTIM CAT 1</w:t>
            </w:r>
          </w:p>
        </w:tc>
        <w:tc>
          <w:tcPr>
            <w:tcW w:w="481" w:type="pct"/>
            <w:shd w:val="clear" w:color="auto" w:fill="F2DBDB"/>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743873</w:t>
            </w:r>
          </w:p>
        </w:tc>
        <w:tc>
          <w:tcPr>
            <w:tcW w:w="524" w:type="pct"/>
            <w:shd w:val="clear" w:color="auto" w:fill="F2DBDB"/>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6745735</w:t>
            </w:r>
          </w:p>
        </w:tc>
        <w:tc>
          <w:tcPr>
            <w:tcW w:w="416" w:type="pct"/>
            <w:shd w:val="clear" w:color="auto" w:fill="F2DBDB"/>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187</w:t>
            </w:r>
          </w:p>
        </w:tc>
        <w:tc>
          <w:tcPr>
            <w:tcW w:w="409" w:type="pct"/>
            <w:shd w:val="clear" w:color="auto" w:fill="F2DBDB"/>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Lowland</w:t>
            </w:r>
          </w:p>
        </w:tc>
        <w:tc>
          <w:tcPr>
            <w:tcW w:w="804" w:type="pct"/>
            <w:shd w:val="clear" w:color="auto" w:fill="F2DBDB"/>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Not sampled</w:t>
            </w:r>
          </w:p>
        </w:tc>
      </w:tr>
      <w:tr w:rsidR="005F23F1" w:rsidRPr="00E23B8D" w:rsidTr="00CC18AA">
        <w:trPr>
          <w:trHeight w:hRule="exact" w:val="431"/>
        </w:trPr>
        <w:tc>
          <w:tcPr>
            <w:tcW w:w="858" w:type="pct"/>
            <w:shd w:val="clear" w:color="auto" w:fill="F2DBDB"/>
            <w:noWrap/>
            <w:vAlign w:val="center"/>
            <w:hideMark/>
          </w:tcPr>
          <w:p w:rsidR="002F658F" w:rsidRPr="00CC18AA" w:rsidRDefault="002F658F" w:rsidP="00CC18AA">
            <w:pPr>
              <w:spacing w:before="60" w:after="60"/>
              <w:jc w:val="left"/>
              <w:rPr>
                <w:rFonts w:cs="Arial"/>
                <w:bCs/>
                <w:color w:val="000000"/>
                <w:szCs w:val="20"/>
                <w:lang w:val="en-US" w:eastAsia="en-AU"/>
              </w:rPr>
            </w:pPr>
            <w:r w:rsidRPr="00CC18AA">
              <w:rPr>
                <w:rFonts w:cs="Arial"/>
                <w:bCs/>
                <w:color w:val="000000"/>
                <w:szCs w:val="20"/>
                <w:lang w:val="en-US" w:eastAsia="en-AU"/>
              </w:rPr>
              <w:t>GLTIM C1 S6</w:t>
            </w:r>
          </w:p>
        </w:tc>
        <w:tc>
          <w:tcPr>
            <w:tcW w:w="951" w:type="pct"/>
            <w:shd w:val="clear" w:color="auto" w:fill="F2DBDB"/>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Gwydir River</w:t>
            </w:r>
          </w:p>
        </w:tc>
        <w:tc>
          <w:tcPr>
            <w:tcW w:w="557" w:type="pct"/>
            <w:shd w:val="clear" w:color="auto" w:fill="F2DBDB"/>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LTIM CAT 1</w:t>
            </w:r>
          </w:p>
        </w:tc>
        <w:tc>
          <w:tcPr>
            <w:tcW w:w="481" w:type="pct"/>
            <w:shd w:val="clear" w:color="auto" w:fill="F2DBDB"/>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760985</w:t>
            </w:r>
          </w:p>
        </w:tc>
        <w:tc>
          <w:tcPr>
            <w:tcW w:w="524" w:type="pct"/>
            <w:shd w:val="clear" w:color="auto" w:fill="F2DBDB"/>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6742248</w:t>
            </w:r>
          </w:p>
        </w:tc>
        <w:tc>
          <w:tcPr>
            <w:tcW w:w="416" w:type="pct"/>
            <w:shd w:val="clear" w:color="auto" w:fill="F2DBDB"/>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198</w:t>
            </w:r>
          </w:p>
        </w:tc>
        <w:tc>
          <w:tcPr>
            <w:tcW w:w="409" w:type="pct"/>
            <w:shd w:val="clear" w:color="auto" w:fill="F2DBDB"/>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Lowland</w:t>
            </w:r>
          </w:p>
        </w:tc>
        <w:tc>
          <w:tcPr>
            <w:tcW w:w="804" w:type="pct"/>
            <w:shd w:val="clear" w:color="auto" w:fill="F2DBDB"/>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Not sampled</w:t>
            </w:r>
          </w:p>
        </w:tc>
      </w:tr>
      <w:tr w:rsidR="005F23F1" w:rsidRPr="00E23B8D" w:rsidTr="00CC18AA">
        <w:trPr>
          <w:trHeight w:hRule="exact" w:val="431"/>
        </w:trPr>
        <w:tc>
          <w:tcPr>
            <w:tcW w:w="858" w:type="pct"/>
            <w:shd w:val="clear" w:color="auto" w:fill="auto"/>
            <w:noWrap/>
            <w:vAlign w:val="center"/>
            <w:hideMark/>
          </w:tcPr>
          <w:p w:rsidR="002F658F" w:rsidRPr="00CC18AA" w:rsidRDefault="002F658F" w:rsidP="00CC18AA">
            <w:pPr>
              <w:spacing w:before="60" w:after="60"/>
              <w:jc w:val="left"/>
              <w:rPr>
                <w:rFonts w:cs="Arial"/>
                <w:bCs/>
                <w:color w:val="000000"/>
                <w:szCs w:val="20"/>
                <w:lang w:val="en-US" w:eastAsia="en-AU"/>
              </w:rPr>
            </w:pPr>
            <w:r w:rsidRPr="00CC18AA">
              <w:rPr>
                <w:rFonts w:cs="Arial"/>
                <w:bCs/>
                <w:color w:val="000000"/>
                <w:szCs w:val="20"/>
                <w:lang w:val="en-US" w:eastAsia="en-AU"/>
              </w:rPr>
              <w:t>Norwood</w:t>
            </w:r>
          </w:p>
        </w:tc>
        <w:tc>
          <w:tcPr>
            <w:tcW w:w="951"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Gwydir River</w:t>
            </w:r>
          </w:p>
        </w:tc>
        <w:tc>
          <w:tcPr>
            <w:tcW w:w="557"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LTIM CAT 1</w:t>
            </w:r>
          </w:p>
        </w:tc>
        <w:tc>
          <w:tcPr>
            <w:tcW w:w="481"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770114</w:t>
            </w:r>
          </w:p>
        </w:tc>
        <w:tc>
          <w:tcPr>
            <w:tcW w:w="524"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6740484</w:t>
            </w:r>
          </w:p>
        </w:tc>
        <w:tc>
          <w:tcPr>
            <w:tcW w:w="416"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201</w:t>
            </w:r>
          </w:p>
        </w:tc>
        <w:tc>
          <w:tcPr>
            <w:tcW w:w="409"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Slopes (L)</w:t>
            </w:r>
          </w:p>
        </w:tc>
        <w:tc>
          <w:tcPr>
            <w:tcW w:w="804"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Medium boat/backpack</w:t>
            </w:r>
          </w:p>
        </w:tc>
      </w:tr>
      <w:tr w:rsidR="005F23F1" w:rsidRPr="00E23B8D" w:rsidTr="00CC18AA">
        <w:trPr>
          <w:trHeight w:hRule="exact" w:val="431"/>
        </w:trPr>
        <w:tc>
          <w:tcPr>
            <w:tcW w:w="858" w:type="pct"/>
            <w:shd w:val="clear" w:color="auto" w:fill="auto"/>
            <w:noWrap/>
            <w:vAlign w:val="center"/>
            <w:hideMark/>
          </w:tcPr>
          <w:p w:rsidR="002F658F" w:rsidRPr="00CC18AA" w:rsidRDefault="002F658F" w:rsidP="00CC18AA">
            <w:pPr>
              <w:spacing w:before="60" w:after="60"/>
              <w:jc w:val="left"/>
              <w:rPr>
                <w:rFonts w:cs="Arial"/>
                <w:bCs/>
                <w:color w:val="000000"/>
                <w:szCs w:val="20"/>
                <w:lang w:val="en-US" w:eastAsia="en-AU"/>
              </w:rPr>
            </w:pPr>
            <w:r w:rsidRPr="00CC18AA">
              <w:rPr>
                <w:rFonts w:cs="Arial"/>
                <w:bCs/>
                <w:color w:val="000000"/>
                <w:szCs w:val="20"/>
                <w:lang w:val="en-US" w:eastAsia="en-AU"/>
              </w:rPr>
              <w:t>Redbank</w:t>
            </w:r>
          </w:p>
        </w:tc>
        <w:tc>
          <w:tcPr>
            <w:tcW w:w="951"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Gwydir River</w:t>
            </w:r>
          </w:p>
        </w:tc>
        <w:tc>
          <w:tcPr>
            <w:tcW w:w="557"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LTIM CAT 1</w:t>
            </w:r>
          </w:p>
        </w:tc>
        <w:tc>
          <w:tcPr>
            <w:tcW w:w="481"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791183</w:t>
            </w:r>
          </w:p>
        </w:tc>
        <w:tc>
          <w:tcPr>
            <w:tcW w:w="524"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6740528</w:t>
            </w:r>
          </w:p>
        </w:tc>
        <w:tc>
          <w:tcPr>
            <w:tcW w:w="416"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201</w:t>
            </w:r>
          </w:p>
        </w:tc>
        <w:tc>
          <w:tcPr>
            <w:tcW w:w="409"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Slopes (L)</w:t>
            </w:r>
          </w:p>
        </w:tc>
        <w:tc>
          <w:tcPr>
            <w:tcW w:w="804"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Small boat/backpack</w:t>
            </w:r>
          </w:p>
        </w:tc>
      </w:tr>
      <w:tr w:rsidR="005F23F1" w:rsidRPr="00E23B8D" w:rsidTr="00CC18AA">
        <w:trPr>
          <w:trHeight w:hRule="exact" w:val="431"/>
        </w:trPr>
        <w:tc>
          <w:tcPr>
            <w:tcW w:w="858" w:type="pct"/>
            <w:shd w:val="clear" w:color="auto" w:fill="auto"/>
            <w:noWrap/>
            <w:vAlign w:val="center"/>
          </w:tcPr>
          <w:p w:rsidR="002F658F" w:rsidRPr="00CC18AA" w:rsidRDefault="002F658F" w:rsidP="00CC18AA">
            <w:pPr>
              <w:spacing w:before="60" w:after="60"/>
              <w:jc w:val="left"/>
              <w:rPr>
                <w:rFonts w:cs="Arial"/>
                <w:bCs/>
                <w:color w:val="000000"/>
                <w:szCs w:val="20"/>
                <w:lang w:val="en-US" w:eastAsia="en-AU"/>
              </w:rPr>
            </w:pPr>
            <w:r w:rsidRPr="00CC18AA">
              <w:rPr>
                <w:rFonts w:cs="Arial"/>
                <w:bCs/>
                <w:color w:val="000000"/>
                <w:szCs w:val="20"/>
                <w:lang w:val="en-US" w:eastAsia="en-AU"/>
              </w:rPr>
              <w:t>GLTIM C1 S2</w:t>
            </w:r>
          </w:p>
        </w:tc>
        <w:tc>
          <w:tcPr>
            <w:tcW w:w="951" w:type="pct"/>
            <w:shd w:val="clear" w:color="auto" w:fill="auto"/>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Gwydir River</w:t>
            </w:r>
          </w:p>
        </w:tc>
        <w:tc>
          <w:tcPr>
            <w:tcW w:w="557" w:type="pct"/>
            <w:shd w:val="clear" w:color="auto" w:fill="auto"/>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LTIM CAT 1</w:t>
            </w:r>
          </w:p>
        </w:tc>
        <w:tc>
          <w:tcPr>
            <w:tcW w:w="481" w:type="pct"/>
            <w:shd w:val="clear" w:color="auto" w:fill="auto"/>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789907</w:t>
            </w:r>
          </w:p>
        </w:tc>
        <w:tc>
          <w:tcPr>
            <w:tcW w:w="524" w:type="pct"/>
            <w:shd w:val="clear" w:color="auto" w:fill="auto"/>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6741432</w:t>
            </w:r>
          </w:p>
        </w:tc>
        <w:tc>
          <w:tcPr>
            <w:tcW w:w="416" w:type="pct"/>
            <w:shd w:val="clear" w:color="auto" w:fill="auto"/>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219</w:t>
            </w:r>
          </w:p>
        </w:tc>
        <w:tc>
          <w:tcPr>
            <w:tcW w:w="409" w:type="pct"/>
            <w:shd w:val="clear" w:color="auto" w:fill="auto"/>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Slopes (L)</w:t>
            </w:r>
          </w:p>
        </w:tc>
        <w:tc>
          <w:tcPr>
            <w:tcW w:w="804" w:type="pct"/>
            <w:shd w:val="clear" w:color="auto" w:fill="auto"/>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Backpack</w:t>
            </w:r>
          </w:p>
        </w:tc>
      </w:tr>
      <w:tr w:rsidR="005F23F1" w:rsidRPr="00E23B8D" w:rsidTr="00CC18AA">
        <w:trPr>
          <w:trHeight w:hRule="exact" w:val="431"/>
        </w:trPr>
        <w:tc>
          <w:tcPr>
            <w:tcW w:w="858" w:type="pct"/>
            <w:shd w:val="clear" w:color="auto" w:fill="F2DBDB"/>
            <w:noWrap/>
            <w:vAlign w:val="center"/>
            <w:hideMark/>
          </w:tcPr>
          <w:p w:rsidR="002F658F" w:rsidRPr="00CC18AA" w:rsidRDefault="002F658F" w:rsidP="00CC18AA">
            <w:pPr>
              <w:spacing w:before="60" w:after="60"/>
              <w:jc w:val="left"/>
              <w:rPr>
                <w:rFonts w:cs="Arial"/>
                <w:bCs/>
                <w:color w:val="000000"/>
                <w:szCs w:val="20"/>
                <w:lang w:val="en-US" w:eastAsia="en-AU"/>
              </w:rPr>
            </w:pPr>
            <w:r w:rsidRPr="00CC18AA">
              <w:rPr>
                <w:rFonts w:cs="Arial"/>
                <w:bCs/>
                <w:color w:val="000000"/>
                <w:szCs w:val="20"/>
                <w:lang w:val="en-US" w:eastAsia="en-AU"/>
              </w:rPr>
              <w:t>Mehi 16</w:t>
            </w:r>
          </w:p>
        </w:tc>
        <w:tc>
          <w:tcPr>
            <w:tcW w:w="951" w:type="pct"/>
            <w:shd w:val="clear" w:color="auto" w:fill="F2DBDB"/>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Mehi River</w:t>
            </w:r>
          </w:p>
        </w:tc>
        <w:tc>
          <w:tcPr>
            <w:tcW w:w="557" w:type="pct"/>
            <w:shd w:val="clear" w:color="auto" w:fill="F2DBDB"/>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LTIM CAT 3</w:t>
            </w:r>
          </w:p>
        </w:tc>
        <w:tc>
          <w:tcPr>
            <w:tcW w:w="481" w:type="pct"/>
            <w:shd w:val="clear" w:color="auto" w:fill="F2DBDB"/>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731144</w:t>
            </w:r>
          </w:p>
        </w:tc>
        <w:tc>
          <w:tcPr>
            <w:tcW w:w="524" w:type="pct"/>
            <w:shd w:val="clear" w:color="auto" w:fill="F2DBDB"/>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6726485</w:t>
            </w:r>
          </w:p>
        </w:tc>
        <w:tc>
          <w:tcPr>
            <w:tcW w:w="416" w:type="pct"/>
            <w:shd w:val="clear" w:color="auto" w:fill="F2DBDB"/>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165</w:t>
            </w:r>
          </w:p>
        </w:tc>
        <w:tc>
          <w:tcPr>
            <w:tcW w:w="409" w:type="pct"/>
            <w:shd w:val="clear" w:color="auto" w:fill="F2DBDB"/>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Lowland</w:t>
            </w:r>
          </w:p>
        </w:tc>
        <w:tc>
          <w:tcPr>
            <w:tcW w:w="804" w:type="pct"/>
            <w:shd w:val="clear" w:color="auto" w:fill="F2DBDB"/>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Not sampled</w:t>
            </w:r>
          </w:p>
        </w:tc>
      </w:tr>
      <w:tr w:rsidR="005F23F1" w:rsidRPr="00E23B8D" w:rsidTr="00CC18AA">
        <w:trPr>
          <w:trHeight w:hRule="exact" w:val="431"/>
        </w:trPr>
        <w:tc>
          <w:tcPr>
            <w:tcW w:w="858" w:type="pct"/>
            <w:shd w:val="clear" w:color="auto" w:fill="auto"/>
            <w:noWrap/>
            <w:vAlign w:val="center"/>
            <w:hideMark/>
          </w:tcPr>
          <w:p w:rsidR="002F658F" w:rsidRPr="00CC18AA" w:rsidRDefault="002F658F" w:rsidP="00CC18AA">
            <w:pPr>
              <w:spacing w:before="60" w:after="60"/>
              <w:jc w:val="left"/>
              <w:rPr>
                <w:rFonts w:cs="Arial"/>
                <w:bCs/>
                <w:color w:val="000000"/>
                <w:szCs w:val="20"/>
                <w:lang w:val="en-US" w:eastAsia="en-AU"/>
              </w:rPr>
            </w:pPr>
            <w:r w:rsidRPr="00CC18AA">
              <w:rPr>
                <w:rFonts w:cs="Arial"/>
                <w:bCs/>
                <w:color w:val="000000"/>
                <w:szCs w:val="20"/>
                <w:lang w:val="en-US" w:eastAsia="en-AU"/>
              </w:rPr>
              <w:t>Mehi 49</w:t>
            </w:r>
          </w:p>
        </w:tc>
        <w:tc>
          <w:tcPr>
            <w:tcW w:w="951"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Mehi River</w:t>
            </w:r>
          </w:p>
        </w:tc>
        <w:tc>
          <w:tcPr>
            <w:tcW w:w="557"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LTIM CAT 3</w:t>
            </w:r>
          </w:p>
        </w:tc>
        <w:tc>
          <w:tcPr>
            <w:tcW w:w="481"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743061</w:t>
            </w:r>
          </w:p>
        </w:tc>
        <w:tc>
          <w:tcPr>
            <w:tcW w:w="524"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6726122</w:t>
            </w:r>
          </w:p>
        </w:tc>
        <w:tc>
          <w:tcPr>
            <w:tcW w:w="416"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185</w:t>
            </w:r>
          </w:p>
        </w:tc>
        <w:tc>
          <w:tcPr>
            <w:tcW w:w="409"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Lowland</w:t>
            </w:r>
          </w:p>
        </w:tc>
        <w:tc>
          <w:tcPr>
            <w:tcW w:w="804"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Backpack</w:t>
            </w:r>
          </w:p>
        </w:tc>
      </w:tr>
      <w:tr w:rsidR="005F23F1" w:rsidRPr="00E23B8D" w:rsidTr="00CC18AA">
        <w:trPr>
          <w:trHeight w:hRule="exact" w:val="431"/>
        </w:trPr>
        <w:tc>
          <w:tcPr>
            <w:tcW w:w="858" w:type="pct"/>
            <w:shd w:val="clear" w:color="auto" w:fill="auto"/>
            <w:noWrap/>
            <w:vAlign w:val="center"/>
            <w:hideMark/>
          </w:tcPr>
          <w:p w:rsidR="002F658F" w:rsidRPr="00CC18AA" w:rsidRDefault="002F658F" w:rsidP="00CC18AA">
            <w:pPr>
              <w:spacing w:before="60" w:after="60"/>
              <w:jc w:val="left"/>
              <w:rPr>
                <w:rFonts w:cs="Arial"/>
                <w:bCs/>
                <w:color w:val="000000"/>
                <w:szCs w:val="20"/>
                <w:lang w:val="en-US" w:eastAsia="en-AU"/>
              </w:rPr>
            </w:pPr>
            <w:r w:rsidRPr="00CC18AA">
              <w:rPr>
                <w:rFonts w:cs="Arial"/>
                <w:bCs/>
                <w:color w:val="000000"/>
                <w:szCs w:val="20"/>
                <w:lang w:val="en-US" w:eastAsia="en-AU"/>
              </w:rPr>
              <w:t>Mehi 82</w:t>
            </w:r>
          </w:p>
        </w:tc>
        <w:tc>
          <w:tcPr>
            <w:tcW w:w="951"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Mehi River</w:t>
            </w:r>
          </w:p>
        </w:tc>
        <w:tc>
          <w:tcPr>
            <w:tcW w:w="557"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LTIM CAT 3</w:t>
            </w:r>
          </w:p>
        </w:tc>
        <w:tc>
          <w:tcPr>
            <w:tcW w:w="481"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761024</w:t>
            </w:r>
          </w:p>
        </w:tc>
        <w:tc>
          <w:tcPr>
            <w:tcW w:w="524"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6731366</w:t>
            </w:r>
          </w:p>
        </w:tc>
        <w:tc>
          <w:tcPr>
            <w:tcW w:w="416"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184</w:t>
            </w:r>
          </w:p>
        </w:tc>
        <w:tc>
          <w:tcPr>
            <w:tcW w:w="409"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Lowland</w:t>
            </w:r>
          </w:p>
        </w:tc>
        <w:tc>
          <w:tcPr>
            <w:tcW w:w="804"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Small boat</w:t>
            </w:r>
          </w:p>
        </w:tc>
      </w:tr>
      <w:tr w:rsidR="005F23F1" w:rsidRPr="00E23B8D" w:rsidTr="00CC18AA">
        <w:trPr>
          <w:trHeight w:hRule="exact" w:val="431"/>
        </w:trPr>
        <w:tc>
          <w:tcPr>
            <w:tcW w:w="858" w:type="pct"/>
            <w:shd w:val="clear" w:color="auto" w:fill="auto"/>
            <w:noWrap/>
            <w:vAlign w:val="center"/>
          </w:tcPr>
          <w:p w:rsidR="002F658F" w:rsidRPr="00CC18AA" w:rsidRDefault="002F658F" w:rsidP="00CC18AA">
            <w:pPr>
              <w:spacing w:before="60" w:after="60"/>
              <w:jc w:val="left"/>
              <w:rPr>
                <w:rFonts w:cs="Arial"/>
                <w:bCs/>
                <w:color w:val="000000"/>
                <w:szCs w:val="20"/>
                <w:lang w:val="en-US" w:eastAsia="en-AU"/>
              </w:rPr>
            </w:pPr>
            <w:r w:rsidRPr="00CC18AA">
              <w:rPr>
                <w:rFonts w:cs="Arial"/>
                <w:bCs/>
                <w:color w:val="000000"/>
                <w:szCs w:val="20"/>
                <w:lang w:val="en-US" w:eastAsia="en-AU"/>
              </w:rPr>
              <w:t>Moree</w:t>
            </w:r>
          </w:p>
        </w:tc>
        <w:tc>
          <w:tcPr>
            <w:tcW w:w="951" w:type="pct"/>
            <w:shd w:val="clear" w:color="auto" w:fill="auto"/>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Mehi River</w:t>
            </w:r>
          </w:p>
        </w:tc>
        <w:tc>
          <w:tcPr>
            <w:tcW w:w="557" w:type="pct"/>
            <w:shd w:val="clear" w:color="auto" w:fill="auto"/>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MDBP</w:t>
            </w:r>
          </w:p>
        </w:tc>
        <w:tc>
          <w:tcPr>
            <w:tcW w:w="481" w:type="pct"/>
            <w:shd w:val="clear" w:color="auto" w:fill="auto"/>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781235</w:t>
            </w:r>
          </w:p>
        </w:tc>
        <w:tc>
          <w:tcPr>
            <w:tcW w:w="524" w:type="pct"/>
            <w:shd w:val="clear" w:color="auto" w:fill="auto"/>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6736439</w:t>
            </w:r>
          </w:p>
        </w:tc>
        <w:tc>
          <w:tcPr>
            <w:tcW w:w="416" w:type="pct"/>
            <w:shd w:val="clear" w:color="auto" w:fill="auto"/>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201</w:t>
            </w:r>
          </w:p>
        </w:tc>
        <w:tc>
          <w:tcPr>
            <w:tcW w:w="409" w:type="pct"/>
            <w:shd w:val="clear" w:color="auto" w:fill="auto"/>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Slopes (L)</w:t>
            </w:r>
          </w:p>
        </w:tc>
        <w:tc>
          <w:tcPr>
            <w:tcW w:w="804" w:type="pct"/>
            <w:shd w:val="clear" w:color="auto" w:fill="auto"/>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Small boat</w:t>
            </w:r>
          </w:p>
        </w:tc>
      </w:tr>
      <w:tr w:rsidR="005F23F1" w:rsidRPr="00E23B8D" w:rsidTr="00CC18AA">
        <w:trPr>
          <w:trHeight w:hRule="exact" w:val="431"/>
        </w:trPr>
        <w:tc>
          <w:tcPr>
            <w:tcW w:w="858" w:type="pct"/>
            <w:shd w:val="clear" w:color="auto" w:fill="auto"/>
            <w:noWrap/>
            <w:vAlign w:val="center"/>
            <w:hideMark/>
          </w:tcPr>
          <w:p w:rsidR="002F658F" w:rsidRPr="00CC18AA" w:rsidRDefault="002F658F" w:rsidP="00CC18AA">
            <w:pPr>
              <w:spacing w:before="60" w:after="60"/>
              <w:jc w:val="left"/>
              <w:rPr>
                <w:rFonts w:cs="Arial"/>
                <w:bCs/>
                <w:color w:val="000000"/>
                <w:szCs w:val="20"/>
                <w:lang w:val="en-US" w:eastAsia="en-AU"/>
              </w:rPr>
            </w:pPr>
            <w:r w:rsidRPr="00CC18AA">
              <w:rPr>
                <w:rFonts w:cs="Arial"/>
                <w:bCs/>
                <w:color w:val="000000"/>
                <w:szCs w:val="20"/>
                <w:lang w:val="en-US" w:eastAsia="en-AU"/>
              </w:rPr>
              <w:t>Mehi 126</w:t>
            </w:r>
          </w:p>
        </w:tc>
        <w:tc>
          <w:tcPr>
            <w:tcW w:w="951"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Mehi River</w:t>
            </w:r>
          </w:p>
        </w:tc>
        <w:tc>
          <w:tcPr>
            <w:tcW w:w="557"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LTIM CAT 3</w:t>
            </w:r>
          </w:p>
        </w:tc>
        <w:tc>
          <w:tcPr>
            <w:tcW w:w="481"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776309</w:t>
            </w:r>
          </w:p>
        </w:tc>
        <w:tc>
          <w:tcPr>
            <w:tcW w:w="524"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6737446</w:t>
            </w:r>
          </w:p>
        </w:tc>
        <w:tc>
          <w:tcPr>
            <w:tcW w:w="416"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206</w:t>
            </w:r>
          </w:p>
        </w:tc>
        <w:tc>
          <w:tcPr>
            <w:tcW w:w="409"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Slopes (L)</w:t>
            </w:r>
          </w:p>
        </w:tc>
        <w:tc>
          <w:tcPr>
            <w:tcW w:w="804"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Medium boat</w:t>
            </w:r>
          </w:p>
        </w:tc>
      </w:tr>
      <w:tr w:rsidR="005F23F1" w:rsidRPr="00E23B8D" w:rsidTr="00CC18AA">
        <w:trPr>
          <w:trHeight w:hRule="exact" w:val="431"/>
        </w:trPr>
        <w:tc>
          <w:tcPr>
            <w:tcW w:w="858" w:type="pct"/>
            <w:shd w:val="clear" w:color="auto" w:fill="auto"/>
            <w:noWrap/>
            <w:vAlign w:val="center"/>
            <w:hideMark/>
          </w:tcPr>
          <w:p w:rsidR="002F658F" w:rsidRPr="00CC18AA" w:rsidRDefault="002F658F" w:rsidP="00CC18AA">
            <w:pPr>
              <w:spacing w:before="60" w:after="60"/>
              <w:jc w:val="left"/>
              <w:rPr>
                <w:rFonts w:cs="Arial"/>
                <w:bCs/>
                <w:color w:val="000000"/>
                <w:szCs w:val="20"/>
                <w:lang w:val="en-US" w:eastAsia="en-AU"/>
              </w:rPr>
            </w:pPr>
            <w:r w:rsidRPr="00CC18AA">
              <w:rPr>
                <w:rFonts w:cs="Arial"/>
                <w:bCs/>
                <w:color w:val="000000"/>
                <w:szCs w:val="20"/>
                <w:lang w:val="en-US" w:eastAsia="en-AU"/>
              </w:rPr>
              <w:t>Chinook</w:t>
            </w:r>
          </w:p>
        </w:tc>
        <w:tc>
          <w:tcPr>
            <w:tcW w:w="951"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Mehi River</w:t>
            </w:r>
          </w:p>
        </w:tc>
        <w:tc>
          <w:tcPr>
            <w:tcW w:w="557"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LTIM CAT 3</w:t>
            </w:r>
          </w:p>
        </w:tc>
        <w:tc>
          <w:tcPr>
            <w:tcW w:w="481"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788703</w:t>
            </w:r>
          </w:p>
        </w:tc>
        <w:tc>
          <w:tcPr>
            <w:tcW w:w="524"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6735632</w:t>
            </w:r>
          </w:p>
        </w:tc>
        <w:tc>
          <w:tcPr>
            <w:tcW w:w="416"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217</w:t>
            </w:r>
          </w:p>
        </w:tc>
        <w:tc>
          <w:tcPr>
            <w:tcW w:w="409"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Slopes (L)</w:t>
            </w:r>
          </w:p>
        </w:tc>
        <w:tc>
          <w:tcPr>
            <w:tcW w:w="804"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Small boat</w:t>
            </w:r>
          </w:p>
        </w:tc>
      </w:tr>
      <w:tr w:rsidR="005F23F1" w:rsidRPr="00E23B8D" w:rsidTr="00CC18AA">
        <w:trPr>
          <w:trHeight w:hRule="exact" w:val="431"/>
        </w:trPr>
        <w:tc>
          <w:tcPr>
            <w:tcW w:w="858" w:type="pct"/>
            <w:shd w:val="clear" w:color="auto" w:fill="auto"/>
            <w:noWrap/>
            <w:vAlign w:val="center"/>
            <w:hideMark/>
          </w:tcPr>
          <w:p w:rsidR="002F658F" w:rsidRPr="00CC18AA" w:rsidRDefault="002F658F" w:rsidP="00CC18AA">
            <w:pPr>
              <w:spacing w:before="60" w:after="60"/>
              <w:jc w:val="left"/>
              <w:rPr>
                <w:rFonts w:cs="Arial"/>
                <w:bCs/>
                <w:color w:val="000000"/>
                <w:szCs w:val="20"/>
                <w:lang w:val="en-US" w:eastAsia="en-AU"/>
              </w:rPr>
            </w:pPr>
            <w:r w:rsidRPr="00CC18AA">
              <w:rPr>
                <w:rFonts w:cs="Arial"/>
                <w:bCs/>
                <w:color w:val="000000"/>
                <w:szCs w:val="20"/>
                <w:lang w:val="en-US" w:eastAsia="en-AU"/>
              </w:rPr>
              <w:t>Moomin 45</w:t>
            </w:r>
          </w:p>
        </w:tc>
        <w:tc>
          <w:tcPr>
            <w:tcW w:w="951"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Moomin Creek</w:t>
            </w:r>
          </w:p>
        </w:tc>
        <w:tc>
          <w:tcPr>
            <w:tcW w:w="557"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LTIM CAT 3</w:t>
            </w:r>
          </w:p>
        </w:tc>
        <w:tc>
          <w:tcPr>
            <w:tcW w:w="481"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710373</w:t>
            </w:r>
          </w:p>
        </w:tc>
        <w:tc>
          <w:tcPr>
            <w:tcW w:w="524"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6714696</w:t>
            </w:r>
          </w:p>
        </w:tc>
        <w:tc>
          <w:tcPr>
            <w:tcW w:w="416"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155</w:t>
            </w:r>
          </w:p>
        </w:tc>
        <w:tc>
          <w:tcPr>
            <w:tcW w:w="409"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Lowland</w:t>
            </w:r>
          </w:p>
        </w:tc>
        <w:tc>
          <w:tcPr>
            <w:tcW w:w="804"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Backpack</w:t>
            </w:r>
          </w:p>
        </w:tc>
      </w:tr>
      <w:tr w:rsidR="005F23F1" w:rsidRPr="00E23B8D" w:rsidTr="00CC18AA">
        <w:trPr>
          <w:trHeight w:hRule="exact" w:val="431"/>
        </w:trPr>
        <w:tc>
          <w:tcPr>
            <w:tcW w:w="858" w:type="pct"/>
            <w:shd w:val="clear" w:color="auto" w:fill="F2DBDB"/>
            <w:noWrap/>
            <w:vAlign w:val="center"/>
            <w:hideMark/>
          </w:tcPr>
          <w:p w:rsidR="002F658F" w:rsidRPr="00CC18AA" w:rsidRDefault="002F658F" w:rsidP="00CC18AA">
            <w:pPr>
              <w:spacing w:before="60" w:after="60"/>
              <w:jc w:val="left"/>
              <w:rPr>
                <w:rFonts w:cs="Arial"/>
                <w:bCs/>
                <w:color w:val="000000"/>
                <w:szCs w:val="20"/>
                <w:lang w:val="en-US" w:eastAsia="en-AU"/>
              </w:rPr>
            </w:pPr>
            <w:r w:rsidRPr="00CC18AA">
              <w:rPr>
                <w:rFonts w:cs="Arial"/>
                <w:bCs/>
                <w:color w:val="000000"/>
                <w:szCs w:val="20"/>
                <w:lang w:val="en-US" w:eastAsia="en-AU"/>
              </w:rPr>
              <w:t>Wirrallah</w:t>
            </w:r>
          </w:p>
        </w:tc>
        <w:tc>
          <w:tcPr>
            <w:tcW w:w="951" w:type="pct"/>
            <w:shd w:val="clear" w:color="auto" w:fill="F2DBDB"/>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Moomin Creek</w:t>
            </w:r>
          </w:p>
        </w:tc>
        <w:tc>
          <w:tcPr>
            <w:tcW w:w="557" w:type="pct"/>
            <w:shd w:val="clear" w:color="auto" w:fill="F2DBDB"/>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LTIM CAT 3</w:t>
            </w:r>
          </w:p>
        </w:tc>
        <w:tc>
          <w:tcPr>
            <w:tcW w:w="481" w:type="pct"/>
            <w:shd w:val="clear" w:color="auto" w:fill="F2DBDB"/>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712963</w:t>
            </w:r>
          </w:p>
        </w:tc>
        <w:tc>
          <w:tcPr>
            <w:tcW w:w="524" w:type="pct"/>
            <w:shd w:val="clear" w:color="auto" w:fill="F2DBDB"/>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6711129</w:t>
            </w:r>
          </w:p>
        </w:tc>
        <w:tc>
          <w:tcPr>
            <w:tcW w:w="416" w:type="pct"/>
            <w:shd w:val="clear" w:color="auto" w:fill="F2DBDB"/>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160</w:t>
            </w:r>
          </w:p>
        </w:tc>
        <w:tc>
          <w:tcPr>
            <w:tcW w:w="409" w:type="pct"/>
            <w:shd w:val="clear" w:color="auto" w:fill="F2DBDB"/>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Lowland</w:t>
            </w:r>
          </w:p>
        </w:tc>
        <w:tc>
          <w:tcPr>
            <w:tcW w:w="804" w:type="pct"/>
            <w:shd w:val="clear" w:color="auto" w:fill="F2DBDB"/>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Not sampled</w:t>
            </w:r>
          </w:p>
        </w:tc>
      </w:tr>
      <w:tr w:rsidR="005F23F1" w:rsidRPr="00E23B8D" w:rsidTr="00CC18AA">
        <w:trPr>
          <w:trHeight w:hRule="exact" w:val="431"/>
        </w:trPr>
        <w:tc>
          <w:tcPr>
            <w:tcW w:w="858" w:type="pct"/>
            <w:shd w:val="clear" w:color="auto" w:fill="auto"/>
            <w:noWrap/>
            <w:vAlign w:val="center"/>
          </w:tcPr>
          <w:p w:rsidR="002F658F" w:rsidRPr="00CC18AA" w:rsidRDefault="002F658F" w:rsidP="00CC18AA">
            <w:pPr>
              <w:spacing w:before="60" w:after="60"/>
              <w:jc w:val="left"/>
              <w:rPr>
                <w:rFonts w:cs="Arial"/>
                <w:bCs/>
                <w:color w:val="000000"/>
                <w:szCs w:val="20"/>
                <w:lang w:val="en-US" w:eastAsia="en-AU"/>
              </w:rPr>
            </w:pPr>
            <w:r w:rsidRPr="00CC18AA">
              <w:rPr>
                <w:rFonts w:cs="Arial"/>
                <w:bCs/>
                <w:color w:val="000000"/>
                <w:szCs w:val="20"/>
                <w:lang w:val="en-US" w:eastAsia="en-AU"/>
              </w:rPr>
              <w:t>Heathfield</w:t>
            </w:r>
          </w:p>
        </w:tc>
        <w:tc>
          <w:tcPr>
            <w:tcW w:w="951" w:type="pct"/>
            <w:shd w:val="clear" w:color="auto" w:fill="auto"/>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Moomin Creek</w:t>
            </w:r>
          </w:p>
        </w:tc>
        <w:tc>
          <w:tcPr>
            <w:tcW w:w="557" w:type="pct"/>
            <w:shd w:val="clear" w:color="auto" w:fill="auto"/>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MDBP</w:t>
            </w:r>
          </w:p>
        </w:tc>
        <w:tc>
          <w:tcPr>
            <w:tcW w:w="481" w:type="pct"/>
            <w:shd w:val="clear" w:color="auto" w:fill="auto"/>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721360</w:t>
            </w:r>
          </w:p>
        </w:tc>
        <w:tc>
          <w:tcPr>
            <w:tcW w:w="524" w:type="pct"/>
            <w:shd w:val="clear" w:color="auto" w:fill="auto"/>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6709590</w:t>
            </w:r>
          </w:p>
        </w:tc>
        <w:tc>
          <w:tcPr>
            <w:tcW w:w="416" w:type="pct"/>
            <w:shd w:val="clear" w:color="auto" w:fill="auto"/>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163</w:t>
            </w:r>
          </w:p>
        </w:tc>
        <w:tc>
          <w:tcPr>
            <w:tcW w:w="409" w:type="pct"/>
            <w:shd w:val="clear" w:color="auto" w:fill="auto"/>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Lowland</w:t>
            </w:r>
          </w:p>
        </w:tc>
        <w:tc>
          <w:tcPr>
            <w:tcW w:w="804" w:type="pct"/>
            <w:shd w:val="clear" w:color="auto" w:fill="auto"/>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Backpack</w:t>
            </w:r>
          </w:p>
        </w:tc>
      </w:tr>
      <w:tr w:rsidR="005F23F1" w:rsidRPr="00E23B8D" w:rsidTr="00CC18AA">
        <w:trPr>
          <w:trHeight w:hRule="exact" w:val="431"/>
        </w:trPr>
        <w:tc>
          <w:tcPr>
            <w:tcW w:w="858" w:type="pct"/>
            <w:shd w:val="clear" w:color="auto" w:fill="auto"/>
            <w:noWrap/>
            <w:vAlign w:val="center"/>
            <w:hideMark/>
          </w:tcPr>
          <w:p w:rsidR="002F658F" w:rsidRPr="00CC18AA" w:rsidRDefault="002F658F" w:rsidP="00CC18AA">
            <w:pPr>
              <w:spacing w:before="60" w:after="60"/>
              <w:jc w:val="left"/>
              <w:rPr>
                <w:rFonts w:cs="Arial"/>
                <w:bCs/>
                <w:color w:val="000000"/>
                <w:szCs w:val="20"/>
                <w:lang w:val="en-US" w:eastAsia="en-AU"/>
              </w:rPr>
            </w:pPr>
            <w:r w:rsidRPr="00CC18AA">
              <w:rPr>
                <w:rFonts w:cs="Arial"/>
                <w:bCs/>
                <w:color w:val="000000"/>
                <w:szCs w:val="20"/>
                <w:lang w:val="en-US" w:eastAsia="en-AU"/>
              </w:rPr>
              <w:t>Kiri</w:t>
            </w:r>
          </w:p>
        </w:tc>
        <w:tc>
          <w:tcPr>
            <w:tcW w:w="951"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Moomin Creek</w:t>
            </w:r>
          </w:p>
        </w:tc>
        <w:tc>
          <w:tcPr>
            <w:tcW w:w="557"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LTIM CAT 3</w:t>
            </w:r>
          </w:p>
        </w:tc>
        <w:tc>
          <w:tcPr>
            <w:tcW w:w="481"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735879</w:t>
            </w:r>
          </w:p>
        </w:tc>
        <w:tc>
          <w:tcPr>
            <w:tcW w:w="524"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6708851</w:t>
            </w:r>
          </w:p>
        </w:tc>
        <w:tc>
          <w:tcPr>
            <w:tcW w:w="416"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178</w:t>
            </w:r>
          </w:p>
        </w:tc>
        <w:tc>
          <w:tcPr>
            <w:tcW w:w="409"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Lowland</w:t>
            </w:r>
          </w:p>
        </w:tc>
        <w:tc>
          <w:tcPr>
            <w:tcW w:w="804"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Backpack</w:t>
            </w:r>
          </w:p>
        </w:tc>
      </w:tr>
      <w:tr w:rsidR="005F23F1" w:rsidRPr="00E23B8D" w:rsidTr="00CC18AA">
        <w:trPr>
          <w:trHeight w:hRule="exact" w:val="431"/>
        </w:trPr>
        <w:tc>
          <w:tcPr>
            <w:tcW w:w="858" w:type="pct"/>
            <w:shd w:val="clear" w:color="auto" w:fill="auto"/>
            <w:noWrap/>
            <w:vAlign w:val="center"/>
            <w:hideMark/>
          </w:tcPr>
          <w:p w:rsidR="002F658F" w:rsidRPr="00CC18AA" w:rsidRDefault="002F658F" w:rsidP="00CC18AA">
            <w:pPr>
              <w:spacing w:before="60" w:after="60"/>
              <w:jc w:val="left"/>
              <w:rPr>
                <w:rFonts w:cs="Arial"/>
                <w:bCs/>
                <w:color w:val="000000"/>
                <w:szCs w:val="20"/>
                <w:lang w:val="en-US" w:eastAsia="en-AU"/>
              </w:rPr>
            </w:pPr>
            <w:r w:rsidRPr="00CC18AA">
              <w:rPr>
                <w:rFonts w:cs="Arial"/>
                <w:bCs/>
                <w:color w:val="000000"/>
                <w:szCs w:val="20"/>
                <w:lang w:val="en-US" w:eastAsia="en-AU"/>
              </w:rPr>
              <w:t>Courallie</w:t>
            </w:r>
          </w:p>
        </w:tc>
        <w:tc>
          <w:tcPr>
            <w:tcW w:w="951"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Moomin Creek</w:t>
            </w:r>
          </w:p>
        </w:tc>
        <w:tc>
          <w:tcPr>
            <w:tcW w:w="557"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MDBP</w:t>
            </w:r>
          </w:p>
        </w:tc>
        <w:tc>
          <w:tcPr>
            <w:tcW w:w="481"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751908</w:t>
            </w:r>
          </w:p>
        </w:tc>
        <w:tc>
          <w:tcPr>
            <w:tcW w:w="524"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6721288</w:t>
            </w:r>
          </w:p>
        </w:tc>
        <w:tc>
          <w:tcPr>
            <w:tcW w:w="416"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178</w:t>
            </w:r>
          </w:p>
        </w:tc>
        <w:tc>
          <w:tcPr>
            <w:tcW w:w="409"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Lowland</w:t>
            </w:r>
          </w:p>
        </w:tc>
        <w:tc>
          <w:tcPr>
            <w:tcW w:w="804" w:type="pct"/>
            <w:shd w:val="clear" w:color="auto" w:fill="auto"/>
            <w:noWrap/>
            <w:vAlign w:val="center"/>
            <w:hideMark/>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Small boat/backpack</w:t>
            </w:r>
          </w:p>
        </w:tc>
      </w:tr>
      <w:tr w:rsidR="005F23F1" w:rsidRPr="00E23B8D" w:rsidTr="00CC18AA">
        <w:trPr>
          <w:trHeight w:hRule="exact" w:val="431"/>
        </w:trPr>
        <w:tc>
          <w:tcPr>
            <w:tcW w:w="858" w:type="pct"/>
            <w:shd w:val="clear" w:color="auto" w:fill="F2DBDB"/>
            <w:noWrap/>
            <w:vAlign w:val="center"/>
          </w:tcPr>
          <w:p w:rsidR="002F658F" w:rsidRPr="00CC18AA" w:rsidRDefault="002F658F" w:rsidP="00CC18AA">
            <w:pPr>
              <w:spacing w:before="60" w:after="60"/>
              <w:jc w:val="left"/>
              <w:rPr>
                <w:rFonts w:cs="Arial"/>
                <w:bCs/>
                <w:color w:val="000000"/>
                <w:szCs w:val="20"/>
                <w:lang w:val="en-US" w:eastAsia="en-AU"/>
              </w:rPr>
            </w:pPr>
            <w:r w:rsidRPr="00CC18AA">
              <w:rPr>
                <w:rFonts w:cs="Arial"/>
                <w:bCs/>
                <w:color w:val="000000"/>
                <w:szCs w:val="20"/>
                <w:lang w:val="en-US" w:eastAsia="en-AU"/>
              </w:rPr>
              <w:t>Moomin 100</w:t>
            </w:r>
          </w:p>
        </w:tc>
        <w:tc>
          <w:tcPr>
            <w:tcW w:w="951" w:type="pct"/>
            <w:shd w:val="clear" w:color="auto" w:fill="F2DBDB"/>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Moomin Creek</w:t>
            </w:r>
          </w:p>
        </w:tc>
        <w:tc>
          <w:tcPr>
            <w:tcW w:w="557" w:type="pct"/>
            <w:shd w:val="clear" w:color="auto" w:fill="F2DBDB"/>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LTIM CAT 3</w:t>
            </w:r>
          </w:p>
        </w:tc>
        <w:tc>
          <w:tcPr>
            <w:tcW w:w="481" w:type="pct"/>
            <w:shd w:val="clear" w:color="auto" w:fill="F2DBDB"/>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748885</w:t>
            </w:r>
          </w:p>
        </w:tc>
        <w:tc>
          <w:tcPr>
            <w:tcW w:w="524" w:type="pct"/>
            <w:shd w:val="clear" w:color="auto" w:fill="F2DBDB"/>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6717676</w:t>
            </w:r>
          </w:p>
        </w:tc>
        <w:tc>
          <w:tcPr>
            <w:tcW w:w="416" w:type="pct"/>
            <w:shd w:val="clear" w:color="auto" w:fill="F2DBDB"/>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184</w:t>
            </w:r>
          </w:p>
        </w:tc>
        <w:tc>
          <w:tcPr>
            <w:tcW w:w="409" w:type="pct"/>
            <w:shd w:val="clear" w:color="auto" w:fill="F2DBDB"/>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Lowland</w:t>
            </w:r>
          </w:p>
        </w:tc>
        <w:tc>
          <w:tcPr>
            <w:tcW w:w="804" w:type="pct"/>
            <w:shd w:val="clear" w:color="auto" w:fill="F2DBDB"/>
            <w:noWrap/>
            <w:vAlign w:val="center"/>
          </w:tcPr>
          <w:p w:rsidR="002F658F" w:rsidRPr="00CC18AA" w:rsidRDefault="002F658F" w:rsidP="00CC18AA">
            <w:pPr>
              <w:spacing w:before="60" w:after="60"/>
              <w:jc w:val="left"/>
              <w:rPr>
                <w:rFonts w:cs="Arial"/>
                <w:color w:val="000000"/>
                <w:szCs w:val="20"/>
                <w:lang w:val="en-US" w:eastAsia="en-AU"/>
              </w:rPr>
            </w:pPr>
            <w:r w:rsidRPr="00CC18AA">
              <w:rPr>
                <w:rFonts w:cs="Arial"/>
                <w:color w:val="000000"/>
                <w:szCs w:val="20"/>
                <w:lang w:val="en-US" w:eastAsia="en-AU"/>
              </w:rPr>
              <w:t>Not sampled</w:t>
            </w:r>
          </w:p>
        </w:tc>
      </w:tr>
    </w:tbl>
    <w:p w:rsidR="00423C6C" w:rsidRPr="00423C6C" w:rsidRDefault="00423C6C" w:rsidP="00423C6C">
      <w:pPr>
        <w:sectPr w:rsidR="00423C6C" w:rsidRPr="00423C6C" w:rsidSect="00311741">
          <w:headerReference w:type="default" r:id="rId169"/>
          <w:footerReference w:type="default" r:id="rId170"/>
          <w:type w:val="nextColumn"/>
          <w:pgSz w:w="16838" w:h="11899" w:orient="landscape"/>
          <w:pgMar w:top="1276" w:right="1219" w:bottom="1134" w:left="1480" w:header="811" w:footer="305" w:gutter="0"/>
          <w:pgNumType w:chapStyle="6"/>
          <w:cols w:space="708"/>
          <w:docGrid w:linePitch="360"/>
        </w:sectPr>
      </w:pPr>
    </w:p>
    <w:p w:rsidR="005B248D" w:rsidRDefault="004176FF" w:rsidP="005B248D">
      <w:pPr>
        <w:keepNext/>
        <w:spacing w:line="240" w:lineRule="auto"/>
      </w:pPr>
      <w:r w:rsidRPr="008F5E11">
        <w:rPr>
          <w:noProof/>
          <w:lang w:eastAsia="en-AU"/>
        </w:rPr>
        <w:drawing>
          <wp:inline distT="0" distB="0" distL="0" distR="0">
            <wp:extent cx="5829300" cy="4362450"/>
            <wp:effectExtent l="0" t="0" r="0" b="0"/>
            <wp:docPr id="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1">
                      <a:extLst>
                        <a:ext uri="{28A0092B-C50C-407E-A947-70E740481C1C}">
                          <a14:useLocalDpi xmlns:a14="http://schemas.microsoft.com/office/drawing/2010/main"/>
                        </a:ext>
                      </a:extLst>
                    </a:blip>
                    <a:srcRect/>
                    <a:stretch>
                      <a:fillRect/>
                    </a:stretch>
                  </pic:blipFill>
                  <pic:spPr bwMode="auto">
                    <a:xfrm>
                      <a:off x="0" y="0"/>
                      <a:ext cx="5829300" cy="4362450"/>
                    </a:xfrm>
                    <a:prstGeom prst="rect">
                      <a:avLst/>
                    </a:prstGeom>
                    <a:noFill/>
                    <a:ln>
                      <a:noFill/>
                    </a:ln>
                  </pic:spPr>
                </pic:pic>
              </a:graphicData>
            </a:graphic>
          </wp:inline>
        </w:drawing>
      </w:r>
    </w:p>
    <w:p w:rsidR="005B248D" w:rsidRDefault="005B248D" w:rsidP="005B248D">
      <w:pPr>
        <w:pStyle w:val="Caption"/>
        <w:spacing w:after="360"/>
      </w:pPr>
      <w:bookmarkStart w:id="141" w:name="_Ref459890308"/>
      <w:r>
        <w:t xml:space="preserve">Figure </w:t>
      </w:r>
      <w:fldSimple w:instr=" STYLEREF 6 \s ">
        <w:r w:rsidR="00673DAF">
          <w:rPr>
            <w:noProof/>
          </w:rPr>
          <w:t>I</w:t>
        </w:r>
      </w:fldSimple>
      <w:r w:rsidR="00673DAF">
        <w:noBreakHyphen/>
      </w:r>
      <w:fldSimple w:instr=" SEQ Figure \* ARABIC \s 6 ">
        <w:r w:rsidR="00673DAF">
          <w:rPr>
            <w:noProof/>
          </w:rPr>
          <w:t>2</w:t>
        </w:r>
      </w:fldSimple>
      <w:bookmarkEnd w:id="141"/>
      <w:r>
        <w:t xml:space="preserve"> </w:t>
      </w:r>
      <w:r w:rsidRPr="00A91CD2">
        <w:t xml:space="preserve">Examples of sites sampled across the lower Gwydir </w:t>
      </w:r>
      <w:r>
        <w:t>Catchment</w:t>
      </w:r>
      <w:r w:rsidRPr="00A91CD2">
        <w:t xml:space="preserve">: </w:t>
      </w:r>
      <w:r>
        <w:t>(a) GLTIM S2 Gwydir River</w:t>
      </w:r>
      <w:r w:rsidRPr="00A91CD2">
        <w:t xml:space="preserve">; </w:t>
      </w:r>
      <w:r>
        <w:t>(b) Chinook Gwydir River</w:t>
      </w:r>
      <w:r w:rsidRPr="00A91CD2">
        <w:t xml:space="preserve">; </w:t>
      </w:r>
      <w:r>
        <w:t xml:space="preserve">(c) </w:t>
      </w:r>
      <w:r w:rsidRPr="00A91CD2">
        <w:t xml:space="preserve">GLTIM S6 Gwydir River (c); and </w:t>
      </w:r>
      <w:r>
        <w:t xml:space="preserve">(d) </w:t>
      </w:r>
      <w:r w:rsidRPr="00A91CD2">
        <w:t>Wirrallah M</w:t>
      </w:r>
      <w:r>
        <w:t>oomin Creek</w:t>
      </w:r>
      <w:r w:rsidRPr="00A91CD2">
        <w:t>.</w:t>
      </w:r>
    </w:p>
    <w:p w:rsidR="00423C6C" w:rsidRDefault="00423C6C" w:rsidP="00DA6C28">
      <w:pPr>
        <w:pStyle w:val="Heading8"/>
      </w:pPr>
      <w:r>
        <w:t>Sampling protocols</w:t>
      </w:r>
    </w:p>
    <w:p w:rsidR="00433ED5" w:rsidRDefault="00433ED5" w:rsidP="00E23B8D">
      <w:pPr>
        <w:rPr>
          <w:szCs w:val="22"/>
          <w:lang w:eastAsia="en-AU"/>
        </w:rPr>
      </w:pPr>
      <w:r>
        <w:t>Sampling</w:t>
      </w:r>
      <w:r w:rsidRPr="000D0043">
        <w:t xml:space="preserve"> effort at </w:t>
      </w:r>
      <w:r>
        <w:t xml:space="preserve">each </w:t>
      </w:r>
      <w:r w:rsidRPr="000D0043">
        <w:t xml:space="preserve">site </w:t>
      </w:r>
      <w:r>
        <w:t>was</w:t>
      </w:r>
      <w:r w:rsidRPr="000D0043">
        <w:t xml:space="preserve"> </w:t>
      </w:r>
      <w:r>
        <w:t xml:space="preserve">a combination of </w:t>
      </w:r>
      <w:r w:rsidRPr="000D0043">
        <w:t xml:space="preserve">electrofishing and </w:t>
      </w:r>
      <w:r>
        <w:t xml:space="preserve">bait trapping </w:t>
      </w:r>
      <w:r w:rsidR="00A97349">
        <w:t>(Commonwealth of Australia 2014;</w:t>
      </w:r>
      <w:r>
        <w:t xml:space="preserve"> Hale </w:t>
      </w:r>
      <w:r w:rsidRPr="00213ED1">
        <w:rPr>
          <w:i/>
        </w:rPr>
        <w:t>et al</w:t>
      </w:r>
      <w:r>
        <w:rPr>
          <w:i/>
        </w:rPr>
        <w:t>.</w:t>
      </w:r>
      <w:r w:rsidR="00561C43">
        <w:t xml:space="preserve"> </w:t>
      </w:r>
      <w:r>
        <w:t xml:space="preserve">2014). </w:t>
      </w:r>
      <w:r w:rsidR="00A97349">
        <w:t xml:space="preserve"> </w:t>
      </w:r>
      <w:r>
        <w:rPr>
          <w:szCs w:val="22"/>
          <w:lang w:eastAsia="en-AU"/>
        </w:rPr>
        <w:t xml:space="preserve">Electrofishing included small and medium </w:t>
      </w:r>
      <w:r w:rsidRPr="0089692B">
        <w:rPr>
          <w:szCs w:val="22"/>
          <w:lang w:eastAsia="en-AU"/>
        </w:rPr>
        <w:t>boat</w:t>
      </w:r>
      <w:r>
        <w:rPr>
          <w:szCs w:val="22"/>
          <w:lang w:eastAsia="en-AU"/>
        </w:rPr>
        <w:t xml:space="preserve">s </w:t>
      </w:r>
      <w:r w:rsidRPr="0089692B">
        <w:rPr>
          <w:szCs w:val="22"/>
          <w:lang w:eastAsia="en-AU"/>
        </w:rPr>
        <w:t xml:space="preserve">(3.5 kW </w:t>
      </w:r>
      <w:r>
        <w:rPr>
          <w:szCs w:val="22"/>
          <w:lang w:eastAsia="en-AU"/>
        </w:rPr>
        <w:t xml:space="preserve">or 5 kW </w:t>
      </w:r>
      <w:r w:rsidRPr="0089692B">
        <w:rPr>
          <w:szCs w:val="22"/>
          <w:lang w:eastAsia="en-AU"/>
        </w:rPr>
        <w:t>Smith-Root electrofisher</w:t>
      </w:r>
      <w:r>
        <w:rPr>
          <w:szCs w:val="22"/>
          <w:lang w:eastAsia="en-AU"/>
        </w:rPr>
        <w:t xml:space="preserve"> unit respectively</w:t>
      </w:r>
      <w:r w:rsidRPr="0089692B">
        <w:rPr>
          <w:szCs w:val="22"/>
          <w:lang w:eastAsia="en-AU"/>
        </w:rPr>
        <w:t xml:space="preserve">), backpack (Smith Root model LR20) or a combination of </w:t>
      </w:r>
      <w:r>
        <w:rPr>
          <w:szCs w:val="22"/>
          <w:lang w:eastAsia="en-AU"/>
        </w:rPr>
        <w:t>boat and backpack</w:t>
      </w:r>
      <w:r w:rsidRPr="0089692B">
        <w:rPr>
          <w:szCs w:val="22"/>
          <w:lang w:eastAsia="en-AU"/>
        </w:rPr>
        <w:t>.</w:t>
      </w:r>
      <w:r>
        <w:rPr>
          <w:szCs w:val="22"/>
          <w:lang w:eastAsia="en-AU"/>
        </w:rPr>
        <w:t xml:space="preserve">  B</w:t>
      </w:r>
      <w:r w:rsidRPr="0089692B">
        <w:rPr>
          <w:szCs w:val="22"/>
          <w:lang w:eastAsia="en-AU"/>
        </w:rPr>
        <w:t>oat electrofishing</w:t>
      </w:r>
      <w:r>
        <w:rPr>
          <w:szCs w:val="22"/>
          <w:lang w:eastAsia="en-AU"/>
        </w:rPr>
        <w:t xml:space="preserve"> consisted of</w:t>
      </w:r>
      <w:r w:rsidRPr="0089692B">
        <w:rPr>
          <w:szCs w:val="22"/>
          <w:lang w:eastAsia="en-AU"/>
        </w:rPr>
        <w:t xml:space="preserve"> 12 x 90 sec power-on </w:t>
      </w:r>
      <w:r>
        <w:rPr>
          <w:szCs w:val="22"/>
          <w:lang w:eastAsia="en-AU"/>
        </w:rPr>
        <w:t>operations per site</w:t>
      </w:r>
      <w:r w:rsidRPr="0089692B">
        <w:rPr>
          <w:szCs w:val="22"/>
          <w:lang w:eastAsia="en-AU"/>
        </w:rPr>
        <w:t>, while backpack electrofishing consisted of</w:t>
      </w:r>
      <w:r>
        <w:rPr>
          <w:szCs w:val="22"/>
          <w:lang w:eastAsia="en-AU"/>
        </w:rPr>
        <w:t xml:space="preserve"> 8 x 150 sec</w:t>
      </w:r>
      <w:r w:rsidRPr="0089692B">
        <w:rPr>
          <w:szCs w:val="22"/>
          <w:lang w:eastAsia="en-AU"/>
        </w:rPr>
        <w:t xml:space="preserve"> </w:t>
      </w:r>
      <w:r>
        <w:rPr>
          <w:szCs w:val="22"/>
          <w:lang w:eastAsia="en-AU"/>
        </w:rPr>
        <w:t>operations</w:t>
      </w:r>
      <w:r w:rsidRPr="0089692B">
        <w:rPr>
          <w:szCs w:val="22"/>
          <w:lang w:eastAsia="en-AU"/>
        </w:rPr>
        <w:t xml:space="preserve">. </w:t>
      </w:r>
      <w:r w:rsidR="00A97349">
        <w:rPr>
          <w:szCs w:val="22"/>
          <w:lang w:eastAsia="en-AU"/>
        </w:rPr>
        <w:t xml:space="preserve"> </w:t>
      </w:r>
      <w:r>
        <w:rPr>
          <w:szCs w:val="22"/>
          <w:lang w:eastAsia="en-AU"/>
        </w:rPr>
        <w:t xml:space="preserve">At sites where both boat and backpack sampling was required, the number of operations of each method used was proportional to the area of navigable versus wadable habitat. </w:t>
      </w:r>
      <w:r w:rsidRPr="0089692B">
        <w:rPr>
          <w:szCs w:val="22"/>
          <w:lang w:eastAsia="en-AU"/>
        </w:rPr>
        <w:t xml:space="preserve">Boat electrofishing involved a series of </w:t>
      </w:r>
      <w:r>
        <w:rPr>
          <w:szCs w:val="22"/>
          <w:lang w:eastAsia="en-AU"/>
        </w:rPr>
        <w:t>~</w:t>
      </w:r>
      <w:r w:rsidRPr="0089692B">
        <w:rPr>
          <w:szCs w:val="22"/>
          <w:lang w:eastAsia="en-AU"/>
        </w:rPr>
        <w:t xml:space="preserve">10 sec power-on and power–off </w:t>
      </w:r>
      <w:r>
        <w:rPr>
          <w:szCs w:val="22"/>
          <w:lang w:eastAsia="en-AU"/>
        </w:rPr>
        <w:t>operations</w:t>
      </w:r>
      <w:r w:rsidRPr="0089692B">
        <w:rPr>
          <w:szCs w:val="22"/>
          <w:lang w:eastAsia="en-AU"/>
        </w:rPr>
        <w:t xml:space="preserve">, with successive </w:t>
      </w:r>
      <w:r>
        <w:rPr>
          <w:szCs w:val="22"/>
          <w:lang w:eastAsia="en-AU"/>
        </w:rPr>
        <w:t>operations</w:t>
      </w:r>
      <w:r w:rsidRPr="0089692B">
        <w:rPr>
          <w:szCs w:val="22"/>
          <w:lang w:eastAsia="en-AU"/>
        </w:rPr>
        <w:t xml:space="preserve"> undertaken on alternate banks</w:t>
      </w:r>
      <w:r>
        <w:rPr>
          <w:szCs w:val="22"/>
          <w:lang w:eastAsia="en-AU"/>
        </w:rPr>
        <w:t xml:space="preserve"> while </w:t>
      </w:r>
      <w:r w:rsidRPr="0089692B">
        <w:rPr>
          <w:szCs w:val="22"/>
          <w:lang w:eastAsia="en-AU"/>
        </w:rPr>
        <w:t xml:space="preserve">moving in an upstream direction. </w:t>
      </w:r>
      <w:r w:rsidR="00A97349">
        <w:rPr>
          <w:szCs w:val="22"/>
          <w:lang w:eastAsia="en-AU"/>
        </w:rPr>
        <w:t xml:space="preserve"> </w:t>
      </w:r>
      <w:r w:rsidRPr="0089692B">
        <w:rPr>
          <w:szCs w:val="22"/>
          <w:lang w:eastAsia="en-AU"/>
        </w:rPr>
        <w:t>Backpack</w:t>
      </w:r>
      <w:r>
        <w:rPr>
          <w:szCs w:val="22"/>
          <w:lang w:eastAsia="en-AU"/>
        </w:rPr>
        <w:t xml:space="preserve"> electrofishing </w:t>
      </w:r>
      <w:r w:rsidRPr="0089692B">
        <w:rPr>
          <w:szCs w:val="22"/>
          <w:lang w:eastAsia="en-AU"/>
        </w:rPr>
        <w:t xml:space="preserve">involved sampling all areas accessible to the stationary operator, before </w:t>
      </w:r>
      <w:r>
        <w:rPr>
          <w:szCs w:val="22"/>
          <w:lang w:eastAsia="en-AU"/>
        </w:rPr>
        <w:t xml:space="preserve">they would progressively </w:t>
      </w:r>
      <w:r w:rsidRPr="0089692B">
        <w:rPr>
          <w:szCs w:val="22"/>
          <w:lang w:eastAsia="en-AU"/>
        </w:rPr>
        <w:t>mov</w:t>
      </w:r>
      <w:r>
        <w:rPr>
          <w:szCs w:val="22"/>
          <w:lang w:eastAsia="en-AU"/>
        </w:rPr>
        <w:t>e</w:t>
      </w:r>
      <w:r w:rsidRPr="0089692B">
        <w:rPr>
          <w:szCs w:val="22"/>
          <w:lang w:eastAsia="en-AU"/>
        </w:rPr>
        <w:t xml:space="preserve"> upstream </w:t>
      </w:r>
      <w:r>
        <w:rPr>
          <w:szCs w:val="22"/>
          <w:lang w:eastAsia="en-AU"/>
        </w:rPr>
        <w:t>around ~</w:t>
      </w:r>
      <w:r w:rsidRPr="0089692B">
        <w:rPr>
          <w:szCs w:val="22"/>
          <w:lang w:eastAsia="en-AU"/>
        </w:rPr>
        <w:t xml:space="preserve">3 m </w:t>
      </w:r>
      <w:r>
        <w:rPr>
          <w:szCs w:val="22"/>
          <w:lang w:eastAsia="en-AU"/>
        </w:rPr>
        <w:t>before</w:t>
      </w:r>
      <w:r w:rsidRPr="0089692B">
        <w:rPr>
          <w:szCs w:val="22"/>
          <w:lang w:eastAsia="en-AU"/>
        </w:rPr>
        <w:t xml:space="preserve"> repeating the process. </w:t>
      </w:r>
      <w:r w:rsidR="00A97349">
        <w:rPr>
          <w:szCs w:val="22"/>
          <w:lang w:eastAsia="en-AU"/>
        </w:rPr>
        <w:t xml:space="preserve"> </w:t>
      </w:r>
      <w:r w:rsidRPr="0089692B">
        <w:rPr>
          <w:szCs w:val="22"/>
          <w:lang w:eastAsia="en-AU"/>
        </w:rPr>
        <w:t xml:space="preserve">All boat and backpack </w:t>
      </w:r>
      <w:r>
        <w:rPr>
          <w:szCs w:val="22"/>
          <w:lang w:eastAsia="en-AU"/>
        </w:rPr>
        <w:t xml:space="preserve">electrofishing </w:t>
      </w:r>
      <w:r w:rsidRPr="0089692B">
        <w:rPr>
          <w:szCs w:val="22"/>
          <w:lang w:eastAsia="en-AU"/>
        </w:rPr>
        <w:t xml:space="preserve">was undertaken by </w:t>
      </w:r>
      <w:r>
        <w:rPr>
          <w:szCs w:val="22"/>
          <w:lang w:eastAsia="en-AU"/>
        </w:rPr>
        <w:t xml:space="preserve">a minimum of </w:t>
      </w:r>
      <w:r w:rsidRPr="0089692B">
        <w:rPr>
          <w:szCs w:val="22"/>
          <w:lang w:eastAsia="en-AU"/>
        </w:rPr>
        <w:t xml:space="preserve">two </w:t>
      </w:r>
      <w:r>
        <w:rPr>
          <w:szCs w:val="22"/>
          <w:lang w:eastAsia="en-AU"/>
        </w:rPr>
        <w:t xml:space="preserve">operators, with three </w:t>
      </w:r>
      <w:r w:rsidRPr="0089692B">
        <w:rPr>
          <w:szCs w:val="22"/>
          <w:lang w:eastAsia="en-AU"/>
        </w:rPr>
        <w:t>operators</w:t>
      </w:r>
      <w:r>
        <w:rPr>
          <w:szCs w:val="22"/>
          <w:lang w:eastAsia="en-AU"/>
        </w:rPr>
        <w:t xml:space="preserve"> used at medium boat sites</w:t>
      </w:r>
      <w:r w:rsidRPr="0089692B">
        <w:rPr>
          <w:szCs w:val="22"/>
          <w:lang w:eastAsia="en-AU"/>
        </w:rPr>
        <w:t>.</w:t>
      </w:r>
      <w:r>
        <w:rPr>
          <w:szCs w:val="22"/>
          <w:lang w:eastAsia="en-AU"/>
        </w:rPr>
        <w:t xml:space="preserve"> </w:t>
      </w:r>
      <w:r w:rsidR="00A97349">
        <w:rPr>
          <w:szCs w:val="22"/>
          <w:lang w:eastAsia="en-AU"/>
        </w:rPr>
        <w:t xml:space="preserve"> </w:t>
      </w:r>
      <w:r>
        <w:rPr>
          <w:szCs w:val="22"/>
          <w:lang w:eastAsia="en-AU"/>
        </w:rPr>
        <w:t>T</w:t>
      </w:r>
      <w:r w:rsidRPr="003E05D6">
        <w:rPr>
          <w:szCs w:val="22"/>
          <w:lang w:eastAsia="en-AU"/>
        </w:rPr>
        <w:t xml:space="preserve">en </w:t>
      </w:r>
      <w:r>
        <w:rPr>
          <w:szCs w:val="22"/>
          <w:lang w:eastAsia="en-AU"/>
        </w:rPr>
        <w:t xml:space="preserve">unbaited </w:t>
      </w:r>
      <w:r w:rsidRPr="003E05D6">
        <w:rPr>
          <w:szCs w:val="22"/>
          <w:lang w:eastAsia="en-AU"/>
        </w:rPr>
        <w:t xml:space="preserve">traps were </w:t>
      </w:r>
      <w:r>
        <w:rPr>
          <w:szCs w:val="22"/>
          <w:lang w:eastAsia="en-AU"/>
        </w:rPr>
        <w:t>deployed</w:t>
      </w:r>
      <w:r w:rsidRPr="003E05D6">
        <w:rPr>
          <w:szCs w:val="22"/>
          <w:lang w:eastAsia="en-AU"/>
        </w:rPr>
        <w:t xml:space="preserve"> </w:t>
      </w:r>
      <w:r>
        <w:rPr>
          <w:szCs w:val="22"/>
          <w:lang w:eastAsia="en-AU"/>
        </w:rPr>
        <w:t xml:space="preserve">for a minimum of two </w:t>
      </w:r>
      <w:r w:rsidRPr="003E05D6">
        <w:rPr>
          <w:szCs w:val="22"/>
          <w:lang w:eastAsia="en-AU"/>
        </w:rPr>
        <w:t>hours</w:t>
      </w:r>
      <w:r>
        <w:rPr>
          <w:szCs w:val="22"/>
          <w:lang w:eastAsia="en-AU"/>
        </w:rPr>
        <w:t xml:space="preserve"> at each site; undertaken at the same times as electrofishing. </w:t>
      </w:r>
      <w:r w:rsidR="00A97349">
        <w:rPr>
          <w:szCs w:val="22"/>
          <w:lang w:eastAsia="en-AU"/>
        </w:rPr>
        <w:t xml:space="preserve"> </w:t>
      </w:r>
      <w:r w:rsidRPr="003E05D6">
        <w:rPr>
          <w:szCs w:val="22"/>
          <w:lang w:eastAsia="en-AU"/>
        </w:rPr>
        <w:t xml:space="preserve">Traps were </w:t>
      </w:r>
      <w:r>
        <w:rPr>
          <w:szCs w:val="22"/>
          <w:lang w:eastAsia="en-AU"/>
        </w:rPr>
        <w:t xml:space="preserve">set haphazardly throughout the site </w:t>
      </w:r>
      <w:r w:rsidRPr="003E05D6">
        <w:rPr>
          <w:szCs w:val="22"/>
          <w:lang w:eastAsia="en-AU"/>
        </w:rPr>
        <w:t>in water depths of 0.5 – 1 m.</w:t>
      </w:r>
    </w:p>
    <w:p w:rsidR="00DA6C28" w:rsidRDefault="00433ED5" w:rsidP="00423C6C">
      <w:pPr>
        <w:rPr>
          <w:lang w:eastAsia="en-AU"/>
        </w:rPr>
      </w:pPr>
      <w:r w:rsidRPr="003E05D6">
        <w:rPr>
          <w:szCs w:val="22"/>
          <w:lang w:eastAsia="en-AU"/>
        </w:rPr>
        <w:t xml:space="preserve">All fish were identified to species level, measured to the nearest </w:t>
      </w:r>
      <w:r>
        <w:rPr>
          <w:szCs w:val="22"/>
          <w:lang w:eastAsia="en-AU"/>
        </w:rPr>
        <w:t>mm</w:t>
      </w:r>
      <w:r w:rsidRPr="003E05D6">
        <w:rPr>
          <w:szCs w:val="22"/>
          <w:lang w:eastAsia="en-AU"/>
        </w:rPr>
        <w:t xml:space="preserve"> and released onsite. </w:t>
      </w:r>
      <w:r>
        <w:rPr>
          <w:szCs w:val="22"/>
          <w:lang w:eastAsia="en-AU"/>
        </w:rPr>
        <w:t xml:space="preserve">When an individual or individuals could not be positively identified in the field, a voucher specimen was retained for laboratory identification. </w:t>
      </w:r>
      <w:r w:rsidR="00A97349">
        <w:rPr>
          <w:szCs w:val="22"/>
          <w:lang w:eastAsia="en-AU"/>
        </w:rPr>
        <w:t xml:space="preserve"> </w:t>
      </w:r>
      <w:r>
        <w:t xml:space="preserve">Length measurements (to the nearest mm) were taken as fork length for species with forked tails and total length for all other species. </w:t>
      </w:r>
      <w:r w:rsidR="00A97349">
        <w:t xml:space="preserve"> </w:t>
      </w:r>
      <w:r>
        <w:t xml:space="preserve">Only a sub-sample of individuals were measured and examined for each gear type where large catches of an individual species occurred. </w:t>
      </w:r>
      <w:r w:rsidR="00A97349">
        <w:t xml:space="preserve"> </w:t>
      </w:r>
      <w:r>
        <w:t xml:space="preserve">The sub-sampling procedure consisted of firstly measuring all individuals in each operation until at least 50 individuals had been measured in total. </w:t>
      </w:r>
      <w:r w:rsidR="00A97349">
        <w:t xml:space="preserve"> </w:t>
      </w:r>
      <w:r>
        <w:t>The remainder of individuals in that operation were also measured but any individuals of that species from subsequent operations of that gear type were only counted</w:t>
      </w:r>
      <w:r w:rsidRPr="002939E2">
        <w:t>.</w:t>
      </w:r>
      <w:r w:rsidRPr="002939E2">
        <w:rPr>
          <w:szCs w:val="22"/>
          <w:lang w:eastAsia="en-AU"/>
        </w:rPr>
        <w:t xml:space="preserve"> </w:t>
      </w:r>
      <w:r w:rsidRPr="003E05D6">
        <w:rPr>
          <w:lang w:eastAsia="en-AU"/>
        </w:rPr>
        <w:t>Fish that</w:t>
      </w:r>
      <w:r>
        <w:rPr>
          <w:lang w:eastAsia="en-AU"/>
        </w:rPr>
        <w:t xml:space="preserve"> </w:t>
      </w:r>
      <w:r w:rsidRPr="003E05D6">
        <w:rPr>
          <w:lang w:eastAsia="en-AU"/>
        </w:rPr>
        <w:t>escaped capture, but</w:t>
      </w:r>
      <w:r>
        <w:rPr>
          <w:lang w:eastAsia="en-AU"/>
        </w:rPr>
        <w:t xml:space="preserve"> could be positively identified</w:t>
      </w:r>
      <w:r w:rsidRPr="003E05D6">
        <w:rPr>
          <w:lang w:eastAsia="en-AU"/>
        </w:rPr>
        <w:t xml:space="preserve"> were </w:t>
      </w:r>
      <w:r>
        <w:rPr>
          <w:lang w:eastAsia="en-AU"/>
        </w:rPr>
        <w:t xml:space="preserve">also </w:t>
      </w:r>
      <w:r w:rsidRPr="003E05D6">
        <w:rPr>
          <w:lang w:eastAsia="en-AU"/>
        </w:rPr>
        <w:t xml:space="preserve">counted and recorded as “observed”. </w:t>
      </w:r>
    </w:p>
    <w:p w:rsidR="00423C6C" w:rsidRPr="008B2257" w:rsidRDefault="00423C6C" w:rsidP="00DA6C28">
      <w:pPr>
        <w:pStyle w:val="Heading8"/>
      </w:pPr>
      <w:r>
        <w:t>Data analyses</w:t>
      </w:r>
    </w:p>
    <w:p w:rsidR="00423C6C" w:rsidRDefault="00423C6C" w:rsidP="00DA6C28">
      <w:pPr>
        <w:pStyle w:val="Heading9"/>
      </w:pPr>
      <w:r>
        <w:t>Fish community</w:t>
      </w:r>
    </w:p>
    <w:p w:rsidR="0021345C" w:rsidRDefault="00433ED5" w:rsidP="00E23B8D">
      <w:r>
        <w:t>E</w:t>
      </w:r>
      <w:r w:rsidRPr="0065447F">
        <w:t xml:space="preserve">lectrofishing and </w:t>
      </w:r>
      <w:r>
        <w:t>bait trapping data</w:t>
      </w:r>
      <w:r w:rsidRPr="0065447F">
        <w:t xml:space="preserve"> were combined for statistical analyses of the fish community. </w:t>
      </w:r>
      <w:r w:rsidR="00A97349">
        <w:t xml:space="preserve"> </w:t>
      </w:r>
      <w:r w:rsidRPr="0065447F">
        <w:t xml:space="preserve">Non-parametric multivariate analysis of variances (PERMANOVA) was used to determine if there were differences between the fish assemblages </w:t>
      </w:r>
      <w:r>
        <w:t xml:space="preserve">in each of the four </w:t>
      </w:r>
      <w:r w:rsidR="00AB2CE2">
        <w:t>channels</w:t>
      </w:r>
      <w:r w:rsidRPr="0065447F">
        <w:t xml:space="preserve"> </w:t>
      </w:r>
      <w:r>
        <w:t xml:space="preserve">within and between years </w:t>
      </w:r>
      <w:r w:rsidRPr="0065447F">
        <w:t xml:space="preserve">(PRIMER 6 &amp; PERMANOVA; Anderson </w:t>
      </w:r>
      <w:r w:rsidRPr="00BC0459">
        <w:t>et al.</w:t>
      </w:r>
      <w:r w:rsidRPr="0065447F">
        <w:t xml:space="preserve"> 2008).</w:t>
      </w:r>
      <w:r w:rsidR="00A97349">
        <w:t xml:space="preserve"> </w:t>
      </w:r>
      <w:r w:rsidRPr="0065447F">
        <w:t xml:space="preserve"> Prior to analyses, the data were fourth root transformed and the results used to produce a similarity matrix using the Bray-Curtis resemblance measure. </w:t>
      </w:r>
      <w:r w:rsidR="00A97349">
        <w:t xml:space="preserve"> </w:t>
      </w:r>
      <w:r>
        <w:t>A</w:t>
      </w:r>
      <w:r w:rsidRPr="00FA2905">
        <w:t xml:space="preserve"> dummy variable (weight 0.0001) was added to the matrix </w:t>
      </w:r>
      <w:r>
        <w:t>prior to transformation b</w:t>
      </w:r>
      <w:r w:rsidRPr="00FA2905">
        <w:t xml:space="preserve">ecause </w:t>
      </w:r>
      <w:r>
        <w:t xml:space="preserve">of the </w:t>
      </w:r>
      <w:r w:rsidRPr="00FA2905">
        <w:t>zero catches recorded at the six dry sites</w:t>
      </w:r>
      <w:r>
        <w:t xml:space="preserve"> </w:t>
      </w:r>
      <w:r w:rsidRPr="00632CD7">
        <w:t>(Vieira and Fonseca 2013).</w:t>
      </w:r>
      <w:r w:rsidRPr="00FA2905">
        <w:t xml:space="preserve"> All tests were considered</w:t>
      </w:r>
      <w:r>
        <w:t xml:space="preserve"> significant at </w:t>
      </w:r>
      <w:r w:rsidRPr="00E32895">
        <w:t>P</w:t>
      </w:r>
      <w:r>
        <w:t xml:space="preserve"> &lt;</w:t>
      </w:r>
      <w:r w:rsidRPr="0065447F">
        <w:t>0.05.  Where differences were identified by PERMANOVA, pair-wise comparisons were used to determine which groups differed.</w:t>
      </w:r>
      <w:r w:rsidR="00A97349">
        <w:t xml:space="preserve"> </w:t>
      </w:r>
      <w:r w:rsidRPr="0065447F">
        <w:t xml:space="preserve"> Similarity percentage (SIMPER) tests were used to identify individual species contributions to average dissimilarities among groups.</w:t>
      </w:r>
    </w:p>
    <w:p w:rsidR="00423C6C" w:rsidRPr="00E23B8D" w:rsidRDefault="00433ED5" w:rsidP="005B248D">
      <w:pPr>
        <w:spacing w:after="240"/>
        <w:rPr>
          <w:vertAlign w:val="superscript"/>
        </w:rPr>
      </w:pPr>
      <w:r w:rsidRPr="00E5387E">
        <w:t xml:space="preserve">Non-parametric Kolmogorov-Smirnov Z tests were used to determine if there were differences in the lengths of </w:t>
      </w:r>
      <w:r>
        <w:t>the six more abundant small- and</w:t>
      </w:r>
      <w:r w:rsidRPr="00E5387E">
        <w:t xml:space="preserve"> large-bodied species in each of the four </w:t>
      </w:r>
      <w:r w:rsidR="00AB2CE2">
        <w:t>channels</w:t>
      </w:r>
      <w:r>
        <w:t xml:space="preserve"> both within and between years</w:t>
      </w:r>
      <w:r w:rsidRPr="00E5387E">
        <w:t xml:space="preserve">. </w:t>
      </w:r>
      <w:r w:rsidR="00A97349">
        <w:t xml:space="preserve"> </w:t>
      </w:r>
      <w:r>
        <w:t xml:space="preserve">Prior to analysis, the data was initially sorted into equal bins of 10 mm for small-bodied and 50 mm for large-bodied species. </w:t>
      </w:r>
      <w:r w:rsidR="00A97349">
        <w:t xml:space="preserve"> </w:t>
      </w:r>
      <w:r>
        <w:t xml:space="preserve">The results were then transformed to provide relative proportions (%) of each size class of fish for the four individual </w:t>
      </w:r>
      <w:r w:rsidR="00AB2CE2">
        <w:t>channels</w:t>
      </w:r>
      <w:r>
        <w:t xml:space="preserve">. </w:t>
      </w:r>
      <w:r w:rsidR="00A97349">
        <w:t xml:space="preserve"> </w:t>
      </w:r>
      <w:r>
        <w:t xml:space="preserve">Only </w:t>
      </w:r>
      <w:r w:rsidR="00AB2CE2">
        <w:t>channels</w:t>
      </w:r>
      <w:r>
        <w:t xml:space="preserve"> where &lt;20 individuals were sampled were included in the </w:t>
      </w:r>
      <w:r w:rsidRPr="00B263ED">
        <w:t xml:space="preserve">analyses. </w:t>
      </w:r>
      <w:r w:rsidR="00A97349">
        <w:t xml:space="preserve"> </w:t>
      </w:r>
      <w:r w:rsidRPr="00B263ED">
        <w:t>Species included were: large bodied - Murray cod, common carp and bony herring</w:t>
      </w:r>
      <w:r>
        <w:t>; and small-</w:t>
      </w:r>
      <w:r w:rsidRPr="00B263ED">
        <w:t xml:space="preserve">bodied - </w:t>
      </w:r>
      <w:r w:rsidRPr="00B263ED">
        <w:rPr>
          <w:color w:val="000000"/>
        </w:rPr>
        <w:t>Murray-Darling rainbowfish</w:t>
      </w:r>
      <w:r w:rsidRPr="00B263ED">
        <w:t xml:space="preserve">, </w:t>
      </w:r>
      <w:r w:rsidRPr="00B263ED">
        <w:rPr>
          <w:color w:val="000000"/>
        </w:rPr>
        <w:t xml:space="preserve">carp-gudgeon </w:t>
      </w:r>
      <w:r>
        <w:rPr>
          <w:color w:val="000000"/>
        </w:rPr>
        <w:t xml:space="preserve">and </w:t>
      </w:r>
      <w:r w:rsidRPr="00B263ED">
        <w:rPr>
          <w:color w:val="000000"/>
        </w:rPr>
        <w:t>Australian smelt</w:t>
      </w:r>
      <w:r w:rsidRPr="00B263ED">
        <w:t xml:space="preserve">. </w:t>
      </w:r>
    </w:p>
    <w:p w:rsidR="00423C6C" w:rsidRPr="00E23B8D" w:rsidRDefault="00423C6C" w:rsidP="005B248D">
      <w:pPr>
        <w:spacing w:after="120" w:line="240" w:lineRule="atLeast"/>
        <w:rPr>
          <w:b/>
          <w:i/>
        </w:rPr>
      </w:pPr>
      <w:r w:rsidRPr="00E23B8D">
        <w:rPr>
          <w:b/>
          <w:i/>
        </w:rPr>
        <w:t>Health Metrics</w:t>
      </w:r>
    </w:p>
    <w:p w:rsidR="00423C6C" w:rsidRPr="0011019F" w:rsidRDefault="00423C6C" w:rsidP="00423C6C">
      <w:pPr>
        <w:pStyle w:val="SubHeading3-FinalReport"/>
        <w:numPr>
          <w:ilvl w:val="0"/>
          <w:numId w:val="0"/>
        </w:numPr>
        <w:spacing w:line="240" w:lineRule="atLeast"/>
        <w:ind w:left="1134" w:hanging="1134"/>
        <w:rPr>
          <w:rFonts w:ascii="Arial" w:hAnsi="Arial" w:cs="Arial"/>
          <w:sz w:val="20"/>
          <w:u w:val="single"/>
        </w:rPr>
      </w:pPr>
      <w:bookmarkStart w:id="142" w:name="_Toc268689817"/>
      <w:bookmarkStart w:id="143" w:name="_Toc338337658"/>
      <w:bookmarkStart w:id="144" w:name="_Toc338347470"/>
      <w:bookmarkStart w:id="145" w:name="_Toc338348457"/>
      <w:bookmarkStart w:id="146" w:name="_Toc392837064"/>
      <w:bookmarkStart w:id="147" w:name="_Toc421201804"/>
      <w:r w:rsidRPr="0011019F">
        <w:rPr>
          <w:rFonts w:ascii="Arial" w:hAnsi="Arial" w:cs="Arial"/>
          <w:sz w:val="20"/>
          <w:u w:val="single"/>
        </w:rPr>
        <w:t>Reference Condition</w:t>
      </w:r>
      <w:bookmarkEnd w:id="142"/>
      <w:r w:rsidRPr="0011019F">
        <w:rPr>
          <w:rFonts w:ascii="Arial" w:hAnsi="Arial" w:cs="Arial"/>
          <w:sz w:val="20"/>
          <w:u w:val="single"/>
        </w:rPr>
        <w:t xml:space="preserve"> </w:t>
      </w:r>
      <w:bookmarkEnd w:id="143"/>
      <w:bookmarkEnd w:id="144"/>
      <w:bookmarkEnd w:id="145"/>
      <w:bookmarkEnd w:id="146"/>
      <w:bookmarkEnd w:id="147"/>
    </w:p>
    <w:p w:rsidR="00433ED5" w:rsidRPr="0098074C" w:rsidRDefault="00433ED5" w:rsidP="00E23B8D">
      <w:r w:rsidRPr="0065447F">
        <w:t xml:space="preserve">The predicted pre-European fish community of the </w:t>
      </w:r>
      <w:r>
        <w:t xml:space="preserve">lower Gwydir </w:t>
      </w:r>
      <w:r w:rsidR="00BE5847">
        <w:t>Catchment</w:t>
      </w:r>
      <w:r w:rsidRPr="0065447F">
        <w:t xml:space="preserve"> was derived using the Reference Condition for Fish (RC-F) approach used by the SRA and NSW Monitoring, Evaluation and Reporting (MER) programs (</w:t>
      </w:r>
      <w:r w:rsidR="00037217" w:rsidRPr="00037217">
        <w:fldChar w:fldCharType="begin"/>
      </w:r>
      <w:r w:rsidR="00037217" w:rsidRPr="00037217">
        <w:instrText xml:space="preserve"> REF _Ref458881123 \h  \* MERGEFORMAT </w:instrText>
      </w:r>
      <w:r w:rsidR="00037217" w:rsidRPr="00037217">
        <w:fldChar w:fldCharType="separate"/>
      </w:r>
      <w:r w:rsidR="005D5925" w:rsidRPr="00B53BDE">
        <w:t xml:space="preserve">Table </w:t>
      </w:r>
      <w:r w:rsidR="005D5925">
        <w:rPr>
          <w:noProof/>
        </w:rPr>
        <w:t>I</w:t>
      </w:r>
      <w:r w:rsidR="005D5925">
        <w:rPr>
          <w:noProof/>
        </w:rPr>
        <w:noBreakHyphen/>
        <w:t>2</w:t>
      </w:r>
      <w:r w:rsidR="00037217" w:rsidRPr="00037217">
        <w:fldChar w:fldCharType="end"/>
      </w:r>
      <w:r w:rsidR="00037217">
        <w:t xml:space="preserve">; </w:t>
      </w:r>
      <w:r w:rsidR="00037217" w:rsidRPr="00037217">
        <w:fldChar w:fldCharType="begin"/>
      </w:r>
      <w:r w:rsidR="00037217" w:rsidRPr="00037217">
        <w:instrText xml:space="preserve"> REF _Ref458692379 \h  \* MERGEFORMAT </w:instrText>
      </w:r>
      <w:r w:rsidR="00037217" w:rsidRPr="00037217">
        <w:fldChar w:fldCharType="separate"/>
      </w:r>
      <w:r w:rsidR="005D5925">
        <w:t xml:space="preserve">Table </w:t>
      </w:r>
      <w:r w:rsidR="005D5925">
        <w:rPr>
          <w:noProof/>
        </w:rPr>
        <w:t>I</w:t>
      </w:r>
      <w:r w:rsidR="005D5925">
        <w:rPr>
          <w:noProof/>
        </w:rPr>
        <w:noBreakHyphen/>
        <w:t>3</w:t>
      </w:r>
      <w:r w:rsidR="00037217" w:rsidRPr="00037217">
        <w:fldChar w:fldCharType="end"/>
      </w:r>
      <w:r w:rsidRPr="0065447F">
        <w:t xml:space="preserve">). </w:t>
      </w:r>
      <w:r w:rsidR="00A97349">
        <w:t xml:space="preserve"> </w:t>
      </w:r>
      <w:r w:rsidRPr="0065447F">
        <w:t xml:space="preserve">The RC-F process involves using available historical and contemporary data, museum collections and expert knowledge to estimate the probability of collecting each species at any randomly selected site within an altitude zone if it were sampled using the standard sampling protocol prior to 1770 (Davies </w:t>
      </w:r>
      <w:r w:rsidRPr="00B53BDE">
        <w:t>et al.</w:t>
      </w:r>
      <w:r w:rsidRPr="0065447F">
        <w:t xml:space="preserve"> 2008</w:t>
      </w:r>
      <w:r w:rsidRPr="0098074C">
        <w:t xml:space="preserve">). </w:t>
      </w:r>
      <w:r w:rsidR="00A97349">
        <w:t xml:space="preserve"> </w:t>
      </w:r>
      <w:r w:rsidRPr="0098074C">
        <w:t>Rare species were allocated a RC-F probability of capture of 0.1 (collected at 0 &lt; 0.2 of samples), occasional species (collected at 0.21 &lt; 0.7 of samples) an RC-F of 0.45 and common species (collected at 0.71 &lt; 1.0 samples) an RC-F of 0.85 (RC-F scores being the median capture probability within each category)</w:t>
      </w:r>
      <w:r>
        <w:t xml:space="preserve"> (</w:t>
      </w:r>
      <w:r w:rsidR="00037217" w:rsidRPr="00037217">
        <w:fldChar w:fldCharType="begin"/>
      </w:r>
      <w:r w:rsidR="00037217" w:rsidRPr="00037217">
        <w:instrText xml:space="preserve"> REF _Ref458881123 \h </w:instrText>
      </w:r>
      <w:r w:rsidR="00037217">
        <w:instrText xml:space="preserve"> \* MERGEFORMAT </w:instrText>
      </w:r>
      <w:r w:rsidR="00037217" w:rsidRPr="00037217">
        <w:fldChar w:fldCharType="separate"/>
      </w:r>
      <w:r w:rsidR="005D5925" w:rsidRPr="00B53BDE">
        <w:t xml:space="preserve">Table </w:t>
      </w:r>
      <w:r w:rsidR="005D5925">
        <w:rPr>
          <w:noProof/>
        </w:rPr>
        <w:t>I</w:t>
      </w:r>
      <w:r w:rsidR="005D5925">
        <w:rPr>
          <w:noProof/>
        </w:rPr>
        <w:noBreakHyphen/>
        <w:t>2</w:t>
      </w:r>
      <w:r w:rsidR="00037217" w:rsidRPr="00037217">
        <w:fldChar w:fldCharType="end"/>
      </w:r>
      <w:r>
        <w:t>)</w:t>
      </w:r>
      <w:r w:rsidRPr="0098074C">
        <w:t>.</w:t>
      </w:r>
    </w:p>
    <w:p w:rsidR="006909A2" w:rsidRDefault="00433ED5" w:rsidP="00E23B8D">
      <w:r w:rsidRPr="0065447F">
        <w:t xml:space="preserve">The definition of a recruit was derived using a similar process as that applied in the SRA and MER programs (Dean Gilligan unpublished data). </w:t>
      </w:r>
      <w:r w:rsidR="00A97349">
        <w:t xml:space="preserve"> </w:t>
      </w:r>
      <w:r w:rsidRPr="0065447F">
        <w:t>For large-</w:t>
      </w:r>
      <w:r>
        <w:t>bodied and generally longer living</w:t>
      </w:r>
      <w:r w:rsidRPr="0065447F">
        <w:t xml:space="preserve"> species (&gt;three years), an individual was considered to be a recruit if its body length was less than that of a one-year-old of the same species. </w:t>
      </w:r>
      <w:r w:rsidR="00A97349">
        <w:t xml:space="preserve"> </w:t>
      </w:r>
      <w:r w:rsidRPr="0065447F">
        <w:t>For small-bodied and generally short-lived species that reach sexual maturity in less than one year, recruits were considered to be those individuals that were less than the species known average length at sexual maturity.</w:t>
      </w:r>
      <w:r w:rsidR="00A97349">
        <w:t xml:space="preserve"> </w:t>
      </w:r>
      <w:r w:rsidRPr="0065447F">
        <w:t xml:space="preserve"> The recruitment lengths used for both large- and small-bodied species were derived from published scientific literature or by expert opinion where that was not available (</w:t>
      </w:r>
      <w:r w:rsidR="00037217" w:rsidRPr="00037217">
        <w:fldChar w:fldCharType="begin"/>
      </w:r>
      <w:r w:rsidR="00037217" w:rsidRPr="00037217">
        <w:instrText xml:space="preserve"> REF _Ref458692379 \h  \* MERGEFORMAT </w:instrText>
      </w:r>
      <w:r w:rsidR="00037217" w:rsidRPr="00037217">
        <w:fldChar w:fldCharType="separate"/>
      </w:r>
      <w:r w:rsidR="005D5925">
        <w:t xml:space="preserve">Table </w:t>
      </w:r>
      <w:r w:rsidR="005D5925">
        <w:rPr>
          <w:noProof/>
        </w:rPr>
        <w:t>I</w:t>
      </w:r>
      <w:r w:rsidR="005D5925">
        <w:rPr>
          <w:noProof/>
        </w:rPr>
        <w:noBreakHyphen/>
        <w:t>3</w:t>
      </w:r>
      <w:r w:rsidR="00037217" w:rsidRPr="00037217">
        <w:fldChar w:fldCharType="end"/>
      </w:r>
      <w:r w:rsidRPr="0065447F">
        <w:t xml:space="preserve">). </w:t>
      </w:r>
    </w:p>
    <w:p w:rsidR="00423C6C" w:rsidRPr="0011019F" w:rsidRDefault="005B248D" w:rsidP="006909A2">
      <w:pPr>
        <w:rPr>
          <w:rFonts w:cs="Arial"/>
          <w:color w:val="000000"/>
          <w:u w:val="single"/>
        </w:rPr>
      </w:pPr>
      <w:r>
        <w:br w:type="page"/>
      </w:r>
      <w:bookmarkStart w:id="148" w:name="_Toc268689818"/>
      <w:bookmarkStart w:id="149" w:name="_Toc338337659"/>
      <w:bookmarkStart w:id="150" w:name="_Toc338347471"/>
      <w:bookmarkStart w:id="151" w:name="_Toc338348458"/>
      <w:bookmarkStart w:id="152" w:name="_Toc392837065"/>
      <w:bookmarkStart w:id="153" w:name="_Toc421201805"/>
      <w:r w:rsidR="00423C6C" w:rsidRPr="0011019F">
        <w:rPr>
          <w:rFonts w:cs="Arial"/>
          <w:u w:val="single"/>
        </w:rPr>
        <w:t>Metrics, Indicators and the Overall Fish Condition Index</w:t>
      </w:r>
      <w:r w:rsidR="00423C6C" w:rsidRPr="0011019F">
        <w:rPr>
          <w:rFonts w:cs="Arial"/>
          <w:color w:val="000000"/>
          <w:u w:val="single"/>
        </w:rPr>
        <w:t>.</w:t>
      </w:r>
      <w:bookmarkEnd w:id="148"/>
      <w:bookmarkEnd w:id="149"/>
      <w:bookmarkEnd w:id="150"/>
      <w:bookmarkEnd w:id="151"/>
      <w:bookmarkEnd w:id="152"/>
      <w:bookmarkEnd w:id="153"/>
    </w:p>
    <w:p w:rsidR="00433ED5" w:rsidRPr="0065447F" w:rsidRDefault="00433ED5" w:rsidP="00E23B8D">
      <w:r w:rsidRPr="0065447F">
        <w:t>Using the methods described by Robinson (2012), eight fish metrics were derived from the data collected at each site.</w:t>
      </w:r>
      <w:r w:rsidR="00A97349">
        <w:t xml:space="preserve"> </w:t>
      </w:r>
      <w:r w:rsidRPr="0065447F">
        <w:t xml:space="preserve"> The eight metrics were then aggregated to produce three fish condition indicators and these indicators were then used to derive an overall Fish Condition Index (SRA ndxFS). </w:t>
      </w:r>
      <w:r w:rsidR="00A97349">
        <w:t xml:space="preserve"> </w:t>
      </w:r>
      <w:r w:rsidRPr="0065447F">
        <w:t xml:space="preserve">Metric and indicator aggregation was done using Expert Rules analysis in the Fuzzy Logic toolbox of MatLab (The Mathworks Inc. USA) using the rules sets developed by Davies et al. (2010). </w:t>
      </w:r>
    </w:p>
    <w:p w:rsidR="00433ED5" w:rsidRDefault="00433ED5" w:rsidP="00E23B8D">
      <w:r w:rsidRPr="0065447F">
        <w:t>The Expectedness Indicator (SR-FI</w:t>
      </w:r>
      <w:r w:rsidRPr="0065447F">
        <w:rPr>
          <w:vertAlign w:val="subscript"/>
        </w:rPr>
        <w:t>e</w:t>
      </w:r>
      <w:r w:rsidRPr="0065447F">
        <w:t xml:space="preserve">) represents the proportion of native species that are now found within the </w:t>
      </w:r>
      <w:r w:rsidR="00BE5847">
        <w:t>catchment</w:t>
      </w:r>
      <w:r w:rsidRPr="0065447F">
        <w:t xml:space="preserve">, compared to that which was historically present. </w:t>
      </w:r>
      <w:r w:rsidR="00A97349">
        <w:t xml:space="preserve"> </w:t>
      </w:r>
      <w:r w:rsidRPr="0065447F">
        <w:t xml:space="preserve">The Expectedness Indicator is derived from two input metrics; the observed native species richness over the expected species richness at each site, and the total native species richness observed within the zone over the total number of species predicted to have existed within the zone historically (Robinson 2012). </w:t>
      </w:r>
      <w:r w:rsidR="00A97349">
        <w:t xml:space="preserve"> </w:t>
      </w:r>
      <w:r w:rsidRPr="0065447F">
        <w:t xml:space="preserve">The two metrics were aggregated using the Expectedness Indicator Expert Rule set (Carter 2012). </w:t>
      </w:r>
    </w:p>
    <w:p w:rsidR="00433ED5" w:rsidRDefault="00433ED5" w:rsidP="00E23B8D">
      <w:r w:rsidRPr="0065447F">
        <w:t>The Nativeness Indicator (SR-FI</w:t>
      </w:r>
      <w:r w:rsidRPr="0065447F">
        <w:rPr>
          <w:vertAlign w:val="subscript"/>
        </w:rPr>
        <w:t>n</w:t>
      </w:r>
      <w:r w:rsidRPr="0065447F">
        <w:t xml:space="preserve">) represents the proportion of native versus alien fishes within the river. </w:t>
      </w:r>
      <w:r w:rsidR="00A97349">
        <w:t xml:space="preserve"> </w:t>
      </w:r>
      <w:r w:rsidRPr="0065447F">
        <w:t xml:space="preserve">The Nativeness Indicator is derived from three input metrics; proportion native biomass, proportion native abundance and proportion native species (Robinson 2012). </w:t>
      </w:r>
      <w:r w:rsidR="00A97349">
        <w:t xml:space="preserve"> </w:t>
      </w:r>
      <w:r w:rsidRPr="0065447F">
        <w:t xml:space="preserve">The three metrics were aggregated using the Nativeness Indicator Expert Rule set (Carter 2012). </w:t>
      </w:r>
    </w:p>
    <w:p w:rsidR="00433ED5" w:rsidRPr="0065447F" w:rsidRDefault="00433ED5" w:rsidP="00E23B8D">
      <w:r w:rsidRPr="0065447F">
        <w:t>The Recruitment Indicator (SR-Fi</w:t>
      </w:r>
      <w:r w:rsidRPr="0065447F">
        <w:rPr>
          <w:vertAlign w:val="subscript"/>
        </w:rPr>
        <w:t>r</w:t>
      </w:r>
      <w:r w:rsidRPr="0065447F">
        <w:t xml:space="preserve">) represents the recent reproductive activity of the native fish community within each altitude zone. </w:t>
      </w:r>
      <w:r w:rsidR="00A97349">
        <w:t xml:space="preserve"> </w:t>
      </w:r>
      <w:r w:rsidRPr="0065447F">
        <w:t xml:space="preserve">The Recruitment Indicator is derived from three input metrics; the proportion of native species showing evidence of recruitment at a minimum of one site within a zone, the average proportion of sites within a zone at which each species captured was recruiting (RC-F corrected), and the average proportion of total abundance of each species that are new recruits (Robinson 2012). </w:t>
      </w:r>
      <w:r w:rsidR="00A97349">
        <w:t xml:space="preserve"> </w:t>
      </w:r>
      <w:r w:rsidRPr="0065447F">
        <w:t xml:space="preserve">The three metrics were aggregated using the Recruitment Indicator Expert Rule set (Carter 2012). </w:t>
      </w:r>
    </w:p>
    <w:p w:rsidR="00433ED5" w:rsidRDefault="00433ED5" w:rsidP="00E23B8D">
      <w:r w:rsidRPr="0065447F">
        <w:t>The three indicators were combined using the Fish Index Expert Rule set (Carter 2012) to calculate an overall Fish Condition Index (ndxFS).</w:t>
      </w:r>
      <w:r w:rsidR="00A97349">
        <w:t xml:space="preserve"> </w:t>
      </w:r>
      <w:r w:rsidRPr="0065447F">
        <w:t xml:space="preserve"> The Fish Index Expert Rules analysis is weighted as SR-FI</w:t>
      </w:r>
      <w:r w:rsidRPr="0065447F">
        <w:rPr>
          <w:vertAlign w:val="subscript"/>
        </w:rPr>
        <w:t>e</w:t>
      </w:r>
      <w:r w:rsidRPr="0065447F">
        <w:t xml:space="preserve"> &gt; SR-FI</w:t>
      </w:r>
      <w:r w:rsidRPr="0065447F">
        <w:rPr>
          <w:vertAlign w:val="subscript"/>
        </w:rPr>
        <w:t>r</w:t>
      </w:r>
      <w:r w:rsidRPr="0065447F">
        <w:t xml:space="preserve"> &gt; SR-FI</w:t>
      </w:r>
      <w:r w:rsidRPr="0065447F">
        <w:rPr>
          <w:vertAlign w:val="subscript"/>
        </w:rPr>
        <w:t>n</w:t>
      </w:r>
      <w:r w:rsidRPr="0065447F">
        <w:t>.</w:t>
      </w:r>
      <w:r w:rsidR="00A97349">
        <w:t xml:space="preserve"> </w:t>
      </w:r>
      <w:r w:rsidRPr="0065447F">
        <w:t xml:space="preserve"> The output generated by the Expert Rules analysis is scaled between 0 and 100, with higher values representing a ‘healthier’ fish community. </w:t>
      </w:r>
      <w:r w:rsidR="00A97349">
        <w:t xml:space="preserve"> </w:t>
      </w:r>
      <w:r w:rsidRPr="0065447F">
        <w:t>The index was then partitioned into five equal bands to rate the condition of the fish community; “</w:t>
      </w:r>
      <w:r>
        <w:t>Good</w:t>
      </w:r>
      <w:r w:rsidRPr="0065447F">
        <w:t>” (81-100), “</w:t>
      </w:r>
      <w:r>
        <w:t>Moderate</w:t>
      </w:r>
      <w:r w:rsidRPr="0065447F">
        <w:t>” (61-80), “</w:t>
      </w:r>
      <w:r>
        <w:t>Poor</w:t>
      </w:r>
      <w:r w:rsidRPr="0065447F">
        <w:t>” (41-60), “</w:t>
      </w:r>
      <w:r>
        <w:t>Very Poor” (21-40), or “Extremely</w:t>
      </w:r>
      <w:r w:rsidRPr="0065447F">
        <w:t xml:space="preserve"> Poor” (0-20)</w:t>
      </w:r>
      <w:r>
        <w:t xml:space="preserve"> (</w:t>
      </w:r>
      <w:r w:rsidR="00CD3111">
        <w:fldChar w:fldCharType="begin"/>
      </w:r>
      <w:r w:rsidR="00CD3111">
        <w:instrText xml:space="preserve"> REF _Ref458691821 \h </w:instrText>
      </w:r>
      <w:r w:rsidR="00CD3111">
        <w:fldChar w:fldCharType="separate"/>
      </w:r>
      <w:r w:rsidR="005D5925">
        <w:t xml:space="preserve">Figure </w:t>
      </w:r>
      <w:r w:rsidR="005D5925">
        <w:rPr>
          <w:noProof/>
        </w:rPr>
        <w:t>I</w:t>
      </w:r>
      <w:r w:rsidR="005D5925">
        <w:noBreakHyphen/>
      </w:r>
      <w:r w:rsidR="005D5925">
        <w:rPr>
          <w:noProof/>
        </w:rPr>
        <w:t>3</w:t>
      </w:r>
      <w:r w:rsidR="00CD3111">
        <w:fldChar w:fldCharType="end"/>
      </w:r>
      <w:r>
        <w:t>)</w:t>
      </w:r>
      <w:r w:rsidR="00E23B8D">
        <w:t>.</w:t>
      </w:r>
    </w:p>
    <w:p w:rsidR="00E23B8D" w:rsidRDefault="00E23B8D" w:rsidP="00E23B8D"/>
    <w:p w:rsidR="00423C6C" w:rsidRDefault="00423C6C" w:rsidP="00423C6C">
      <w:pPr>
        <w:pStyle w:val="BodyText"/>
        <w:tabs>
          <w:tab w:val="left" w:pos="4111"/>
        </w:tabs>
        <w:spacing w:line="240" w:lineRule="atLeast"/>
        <w:rPr>
          <w:rFonts w:ascii="Arial" w:hAnsi="Arial" w:cs="Arial"/>
          <w:i w:val="0"/>
          <w:sz w:val="20"/>
        </w:rPr>
      </w:pPr>
    </w:p>
    <w:tbl>
      <w:tblPr>
        <w:tblW w:w="5000" w:type="pct"/>
        <w:tblLook w:val="04A0" w:firstRow="1" w:lastRow="0" w:firstColumn="1" w:lastColumn="0" w:noHBand="0" w:noVBand="1"/>
      </w:tblPr>
      <w:tblGrid>
        <w:gridCol w:w="838"/>
        <w:gridCol w:w="838"/>
        <w:gridCol w:w="837"/>
        <w:gridCol w:w="837"/>
        <w:gridCol w:w="837"/>
        <w:gridCol w:w="837"/>
        <w:gridCol w:w="837"/>
        <w:gridCol w:w="837"/>
        <w:gridCol w:w="837"/>
        <w:gridCol w:w="837"/>
        <w:gridCol w:w="828"/>
      </w:tblGrid>
      <w:tr w:rsidR="00423C6C" w:rsidRPr="00B20883" w:rsidTr="00423C6C">
        <w:trPr>
          <w:trHeight w:val="300"/>
        </w:trPr>
        <w:tc>
          <w:tcPr>
            <w:tcW w:w="455" w:type="pct"/>
            <w:tcBorders>
              <w:top w:val="nil"/>
              <w:left w:val="nil"/>
              <w:bottom w:val="nil"/>
              <w:right w:val="nil"/>
            </w:tcBorders>
            <w:shd w:val="clear" w:color="auto" w:fill="auto"/>
            <w:noWrap/>
            <w:vAlign w:val="bottom"/>
            <w:hideMark/>
          </w:tcPr>
          <w:p w:rsidR="00423C6C" w:rsidRPr="00B20883" w:rsidRDefault="00423C6C" w:rsidP="00433ED5">
            <w:pPr>
              <w:spacing w:line="240" w:lineRule="auto"/>
              <w:rPr>
                <w:rFonts w:ascii="Calibri" w:hAnsi="Calibri"/>
                <w:color w:val="000000"/>
                <w:szCs w:val="22"/>
                <w:lang w:eastAsia="en-AU"/>
              </w:rPr>
            </w:pPr>
            <w:r w:rsidRPr="00B20883">
              <w:rPr>
                <w:rFonts w:ascii="Calibri" w:hAnsi="Calibri"/>
                <w:color w:val="000000"/>
                <w:szCs w:val="22"/>
                <w:lang w:eastAsia="en-AU"/>
              </w:rPr>
              <w:t>0</w:t>
            </w:r>
          </w:p>
        </w:tc>
        <w:tc>
          <w:tcPr>
            <w:tcW w:w="455" w:type="pct"/>
            <w:tcBorders>
              <w:top w:val="nil"/>
              <w:left w:val="nil"/>
              <w:bottom w:val="nil"/>
              <w:right w:val="nil"/>
            </w:tcBorders>
            <w:shd w:val="clear" w:color="auto" w:fill="auto"/>
            <w:noWrap/>
            <w:vAlign w:val="bottom"/>
            <w:hideMark/>
          </w:tcPr>
          <w:p w:rsidR="00423C6C" w:rsidRPr="00B20883" w:rsidRDefault="00423C6C" w:rsidP="00433ED5">
            <w:pPr>
              <w:spacing w:line="240" w:lineRule="auto"/>
              <w:rPr>
                <w:rFonts w:ascii="Calibri" w:hAnsi="Calibri"/>
                <w:color w:val="000000"/>
                <w:szCs w:val="22"/>
                <w:lang w:eastAsia="en-AU"/>
              </w:rPr>
            </w:pPr>
            <w:r w:rsidRPr="00B20883">
              <w:rPr>
                <w:rFonts w:ascii="Calibri" w:hAnsi="Calibri"/>
                <w:color w:val="000000"/>
                <w:szCs w:val="22"/>
                <w:lang w:eastAsia="en-AU"/>
              </w:rPr>
              <w:t>10</w:t>
            </w:r>
          </w:p>
        </w:tc>
        <w:tc>
          <w:tcPr>
            <w:tcW w:w="455" w:type="pct"/>
            <w:tcBorders>
              <w:top w:val="nil"/>
              <w:left w:val="nil"/>
              <w:bottom w:val="nil"/>
              <w:right w:val="nil"/>
            </w:tcBorders>
            <w:shd w:val="clear" w:color="auto" w:fill="auto"/>
            <w:noWrap/>
            <w:vAlign w:val="bottom"/>
            <w:hideMark/>
          </w:tcPr>
          <w:p w:rsidR="00423C6C" w:rsidRPr="00B20883" w:rsidRDefault="00423C6C" w:rsidP="00433ED5">
            <w:pPr>
              <w:spacing w:line="240" w:lineRule="auto"/>
              <w:rPr>
                <w:rFonts w:ascii="Calibri" w:hAnsi="Calibri"/>
                <w:color w:val="000000"/>
                <w:szCs w:val="22"/>
                <w:lang w:eastAsia="en-AU"/>
              </w:rPr>
            </w:pPr>
            <w:r w:rsidRPr="00B20883">
              <w:rPr>
                <w:rFonts w:ascii="Calibri" w:hAnsi="Calibri"/>
                <w:color w:val="000000"/>
                <w:szCs w:val="22"/>
                <w:lang w:eastAsia="en-AU"/>
              </w:rPr>
              <w:t>20</w:t>
            </w:r>
          </w:p>
        </w:tc>
        <w:tc>
          <w:tcPr>
            <w:tcW w:w="455" w:type="pct"/>
            <w:tcBorders>
              <w:top w:val="nil"/>
              <w:left w:val="nil"/>
              <w:bottom w:val="nil"/>
              <w:right w:val="nil"/>
            </w:tcBorders>
            <w:shd w:val="clear" w:color="auto" w:fill="auto"/>
            <w:noWrap/>
            <w:vAlign w:val="bottom"/>
            <w:hideMark/>
          </w:tcPr>
          <w:p w:rsidR="00423C6C" w:rsidRPr="00B20883" w:rsidRDefault="00423C6C" w:rsidP="00433ED5">
            <w:pPr>
              <w:spacing w:line="240" w:lineRule="auto"/>
              <w:rPr>
                <w:rFonts w:ascii="Calibri" w:hAnsi="Calibri"/>
                <w:color w:val="000000"/>
                <w:szCs w:val="22"/>
                <w:lang w:eastAsia="en-AU"/>
              </w:rPr>
            </w:pPr>
            <w:r w:rsidRPr="00B20883">
              <w:rPr>
                <w:rFonts w:ascii="Calibri" w:hAnsi="Calibri"/>
                <w:color w:val="000000"/>
                <w:szCs w:val="22"/>
                <w:lang w:eastAsia="en-AU"/>
              </w:rPr>
              <w:t>30</w:t>
            </w:r>
          </w:p>
        </w:tc>
        <w:tc>
          <w:tcPr>
            <w:tcW w:w="455" w:type="pct"/>
            <w:tcBorders>
              <w:top w:val="nil"/>
              <w:left w:val="nil"/>
              <w:bottom w:val="nil"/>
              <w:right w:val="nil"/>
            </w:tcBorders>
            <w:shd w:val="clear" w:color="auto" w:fill="auto"/>
            <w:noWrap/>
            <w:vAlign w:val="bottom"/>
            <w:hideMark/>
          </w:tcPr>
          <w:p w:rsidR="00423C6C" w:rsidRPr="00B20883" w:rsidRDefault="00423C6C" w:rsidP="00433ED5">
            <w:pPr>
              <w:spacing w:line="240" w:lineRule="auto"/>
              <w:rPr>
                <w:rFonts w:ascii="Calibri" w:hAnsi="Calibri"/>
                <w:color w:val="000000"/>
                <w:szCs w:val="22"/>
                <w:lang w:eastAsia="en-AU"/>
              </w:rPr>
            </w:pPr>
            <w:r w:rsidRPr="00B20883">
              <w:rPr>
                <w:rFonts w:ascii="Calibri" w:hAnsi="Calibri"/>
                <w:color w:val="000000"/>
                <w:szCs w:val="22"/>
                <w:lang w:eastAsia="en-AU"/>
              </w:rPr>
              <w:t>40</w:t>
            </w:r>
          </w:p>
        </w:tc>
        <w:tc>
          <w:tcPr>
            <w:tcW w:w="455" w:type="pct"/>
            <w:tcBorders>
              <w:top w:val="nil"/>
              <w:left w:val="nil"/>
              <w:bottom w:val="nil"/>
              <w:right w:val="nil"/>
            </w:tcBorders>
            <w:shd w:val="clear" w:color="auto" w:fill="auto"/>
            <w:noWrap/>
            <w:vAlign w:val="bottom"/>
            <w:hideMark/>
          </w:tcPr>
          <w:p w:rsidR="00423C6C" w:rsidRPr="00B20883" w:rsidRDefault="00423C6C" w:rsidP="002159C6">
            <w:pPr>
              <w:spacing w:line="240" w:lineRule="auto"/>
              <w:rPr>
                <w:rFonts w:ascii="Calibri" w:hAnsi="Calibri"/>
                <w:color w:val="000000"/>
                <w:szCs w:val="22"/>
                <w:lang w:eastAsia="en-AU"/>
              </w:rPr>
            </w:pPr>
            <w:r w:rsidRPr="00B20883">
              <w:rPr>
                <w:rFonts w:ascii="Calibri" w:hAnsi="Calibri"/>
                <w:color w:val="000000"/>
                <w:szCs w:val="22"/>
                <w:lang w:eastAsia="en-AU"/>
              </w:rPr>
              <w:t>50</w:t>
            </w:r>
          </w:p>
        </w:tc>
        <w:tc>
          <w:tcPr>
            <w:tcW w:w="455" w:type="pct"/>
            <w:tcBorders>
              <w:top w:val="nil"/>
              <w:left w:val="nil"/>
              <w:bottom w:val="nil"/>
              <w:right w:val="nil"/>
            </w:tcBorders>
            <w:shd w:val="clear" w:color="auto" w:fill="auto"/>
            <w:noWrap/>
            <w:vAlign w:val="bottom"/>
            <w:hideMark/>
          </w:tcPr>
          <w:p w:rsidR="00423C6C" w:rsidRPr="00B20883" w:rsidRDefault="00423C6C" w:rsidP="002159C6">
            <w:pPr>
              <w:spacing w:line="240" w:lineRule="auto"/>
              <w:rPr>
                <w:rFonts w:ascii="Calibri" w:hAnsi="Calibri"/>
                <w:color w:val="000000"/>
                <w:szCs w:val="22"/>
                <w:lang w:eastAsia="en-AU"/>
              </w:rPr>
            </w:pPr>
            <w:r w:rsidRPr="00B20883">
              <w:rPr>
                <w:rFonts w:ascii="Calibri" w:hAnsi="Calibri"/>
                <w:color w:val="000000"/>
                <w:szCs w:val="22"/>
                <w:lang w:eastAsia="en-AU"/>
              </w:rPr>
              <w:t>60</w:t>
            </w:r>
          </w:p>
        </w:tc>
        <w:tc>
          <w:tcPr>
            <w:tcW w:w="455" w:type="pct"/>
            <w:tcBorders>
              <w:top w:val="nil"/>
              <w:left w:val="nil"/>
              <w:bottom w:val="nil"/>
              <w:right w:val="nil"/>
            </w:tcBorders>
            <w:shd w:val="clear" w:color="auto" w:fill="auto"/>
            <w:noWrap/>
            <w:vAlign w:val="bottom"/>
            <w:hideMark/>
          </w:tcPr>
          <w:p w:rsidR="00423C6C" w:rsidRPr="00B20883" w:rsidRDefault="00423C6C" w:rsidP="00704E86">
            <w:pPr>
              <w:spacing w:line="240" w:lineRule="auto"/>
              <w:rPr>
                <w:rFonts w:ascii="Calibri" w:hAnsi="Calibri"/>
                <w:color w:val="000000"/>
                <w:szCs w:val="22"/>
                <w:lang w:eastAsia="en-AU"/>
              </w:rPr>
            </w:pPr>
            <w:r w:rsidRPr="00B20883">
              <w:rPr>
                <w:rFonts w:ascii="Calibri" w:hAnsi="Calibri"/>
                <w:color w:val="000000"/>
                <w:szCs w:val="22"/>
                <w:lang w:eastAsia="en-AU"/>
              </w:rPr>
              <w:t>70</w:t>
            </w:r>
          </w:p>
        </w:tc>
        <w:tc>
          <w:tcPr>
            <w:tcW w:w="455" w:type="pct"/>
            <w:tcBorders>
              <w:top w:val="nil"/>
              <w:left w:val="nil"/>
              <w:bottom w:val="nil"/>
              <w:right w:val="nil"/>
            </w:tcBorders>
            <w:shd w:val="clear" w:color="auto" w:fill="auto"/>
            <w:noWrap/>
            <w:vAlign w:val="bottom"/>
            <w:hideMark/>
          </w:tcPr>
          <w:p w:rsidR="00423C6C" w:rsidRPr="00B20883" w:rsidRDefault="00423C6C" w:rsidP="00A5046E">
            <w:pPr>
              <w:spacing w:line="240" w:lineRule="auto"/>
              <w:rPr>
                <w:rFonts w:ascii="Calibri" w:hAnsi="Calibri"/>
                <w:color w:val="000000"/>
                <w:szCs w:val="22"/>
                <w:lang w:eastAsia="en-AU"/>
              </w:rPr>
            </w:pPr>
            <w:r w:rsidRPr="00B20883">
              <w:rPr>
                <w:rFonts w:ascii="Calibri" w:hAnsi="Calibri"/>
                <w:color w:val="000000"/>
                <w:szCs w:val="22"/>
                <w:lang w:eastAsia="en-AU"/>
              </w:rPr>
              <w:t>80</w:t>
            </w:r>
          </w:p>
        </w:tc>
        <w:tc>
          <w:tcPr>
            <w:tcW w:w="455" w:type="pct"/>
            <w:tcBorders>
              <w:top w:val="nil"/>
              <w:left w:val="nil"/>
              <w:bottom w:val="nil"/>
              <w:right w:val="nil"/>
            </w:tcBorders>
            <w:shd w:val="clear" w:color="auto" w:fill="auto"/>
            <w:noWrap/>
            <w:vAlign w:val="bottom"/>
            <w:hideMark/>
          </w:tcPr>
          <w:p w:rsidR="00423C6C" w:rsidRPr="00B20883" w:rsidRDefault="00423C6C" w:rsidP="00A5046E">
            <w:pPr>
              <w:spacing w:line="240" w:lineRule="auto"/>
              <w:rPr>
                <w:rFonts w:ascii="Calibri" w:hAnsi="Calibri"/>
                <w:color w:val="000000"/>
                <w:szCs w:val="22"/>
                <w:lang w:eastAsia="en-AU"/>
              </w:rPr>
            </w:pPr>
            <w:r w:rsidRPr="00B20883">
              <w:rPr>
                <w:rFonts w:ascii="Calibri" w:hAnsi="Calibri"/>
                <w:color w:val="000000"/>
                <w:szCs w:val="22"/>
                <w:lang w:eastAsia="en-AU"/>
              </w:rPr>
              <w:t>90</w:t>
            </w:r>
          </w:p>
        </w:tc>
        <w:tc>
          <w:tcPr>
            <w:tcW w:w="450" w:type="pct"/>
            <w:tcBorders>
              <w:top w:val="nil"/>
              <w:left w:val="nil"/>
              <w:bottom w:val="nil"/>
              <w:right w:val="nil"/>
            </w:tcBorders>
            <w:shd w:val="clear" w:color="auto" w:fill="auto"/>
            <w:noWrap/>
            <w:vAlign w:val="bottom"/>
            <w:hideMark/>
          </w:tcPr>
          <w:p w:rsidR="00423C6C" w:rsidRPr="00B20883" w:rsidRDefault="00423C6C" w:rsidP="00E060B9">
            <w:pPr>
              <w:spacing w:line="240" w:lineRule="auto"/>
              <w:rPr>
                <w:rFonts w:ascii="Calibri" w:hAnsi="Calibri"/>
                <w:color w:val="000000"/>
                <w:szCs w:val="22"/>
                <w:lang w:eastAsia="en-AU"/>
              </w:rPr>
            </w:pPr>
            <w:r w:rsidRPr="00B20883">
              <w:rPr>
                <w:rFonts w:ascii="Calibri" w:hAnsi="Calibri"/>
                <w:color w:val="000000"/>
                <w:szCs w:val="22"/>
                <w:lang w:eastAsia="en-AU"/>
              </w:rPr>
              <w:t>100</w:t>
            </w:r>
          </w:p>
        </w:tc>
      </w:tr>
      <w:tr w:rsidR="00423C6C" w:rsidRPr="00B20883" w:rsidTr="00423C6C">
        <w:trPr>
          <w:trHeight w:val="300"/>
        </w:trPr>
        <w:tc>
          <w:tcPr>
            <w:tcW w:w="455" w:type="pct"/>
            <w:tcBorders>
              <w:top w:val="nil"/>
              <w:left w:val="nil"/>
              <w:bottom w:val="nil"/>
              <w:right w:val="nil"/>
            </w:tcBorders>
            <w:shd w:val="clear" w:color="000000" w:fill="FFFF00"/>
            <w:noWrap/>
            <w:vAlign w:val="bottom"/>
            <w:hideMark/>
          </w:tcPr>
          <w:p w:rsidR="00423C6C" w:rsidRPr="00B20883" w:rsidRDefault="00423C6C" w:rsidP="00433ED5">
            <w:pPr>
              <w:spacing w:line="240" w:lineRule="auto"/>
              <w:jc w:val="right"/>
              <w:rPr>
                <w:rFonts w:ascii="Calibri" w:hAnsi="Calibri"/>
                <w:color w:val="000000"/>
                <w:sz w:val="2"/>
                <w:szCs w:val="2"/>
                <w:lang w:eastAsia="en-AU"/>
              </w:rPr>
            </w:pPr>
            <w:r w:rsidRPr="00B20883">
              <w:rPr>
                <w:rFonts w:ascii="Calibri" w:hAnsi="Calibri"/>
                <w:color w:val="000000"/>
                <w:sz w:val="2"/>
                <w:szCs w:val="2"/>
                <w:lang w:eastAsia="en-AU"/>
              </w:rPr>
              <w:t>0</w:t>
            </w:r>
          </w:p>
        </w:tc>
        <w:tc>
          <w:tcPr>
            <w:tcW w:w="455" w:type="pct"/>
            <w:tcBorders>
              <w:top w:val="nil"/>
              <w:left w:val="nil"/>
              <w:bottom w:val="nil"/>
              <w:right w:val="nil"/>
            </w:tcBorders>
            <w:shd w:val="clear" w:color="000000" w:fill="EAF610"/>
            <w:noWrap/>
            <w:vAlign w:val="bottom"/>
            <w:hideMark/>
          </w:tcPr>
          <w:p w:rsidR="00423C6C" w:rsidRPr="00B20883" w:rsidRDefault="00423C6C" w:rsidP="00433ED5">
            <w:pPr>
              <w:spacing w:line="240" w:lineRule="auto"/>
              <w:jc w:val="right"/>
              <w:rPr>
                <w:rFonts w:ascii="Calibri" w:hAnsi="Calibri"/>
                <w:color w:val="000000"/>
                <w:sz w:val="2"/>
                <w:szCs w:val="2"/>
                <w:lang w:eastAsia="en-AU"/>
              </w:rPr>
            </w:pPr>
            <w:r w:rsidRPr="00B20883">
              <w:rPr>
                <w:rFonts w:ascii="Calibri" w:hAnsi="Calibri"/>
                <w:color w:val="000000"/>
                <w:sz w:val="2"/>
                <w:szCs w:val="2"/>
                <w:lang w:eastAsia="en-AU"/>
              </w:rPr>
              <w:t>10</w:t>
            </w:r>
          </w:p>
        </w:tc>
        <w:tc>
          <w:tcPr>
            <w:tcW w:w="455" w:type="pct"/>
            <w:tcBorders>
              <w:top w:val="nil"/>
              <w:left w:val="nil"/>
              <w:bottom w:val="nil"/>
              <w:right w:val="nil"/>
            </w:tcBorders>
            <w:shd w:val="clear" w:color="000000" w:fill="D4ED20"/>
            <w:noWrap/>
            <w:vAlign w:val="bottom"/>
            <w:hideMark/>
          </w:tcPr>
          <w:p w:rsidR="00423C6C" w:rsidRPr="00B20883" w:rsidRDefault="00423C6C" w:rsidP="00433ED5">
            <w:pPr>
              <w:spacing w:line="240" w:lineRule="auto"/>
              <w:jc w:val="right"/>
              <w:rPr>
                <w:rFonts w:ascii="Calibri" w:hAnsi="Calibri"/>
                <w:color w:val="000000"/>
                <w:sz w:val="2"/>
                <w:szCs w:val="2"/>
                <w:lang w:eastAsia="en-AU"/>
              </w:rPr>
            </w:pPr>
            <w:r w:rsidRPr="00B20883">
              <w:rPr>
                <w:rFonts w:ascii="Calibri" w:hAnsi="Calibri"/>
                <w:color w:val="000000"/>
                <w:sz w:val="2"/>
                <w:szCs w:val="2"/>
                <w:lang w:eastAsia="en-AU"/>
              </w:rPr>
              <w:t>20</w:t>
            </w:r>
          </w:p>
        </w:tc>
        <w:tc>
          <w:tcPr>
            <w:tcW w:w="455" w:type="pct"/>
            <w:tcBorders>
              <w:top w:val="nil"/>
              <w:left w:val="nil"/>
              <w:bottom w:val="nil"/>
              <w:right w:val="nil"/>
            </w:tcBorders>
            <w:shd w:val="clear" w:color="000000" w:fill="BEE330"/>
            <w:noWrap/>
            <w:vAlign w:val="bottom"/>
            <w:hideMark/>
          </w:tcPr>
          <w:p w:rsidR="00423C6C" w:rsidRPr="00B20883" w:rsidRDefault="00423C6C" w:rsidP="00433ED5">
            <w:pPr>
              <w:spacing w:line="240" w:lineRule="auto"/>
              <w:jc w:val="right"/>
              <w:rPr>
                <w:rFonts w:ascii="Calibri" w:hAnsi="Calibri"/>
                <w:color w:val="000000"/>
                <w:sz w:val="2"/>
                <w:szCs w:val="2"/>
                <w:lang w:eastAsia="en-AU"/>
              </w:rPr>
            </w:pPr>
            <w:r w:rsidRPr="00B20883">
              <w:rPr>
                <w:rFonts w:ascii="Calibri" w:hAnsi="Calibri"/>
                <w:color w:val="000000"/>
                <w:sz w:val="2"/>
                <w:szCs w:val="2"/>
                <w:lang w:eastAsia="en-AU"/>
              </w:rPr>
              <w:t>30</w:t>
            </w:r>
          </w:p>
        </w:tc>
        <w:tc>
          <w:tcPr>
            <w:tcW w:w="455" w:type="pct"/>
            <w:tcBorders>
              <w:top w:val="nil"/>
              <w:left w:val="nil"/>
              <w:bottom w:val="nil"/>
              <w:right w:val="nil"/>
            </w:tcBorders>
            <w:shd w:val="clear" w:color="000000" w:fill="A8DA40"/>
            <w:noWrap/>
            <w:vAlign w:val="bottom"/>
            <w:hideMark/>
          </w:tcPr>
          <w:p w:rsidR="00423C6C" w:rsidRPr="00B20883" w:rsidRDefault="00423C6C" w:rsidP="00433ED5">
            <w:pPr>
              <w:spacing w:line="240" w:lineRule="auto"/>
              <w:jc w:val="right"/>
              <w:rPr>
                <w:rFonts w:ascii="Calibri" w:hAnsi="Calibri"/>
                <w:color w:val="000000"/>
                <w:sz w:val="2"/>
                <w:szCs w:val="2"/>
                <w:lang w:eastAsia="en-AU"/>
              </w:rPr>
            </w:pPr>
            <w:r w:rsidRPr="00B20883">
              <w:rPr>
                <w:rFonts w:ascii="Calibri" w:hAnsi="Calibri"/>
                <w:color w:val="000000"/>
                <w:sz w:val="2"/>
                <w:szCs w:val="2"/>
                <w:lang w:eastAsia="en-AU"/>
              </w:rPr>
              <w:t>40</w:t>
            </w:r>
          </w:p>
        </w:tc>
        <w:tc>
          <w:tcPr>
            <w:tcW w:w="455" w:type="pct"/>
            <w:tcBorders>
              <w:top w:val="nil"/>
              <w:left w:val="nil"/>
              <w:bottom w:val="nil"/>
              <w:right w:val="nil"/>
            </w:tcBorders>
            <w:shd w:val="clear" w:color="000000" w:fill="92D050"/>
            <w:noWrap/>
            <w:vAlign w:val="bottom"/>
            <w:hideMark/>
          </w:tcPr>
          <w:p w:rsidR="00423C6C" w:rsidRPr="00B20883" w:rsidRDefault="00423C6C" w:rsidP="002159C6">
            <w:pPr>
              <w:spacing w:line="240" w:lineRule="auto"/>
              <w:jc w:val="right"/>
              <w:rPr>
                <w:rFonts w:ascii="Calibri" w:hAnsi="Calibri"/>
                <w:color w:val="000000"/>
                <w:sz w:val="2"/>
                <w:szCs w:val="2"/>
                <w:lang w:eastAsia="en-AU"/>
              </w:rPr>
            </w:pPr>
            <w:r w:rsidRPr="00B20883">
              <w:rPr>
                <w:rFonts w:ascii="Calibri" w:hAnsi="Calibri"/>
                <w:color w:val="000000"/>
                <w:sz w:val="2"/>
                <w:szCs w:val="2"/>
                <w:lang w:eastAsia="en-AU"/>
              </w:rPr>
              <w:t>50</w:t>
            </w:r>
          </w:p>
        </w:tc>
        <w:tc>
          <w:tcPr>
            <w:tcW w:w="455" w:type="pct"/>
            <w:tcBorders>
              <w:top w:val="nil"/>
              <w:left w:val="nil"/>
              <w:bottom w:val="nil"/>
              <w:right w:val="nil"/>
            </w:tcBorders>
            <w:shd w:val="clear" w:color="000000" w:fill="75AD53"/>
            <w:noWrap/>
            <w:vAlign w:val="bottom"/>
            <w:hideMark/>
          </w:tcPr>
          <w:p w:rsidR="00423C6C" w:rsidRPr="00B20883" w:rsidRDefault="00423C6C" w:rsidP="002159C6">
            <w:pPr>
              <w:spacing w:line="240" w:lineRule="auto"/>
              <w:jc w:val="right"/>
              <w:rPr>
                <w:rFonts w:ascii="Calibri" w:hAnsi="Calibri"/>
                <w:color w:val="000000"/>
                <w:sz w:val="2"/>
                <w:szCs w:val="2"/>
                <w:lang w:eastAsia="en-AU"/>
              </w:rPr>
            </w:pPr>
            <w:r w:rsidRPr="00B20883">
              <w:rPr>
                <w:rFonts w:ascii="Calibri" w:hAnsi="Calibri"/>
                <w:color w:val="000000"/>
                <w:sz w:val="2"/>
                <w:szCs w:val="2"/>
                <w:lang w:eastAsia="en-AU"/>
              </w:rPr>
              <w:t>60</w:t>
            </w:r>
          </w:p>
        </w:tc>
        <w:tc>
          <w:tcPr>
            <w:tcW w:w="455" w:type="pct"/>
            <w:tcBorders>
              <w:top w:val="nil"/>
              <w:left w:val="nil"/>
              <w:bottom w:val="nil"/>
              <w:right w:val="nil"/>
            </w:tcBorders>
            <w:shd w:val="clear" w:color="000000" w:fill="588A56"/>
            <w:noWrap/>
            <w:vAlign w:val="bottom"/>
            <w:hideMark/>
          </w:tcPr>
          <w:p w:rsidR="00423C6C" w:rsidRPr="00B20883" w:rsidRDefault="00423C6C" w:rsidP="00704E86">
            <w:pPr>
              <w:spacing w:line="240" w:lineRule="auto"/>
              <w:jc w:val="right"/>
              <w:rPr>
                <w:rFonts w:ascii="Calibri" w:hAnsi="Calibri"/>
                <w:color w:val="000000"/>
                <w:sz w:val="2"/>
                <w:szCs w:val="2"/>
                <w:lang w:eastAsia="en-AU"/>
              </w:rPr>
            </w:pPr>
            <w:r w:rsidRPr="00B20883">
              <w:rPr>
                <w:rFonts w:ascii="Calibri" w:hAnsi="Calibri"/>
                <w:color w:val="000000"/>
                <w:sz w:val="2"/>
                <w:szCs w:val="2"/>
                <w:lang w:eastAsia="en-AU"/>
              </w:rPr>
              <w:t>70</w:t>
            </w:r>
          </w:p>
        </w:tc>
        <w:tc>
          <w:tcPr>
            <w:tcW w:w="455" w:type="pct"/>
            <w:tcBorders>
              <w:top w:val="nil"/>
              <w:left w:val="nil"/>
              <w:bottom w:val="nil"/>
              <w:right w:val="nil"/>
            </w:tcBorders>
            <w:shd w:val="clear" w:color="000000" w:fill="3B6759"/>
            <w:noWrap/>
            <w:vAlign w:val="bottom"/>
            <w:hideMark/>
          </w:tcPr>
          <w:p w:rsidR="00423C6C" w:rsidRPr="00B20883" w:rsidRDefault="00423C6C" w:rsidP="00A5046E">
            <w:pPr>
              <w:spacing w:line="240" w:lineRule="auto"/>
              <w:jc w:val="right"/>
              <w:rPr>
                <w:rFonts w:ascii="Calibri" w:hAnsi="Calibri"/>
                <w:color w:val="000000"/>
                <w:sz w:val="2"/>
                <w:szCs w:val="2"/>
                <w:lang w:eastAsia="en-AU"/>
              </w:rPr>
            </w:pPr>
            <w:r w:rsidRPr="00B20883">
              <w:rPr>
                <w:rFonts w:ascii="Calibri" w:hAnsi="Calibri"/>
                <w:color w:val="000000"/>
                <w:sz w:val="2"/>
                <w:szCs w:val="2"/>
                <w:lang w:eastAsia="en-AU"/>
              </w:rPr>
              <w:t>80</w:t>
            </w:r>
          </w:p>
        </w:tc>
        <w:tc>
          <w:tcPr>
            <w:tcW w:w="455" w:type="pct"/>
            <w:tcBorders>
              <w:top w:val="nil"/>
              <w:left w:val="nil"/>
              <w:bottom w:val="nil"/>
              <w:right w:val="nil"/>
            </w:tcBorders>
            <w:shd w:val="clear" w:color="000000" w:fill="1E445C"/>
            <w:noWrap/>
            <w:vAlign w:val="bottom"/>
            <w:hideMark/>
          </w:tcPr>
          <w:p w:rsidR="00423C6C" w:rsidRPr="00B20883" w:rsidRDefault="00423C6C" w:rsidP="00A5046E">
            <w:pPr>
              <w:spacing w:line="240" w:lineRule="auto"/>
              <w:jc w:val="right"/>
              <w:rPr>
                <w:rFonts w:ascii="Calibri" w:hAnsi="Calibri"/>
                <w:color w:val="000000"/>
                <w:sz w:val="2"/>
                <w:szCs w:val="2"/>
                <w:lang w:eastAsia="en-AU"/>
              </w:rPr>
            </w:pPr>
            <w:r w:rsidRPr="00B20883">
              <w:rPr>
                <w:rFonts w:ascii="Calibri" w:hAnsi="Calibri"/>
                <w:color w:val="000000"/>
                <w:sz w:val="2"/>
                <w:szCs w:val="2"/>
                <w:lang w:eastAsia="en-AU"/>
              </w:rPr>
              <w:t>90</w:t>
            </w:r>
          </w:p>
        </w:tc>
        <w:tc>
          <w:tcPr>
            <w:tcW w:w="450" w:type="pct"/>
            <w:tcBorders>
              <w:top w:val="nil"/>
              <w:left w:val="nil"/>
              <w:bottom w:val="nil"/>
              <w:right w:val="nil"/>
            </w:tcBorders>
            <w:shd w:val="clear" w:color="000000" w:fill="002060"/>
            <w:noWrap/>
            <w:vAlign w:val="bottom"/>
            <w:hideMark/>
          </w:tcPr>
          <w:p w:rsidR="00423C6C" w:rsidRPr="00B20883" w:rsidRDefault="00423C6C" w:rsidP="00A5046E">
            <w:pPr>
              <w:spacing w:line="240" w:lineRule="auto"/>
              <w:jc w:val="right"/>
              <w:rPr>
                <w:rFonts w:ascii="Calibri" w:hAnsi="Calibri"/>
                <w:color w:val="000000"/>
                <w:sz w:val="2"/>
                <w:szCs w:val="2"/>
                <w:lang w:eastAsia="en-AU"/>
              </w:rPr>
            </w:pPr>
            <w:r w:rsidRPr="00B20883">
              <w:rPr>
                <w:rFonts w:ascii="Calibri" w:hAnsi="Calibri"/>
                <w:color w:val="000000"/>
                <w:sz w:val="2"/>
                <w:szCs w:val="2"/>
                <w:lang w:eastAsia="en-AU"/>
              </w:rPr>
              <w:t>100</w:t>
            </w:r>
          </w:p>
        </w:tc>
      </w:tr>
    </w:tbl>
    <w:p w:rsidR="00423C6C" w:rsidRDefault="00423C6C" w:rsidP="00423C6C">
      <w:pPr>
        <w:pStyle w:val="BodyText"/>
        <w:tabs>
          <w:tab w:val="left" w:pos="4111"/>
        </w:tabs>
        <w:spacing w:line="240" w:lineRule="atLeast"/>
        <w:rPr>
          <w:rFonts w:ascii="Arial" w:hAnsi="Arial" w:cs="Arial"/>
          <w:i w:val="0"/>
          <w:sz w:val="20"/>
        </w:rPr>
      </w:pPr>
    </w:p>
    <w:p w:rsidR="00423C6C" w:rsidRDefault="004176FF" w:rsidP="00423C6C">
      <w:pPr>
        <w:pStyle w:val="BodyText"/>
        <w:tabs>
          <w:tab w:val="left" w:pos="4111"/>
        </w:tabs>
        <w:spacing w:line="240" w:lineRule="atLeast"/>
        <w:rPr>
          <w:rFonts w:ascii="Arial" w:hAnsi="Arial" w:cs="Arial"/>
          <w:i w:val="0"/>
          <w:sz w:val="20"/>
        </w:rPr>
      </w:pPr>
      <w:r>
        <w:rPr>
          <w:noProof/>
          <w:lang w:eastAsia="en-AU"/>
        </w:rPr>
        <mc:AlternateContent>
          <mc:Choice Requires="wps">
            <w:drawing>
              <wp:anchor distT="0" distB="0" distL="114300" distR="114300" simplePos="0" relativeHeight="251666432" behindDoc="0" locked="0" layoutInCell="1" allowOverlap="1">
                <wp:simplePos x="0" y="0"/>
                <wp:positionH relativeFrom="column">
                  <wp:posOffset>2513330</wp:posOffset>
                </wp:positionH>
                <wp:positionV relativeFrom="paragraph">
                  <wp:posOffset>42545</wp:posOffset>
                </wp:positionV>
                <wp:extent cx="847725" cy="361950"/>
                <wp:effectExtent l="0" t="0" r="9525" b="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54D5" w:rsidRPr="00B6593D" w:rsidRDefault="00EA54D5" w:rsidP="00423C6C">
                            <w:pPr>
                              <w:rPr>
                                <w:b/>
                              </w:rPr>
                            </w:pPr>
                            <w:r>
                              <w:rPr>
                                <w:b/>
                              </w:rPr>
                              <w:t>Poor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059" type="#_x0000_t202" style="position:absolute;left:0;text-align:left;margin-left:197.9pt;margin-top:3.35pt;width:66.75pt;height: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" stroked="f">
                <v:textbox>
                  <w:txbxContent>
                    <w:p w:rsidR="00EA54D5" w:rsidRPr="00B6593D" w:rsidRDefault="00EA54D5" w:rsidP="00423C6C">
                      <w:pPr>
                        <w:rPr>
                          <w:b/>
                        </w:rPr>
                      </w:pPr>
                      <w:r>
                        <w:rPr>
                          <w:b/>
                        </w:rPr>
                        <w:t>Poor</w:t>
                      </w:r>
                    </w:p>
                  </w:txbxContent>
                </v:textbox>
              </v:shape>
            </w:pict>
          </mc:Fallback>
        </mc:AlternateContent>
      </w:r>
      <w:r>
        <w:rPr>
          <w:noProof/>
          <w:lang w:eastAsia="en-AU"/>
        </w:rPr>
        <mc:AlternateContent>
          <mc:Choice Requires="wps">
            <w:drawing>
              <wp:anchor distT="0" distB="0" distL="114300" distR="114300" simplePos="0" relativeHeight="251668480" behindDoc="0" locked="0" layoutInCell="1" allowOverlap="1">
                <wp:simplePos x="0" y="0"/>
                <wp:positionH relativeFrom="column">
                  <wp:posOffset>4618355</wp:posOffset>
                </wp:positionH>
                <wp:positionV relativeFrom="paragraph">
                  <wp:posOffset>52070</wp:posOffset>
                </wp:positionV>
                <wp:extent cx="847725" cy="361950"/>
                <wp:effectExtent l="0" t="0" r="9525" b="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54D5" w:rsidRPr="00B6593D" w:rsidRDefault="00EA54D5" w:rsidP="00423C6C">
                            <w:pPr>
                              <w:rPr>
                                <w:b/>
                              </w:rPr>
                            </w:pPr>
                            <w:r>
                              <w:rPr>
                                <w:b/>
                              </w:rPr>
                              <w:t xml:space="preserve">    Good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060" type="#_x0000_t202" style="position:absolute;left:0;text-align:left;margin-left:363.65pt;margin-top:4.1pt;width:66.75pt;height: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" stroked="f">
                <v:textbox>
                  <w:txbxContent>
                    <w:p w:rsidR="00EA54D5" w:rsidRPr="00B6593D" w:rsidRDefault="00EA54D5" w:rsidP="00423C6C">
                      <w:pPr>
                        <w:rPr>
                          <w:b/>
                        </w:rPr>
                      </w:pPr>
                      <w:r>
                        <w:rPr>
                          <w:b/>
                        </w:rPr>
                        <w:t xml:space="preserve">    Good</w:t>
                      </w:r>
                    </w:p>
                  </w:txbxContent>
                </v:textbox>
              </v:shape>
            </w:pict>
          </mc:Fallback>
        </mc:AlternateContent>
      </w:r>
      <w:r>
        <w:rPr>
          <w:noProof/>
          <w:lang w:eastAsia="en-AU"/>
        </w:rPr>
        <mc:AlternateContent>
          <mc:Choice Requires="wps">
            <w:drawing>
              <wp:anchor distT="0" distB="0" distL="114300" distR="114300" simplePos="0" relativeHeight="251667456" behindDoc="0" locked="0" layoutInCell="1" allowOverlap="1">
                <wp:simplePos x="0" y="0"/>
                <wp:positionH relativeFrom="column">
                  <wp:posOffset>3365500</wp:posOffset>
                </wp:positionH>
                <wp:positionV relativeFrom="paragraph">
                  <wp:posOffset>45720</wp:posOffset>
                </wp:positionV>
                <wp:extent cx="1123950" cy="361950"/>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54D5" w:rsidRPr="00B6593D" w:rsidRDefault="00EA54D5" w:rsidP="00423C6C">
                            <w:pPr>
                              <w:rPr>
                                <w:b/>
                              </w:rPr>
                            </w:pPr>
                            <w:r>
                              <w:rPr>
                                <w:b/>
                              </w:rPr>
                              <w:t xml:space="preserve">   Moderate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061" type="#_x0000_t202" style="position:absolute;left:0;text-align:left;margin-left:265pt;margin-top:3.6pt;width:88.5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" stroked="f">
                <v:textbox>
                  <w:txbxContent>
                    <w:p w:rsidR="00EA54D5" w:rsidRPr="00B6593D" w:rsidRDefault="00EA54D5" w:rsidP="00423C6C">
                      <w:pPr>
                        <w:rPr>
                          <w:b/>
                        </w:rPr>
                      </w:pPr>
                      <w:r>
                        <w:rPr>
                          <w:b/>
                        </w:rPr>
                        <w:t xml:space="preserve">   Moderate</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simplePos x="0" y="0"/>
                <wp:positionH relativeFrom="column">
                  <wp:posOffset>12700</wp:posOffset>
                </wp:positionH>
                <wp:positionV relativeFrom="paragraph">
                  <wp:posOffset>36195</wp:posOffset>
                </wp:positionV>
                <wp:extent cx="1171575" cy="361950"/>
                <wp:effectExtent l="0" t="0" r="9525" b="0"/>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54D5" w:rsidRPr="00B6593D" w:rsidRDefault="00EA54D5" w:rsidP="00423C6C">
                            <w:pPr>
                              <w:jc w:val="center"/>
                              <w:rPr>
                                <w:b/>
                              </w:rPr>
                            </w:pPr>
                            <w:r>
                              <w:rPr>
                                <w:b/>
                              </w:rPr>
                              <w:t>Extremely P</w:t>
                            </w:r>
                            <w:r w:rsidRPr="00B6593D">
                              <w:rPr>
                                <w:b/>
                              </w:rPr>
                              <w:t>oor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062" type="#_x0000_t202" style="position:absolute;left:0;text-align:left;margin-left:1pt;margin-top:2.85pt;width:92.25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" stroked="f">
                <v:textbox>
                  <w:txbxContent>
                    <w:p w:rsidR="00EA54D5" w:rsidRPr="00B6593D" w:rsidRDefault="00EA54D5" w:rsidP="00423C6C">
                      <w:pPr>
                        <w:jc w:val="center"/>
                        <w:rPr>
                          <w:b/>
                        </w:rPr>
                      </w:pPr>
                      <w:r>
                        <w:rPr>
                          <w:b/>
                        </w:rPr>
                        <w:t>Extremely P</w:t>
                      </w:r>
                      <w:r w:rsidRPr="00B6593D">
                        <w:rPr>
                          <w:b/>
                        </w:rPr>
                        <w:t>oor</w:t>
                      </w:r>
                    </w:p>
                  </w:txbxContent>
                </v:textbox>
              </v:shape>
            </w:pict>
          </mc:Fallback>
        </mc:AlternateContent>
      </w:r>
      <w:r>
        <w:rPr>
          <w:noProof/>
          <w:lang w:eastAsia="en-AU"/>
        </w:rPr>
        <mc:AlternateContent>
          <mc:Choice Requires="wps">
            <w:drawing>
              <wp:anchor distT="0" distB="0" distL="114300" distR="114300" simplePos="0" relativeHeight="251665408" behindDoc="0" locked="0" layoutInCell="1" allowOverlap="1">
                <wp:simplePos x="0" y="0"/>
                <wp:positionH relativeFrom="column">
                  <wp:posOffset>1146175</wp:posOffset>
                </wp:positionH>
                <wp:positionV relativeFrom="paragraph">
                  <wp:posOffset>45720</wp:posOffset>
                </wp:positionV>
                <wp:extent cx="1047750" cy="361950"/>
                <wp:effectExtent l="0" t="0" r="0" b="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54D5" w:rsidRPr="00B6593D" w:rsidRDefault="00EA54D5" w:rsidP="00423C6C">
                            <w:pPr>
                              <w:jc w:val="center"/>
                              <w:rPr>
                                <w:b/>
                              </w:rPr>
                            </w:pPr>
                            <w:r>
                              <w:rPr>
                                <w:b/>
                              </w:rPr>
                              <w:t xml:space="preserve">Very </w:t>
                            </w:r>
                            <w:r w:rsidRPr="00B6593D">
                              <w:rPr>
                                <w:b/>
                              </w:rPr>
                              <w:t>Poor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063" type="#_x0000_t202" style="position:absolute;left:0;text-align:left;margin-left:90.25pt;margin-top:3.6pt;width:82.5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" stroked="f">
                <v:textbox>
                  <w:txbxContent>
                    <w:p w:rsidR="00EA54D5" w:rsidRPr="00B6593D" w:rsidRDefault="00EA54D5" w:rsidP="00423C6C">
                      <w:pPr>
                        <w:jc w:val="center"/>
                        <w:rPr>
                          <w:b/>
                        </w:rPr>
                      </w:pPr>
                      <w:r>
                        <w:rPr>
                          <w:b/>
                        </w:rPr>
                        <w:t xml:space="preserve">Very </w:t>
                      </w:r>
                      <w:r w:rsidRPr="00B6593D">
                        <w:rPr>
                          <w:b/>
                        </w:rPr>
                        <w:t>Poor</w:t>
                      </w:r>
                    </w:p>
                  </w:txbxContent>
                </v:textbox>
              </v:shape>
            </w:pict>
          </mc:Fallback>
        </mc:AlternateContent>
      </w:r>
    </w:p>
    <w:p w:rsidR="00423C6C" w:rsidRDefault="00423C6C" w:rsidP="00423C6C">
      <w:pPr>
        <w:pStyle w:val="BodyText"/>
        <w:tabs>
          <w:tab w:val="left" w:pos="4111"/>
        </w:tabs>
        <w:spacing w:line="240" w:lineRule="atLeast"/>
        <w:rPr>
          <w:rFonts w:ascii="Arial" w:hAnsi="Arial" w:cs="Arial"/>
          <w:i w:val="0"/>
          <w:sz w:val="20"/>
        </w:rPr>
      </w:pPr>
    </w:p>
    <w:p w:rsidR="00DA6C28" w:rsidRDefault="00DA6C28" w:rsidP="00DA6C28">
      <w:pPr>
        <w:pStyle w:val="Caption"/>
      </w:pPr>
    </w:p>
    <w:p w:rsidR="00DA6C28" w:rsidRPr="00B53BDE" w:rsidRDefault="00DA6C28" w:rsidP="00B53BDE">
      <w:pPr>
        <w:pStyle w:val="Caption"/>
      </w:pPr>
      <w:bookmarkStart w:id="154" w:name="_Ref458691821"/>
      <w:r>
        <w:t xml:space="preserve">Figure </w:t>
      </w:r>
      <w:fldSimple w:instr=" STYLEREF 6 \s ">
        <w:r w:rsidR="00673DAF">
          <w:rPr>
            <w:noProof/>
          </w:rPr>
          <w:t>I</w:t>
        </w:r>
      </w:fldSimple>
      <w:r w:rsidR="00673DAF">
        <w:noBreakHyphen/>
      </w:r>
      <w:fldSimple w:instr=" SEQ Figure \* ARABIC \s 6 ">
        <w:r w:rsidR="00673DAF">
          <w:rPr>
            <w:noProof/>
          </w:rPr>
          <w:t>3</w:t>
        </w:r>
      </w:fldSimple>
      <w:bookmarkEnd w:id="154"/>
      <w:r>
        <w:t xml:space="preserve"> </w:t>
      </w:r>
      <w:r w:rsidRPr="00DC18EE">
        <w:t xml:space="preserve">Colour scale used to represent results of the health indices calculated for the 19 sites sampled across the lower Gwydir </w:t>
      </w:r>
      <w:r w:rsidR="00BE5847">
        <w:t>Catchment</w:t>
      </w:r>
      <w:r w:rsidRPr="00DC18EE">
        <w:t>.</w:t>
      </w:r>
      <w:r w:rsidR="000F3C87">
        <w:br w:type="page"/>
      </w:r>
      <w:bookmarkStart w:id="155" w:name="_Ref458881123"/>
      <w:r w:rsidRPr="00B53BDE">
        <w:t xml:space="preserve">Table </w:t>
      </w:r>
      <w:fldSimple w:instr=" STYLEREF 6 \s ">
        <w:r w:rsidR="005D5925">
          <w:rPr>
            <w:noProof/>
          </w:rPr>
          <w:t>I</w:t>
        </w:r>
      </w:fldSimple>
      <w:r w:rsidR="005D4453">
        <w:noBreakHyphen/>
      </w:r>
      <w:fldSimple w:instr=" SEQ Table \* ARABIC \s 6 ">
        <w:r w:rsidR="005D5925">
          <w:rPr>
            <w:noProof/>
          </w:rPr>
          <w:t>2</w:t>
        </w:r>
      </w:fldSimple>
      <w:bookmarkEnd w:id="155"/>
      <w:r w:rsidRPr="00B53BDE">
        <w:t xml:space="preserve"> Native freshwater fish species predicted to have occurred across the lower Gwydir </w:t>
      </w:r>
      <w:r w:rsidR="00BE5847">
        <w:t>Catchment</w:t>
      </w:r>
      <w:r w:rsidRPr="00B53BDE">
        <w:t xml:space="preserve"> prior to European colonisation. Descriptions of predominance (occurrence) correspond to RC-F categories for the Murray Darling </w:t>
      </w:r>
      <w:r w:rsidR="00BE5847">
        <w:t>Catchment</w:t>
      </w:r>
      <w:r w:rsidRPr="00B53BDE">
        <w:t>s Sustainable Rivers Audit program and are used to generate fish condition metrics.</w:t>
      </w:r>
    </w:p>
    <w:tbl>
      <w:tblPr>
        <w:tblW w:w="5000" w:type="pct"/>
        <w:tblBorders>
          <w:insideH w:val="single" w:sz="4" w:space="0" w:color="auto"/>
          <w:insideV w:val="single" w:sz="4" w:space="0" w:color="auto"/>
        </w:tblBorders>
        <w:tblLook w:val="0000" w:firstRow="0" w:lastRow="0" w:firstColumn="0" w:lastColumn="0" w:noHBand="0" w:noVBand="0"/>
      </w:tblPr>
      <w:tblGrid>
        <w:gridCol w:w="4122"/>
        <w:gridCol w:w="3185"/>
        <w:gridCol w:w="1893"/>
      </w:tblGrid>
      <w:tr w:rsidR="00423C6C" w:rsidRPr="00E23B8D" w:rsidTr="00CC18AA">
        <w:trPr>
          <w:trHeight w:val="255"/>
        </w:trPr>
        <w:tc>
          <w:tcPr>
            <w:tcW w:w="2240" w:type="pct"/>
            <w:tcBorders>
              <w:top w:val="single" w:sz="4" w:space="0" w:color="auto"/>
            </w:tcBorders>
            <w:shd w:val="clear" w:color="auto" w:fill="D9D9D9"/>
            <w:noWrap/>
            <w:vAlign w:val="bottom"/>
          </w:tcPr>
          <w:p w:rsidR="00423C6C" w:rsidRPr="00E23B8D" w:rsidRDefault="00423C6C" w:rsidP="00E23B8D">
            <w:pPr>
              <w:spacing w:before="60" w:after="60"/>
              <w:rPr>
                <w:rFonts w:cs="Arial"/>
                <w:bCs/>
                <w:szCs w:val="20"/>
              </w:rPr>
            </w:pPr>
            <w:bookmarkStart w:id="156" w:name="_Toc398489968"/>
            <w:r w:rsidRPr="00E23B8D">
              <w:rPr>
                <w:rFonts w:cs="Arial"/>
                <w:bCs/>
                <w:szCs w:val="20"/>
              </w:rPr>
              <w:t>Species</w:t>
            </w:r>
          </w:p>
        </w:tc>
        <w:tc>
          <w:tcPr>
            <w:tcW w:w="1731" w:type="pct"/>
            <w:tcBorders>
              <w:top w:val="single" w:sz="4" w:space="0" w:color="auto"/>
            </w:tcBorders>
            <w:shd w:val="clear" w:color="auto" w:fill="D9D9D9"/>
            <w:noWrap/>
            <w:vAlign w:val="bottom"/>
          </w:tcPr>
          <w:p w:rsidR="00423C6C" w:rsidRPr="00E23B8D" w:rsidRDefault="00423C6C" w:rsidP="00E23B8D">
            <w:pPr>
              <w:spacing w:before="60" w:after="60"/>
              <w:rPr>
                <w:rFonts w:cs="Arial"/>
                <w:bCs/>
                <w:szCs w:val="20"/>
              </w:rPr>
            </w:pPr>
            <w:r w:rsidRPr="00E23B8D">
              <w:rPr>
                <w:rFonts w:cs="Arial"/>
                <w:bCs/>
                <w:szCs w:val="20"/>
              </w:rPr>
              <w:t>Common name</w:t>
            </w:r>
          </w:p>
        </w:tc>
        <w:tc>
          <w:tcPr>
            <w:tcW w:w="1029" w:type="pct"/>
            <w:tcBorders>
              <w:top w:val="single" w:sz="4" w:space="0" w:color="auto"/>
            </w:tcBorders>
            <w:shd w:val="clear" w:color="auto" w:fill="D9D9D9"/>
            <w:noWrap/>
            <w:vAlign w:val="bottom"/>
          </w:tcPr>
          <w:p w:rsidR="00423C6C" w:rsidRPr="00E23B8D" w:rsidRDefault="00423C6C" w:rsidP="00E23B8D">
            <w:pPr>
              <w:spacing w:before="60" w:after="60"/>
              <w:jc w:val="center"/>
              <w:rPr>
                <w:rFonts w:cs="Arial"/>
                <w:bCs/>
                <w:szCs w:val="20"/>
              </w:rPr>
            </w:pPr>
            <w:r w:rsidRPr="00E23B8D">
              <w:rPr>
                <w:rFonts w:cs="Arial"/>
                <w:bCs/>
                <w:szCs w:val="20"/>
              </w:rPr>
              <w:t>Occurrence</w:t>
            </w:r>
          </w:p>
        </w:tc>
      </w:tr>
      <w:tr w:rsidR="00423C6C" w:rsidRPr="00E23B8D" w:rsidTr="00E23B8D">
        <w:trPr>
          <w:trHeight w:val="255"/>
        </w:trPr>
        <w:tc>
          <w:tcPr>
            <w:tcW w:w="2240" w:type="pct"/>
            <w:shd w:val="clear" w:color="auto" w:fill="auto"/>
            <w:vAlign w:val="bottom"/>
          </w:tcPr>
          <w:p w:rsidR="00423C6C" w:rsidRPr="00E23B8D" w:rsidRDefault="00423C6C" w:rsidP="00E23B8D">
            <w:pPr>
              <w:spacing w:before="60" w:after="60"/>
              <w:rPr>
                <w:rFonts w:cs="Arial"/>
                <w:i/>
                <w:color w:val="000000"/>
                <w:szCs w:val="20"/>
              </w:rPr>
            </w:pPr>
            <w:r w:rsidRPr="00E23B8D">
              <w:rPr>
                <w:rFonts w:cs="Arial"/>
                <w:i/>
                <w:color w:val="000000"/>
                <w:szCs w:val="20"/>
              </w:rPr>
              <w:t>Ambassis agassizii</w:t>
            </w:r>
          </w:p>
        </w:tc>
        <w:tc>
          <w:tcPr>
            <w:tcW w:w="1731" w:type="pct"/>
            <w:shd w:val="clear" w:color="auto" w:fill="auto"/>
            <w:vAlign w:val="bottom"/>
          </w:tcPr>
          <w:p w:rsidR="00423C6C" w:rsidRPr="00E23B8D" w:rsidRDefault="00423C6C" w:rsidP="00E23B8D">
            <w:pPr>
              <w:spacing w:before="60" w:after="60"/>
              <w:rPr>
                <w:rFonts w:cs="Arial"/>
                <w:color w:val="000000"/>
                <w:szCs w:val="20"/>
              </w:rPr>
            </w:pPr>
            <w:r w:rsidRPr="00E23B8D">
              <w:rPr>
                <w:rFonts w:cs="Arial"/>
                <w:color w:val="000000"/>
                <w:szCs w:val="20"/>
              </w:rPr>
              <w:t>Olive perchlet</w:t>
            </w:r>
          </w:p>
        </w:tc>
        <w:tc>
          <w:tcPr>
            <w:tcW w:w="1029" w:type="pct"/>
            <w:shd w:val="clear" w:color="auto" w:fill="auto"/>
            <w:noWrap/>
            <w:vAlign w:val="bottom"/>
          </w:tcPr>
          <w:p w:rsidR="00423C6C" w:rsidRPr="00E23B8D" w:rsidRDefault="00423C6C" w:rsidP="00E23B8D">
            <w:pPr>
              <w:spacing w:before="60" w:after="60"/>
              <w:jc w:val="center"/>
              <w:rPr>
                <w:rFonts w:cs="Arial"/>
                <w:szCs w:val="20"/>
              </w:rPr>
            </w:pPr>
            <w:r w:rsidRPr="00E23B8D">
              <w:rPr>
                <w:rFonts w:cs="Arial"/>
                <w:szCs w:val="20"/>
              </w:rPr>
              <w:t>Rare</w:t>
            </w:r>
          </w:p>
        </w:tc>
      </w:tr>
      <w:tr w:rsidR="00423C6C" w:rsidRPr="00E23B8D" w:rsidTr="00E23B8D">
        <w:trPr>
          <w:trHeight w:val="255"/>
        </w:trPr>
        <w:tc>
          <w:tcPr>
            <w:tcW w:w="2240" w:type="pct"/>
            <w:shd w:val="clear" w:color="auto" w:fill="auto"/>
            <w:vAlign w:val="bottom"/>
          </w:tcPr>
          <w:p w:rsidR="00423C6C" w:rsidRPr="00E23B8D" w:rsidRDefault="00423C6C" w:rsidP="00E23B8D">
            <w:pPr>
              <w:spacing w:before="60" w:after="60"/>
              <w:rPr>
                <w:rFonts w:cs="Arial"/>
                <w:bCs/>
                <w:i/>
                <w:szCs w:val="20"/>
              </w:rPr>
            </w:pPr>
            <w:r w:rsidRPr="00E23B8D">
              <w:rPr>
                <w:rFonts w:cs="Arial"/>
                <w:bCs/>
                <w:i/>
                <w:szCs w:val="20"/>
              </w:rPr>
              <w:t>Bidyanus bidyanus</w:t>
            </w:r>
          </w:p>
        </w:tc>
        <w:tc>
          <w:tcPr>
            <w:tcW w:w="1731" w:type="pct"/>
            <w:shd w:val="clear" w:color="auto" w:fill="auto"/>
            <w:vAlign w:val="bottom"/>
          </w:tcPr>
          <w:p w:rsidR="00423C6C" w:rsidRPr="00E23B8D" w:rsidRDefault="00423C6C" w:rsidP="00E23B8D">
            <w:pPr>
              <w:spacing w:before="60" w:after="60"/>
              <w:rPr>
                <w:rFonts w:cs="Arial"/>
                <w:bCs/>
                <w:szCs w:val="20"/>
              </w:rPr>
            </w:pPr>
            <w:r w:rsidRPr="00E23B8D">
              <w:rPr>
                <w:rFonts w:cs="Arial"/>
                <w:bCs/>
                <w:szCs w:val="20"/>
              </w:rPr>
              <w:t>Silver perch</w:t>
            </w:r>
          </w:p>
        </w:tc>
        <w:tc>
          <w:tcPr>
            <w:tcW w:w="1029" w:type="pct"/>
            <w:shd w:val="clear" w:color="auto" w:fill="auto"/>
            <w:noWrap/>
          </w:tcPr>
          <w:p w:rsidR="00423C6C" w:rsidRPr="00E23B8D" w:rsidRDefault="00423C6C" w:rsidP="00E23B8D">
            <w:pPr>
              <w:spacing w:before="60" w:after="60"/>
              <w:jc w:val="center"/>
              <w:rPr>
                <w:rFonts w:cs="Arial"/>
                <w:szCs w:val="20"/>
              </w:rPr>
            </w:pPr>
            <w:r w:rsidRPr="00E23B8D">
              <w:rPr>
                <w:rFonts w:cs="Arial"/>
                <w:szCs w:val="20"/>
              </w:rPr>
              <w:t>Occasional</w:t>
            </w:r>
          </w:p>
        </w:tc>
      </w:tr>
      <w:tr w:rsidR="00423C6C" w:rsidRPr="00E23B8D" w:rsidTr="00E23B8D">
        <w:trPr>
          <w:trHeight w:val="255"/>
        </w:trPr>
        <w:tc>
          <w:tcPr>
            <w:tcW w:w="2240" w:type="pct"/>
            <w:shd w:val="clear" w:color="auto" w:fill="auto"/>
            <w:vAlign w:val="bottom"/>
          </w:tcPr>
          <w:p w:rsidR="00423C6C" w:rsidRPr="00E23B8D" w:rsidRDefault="00423C6C" w:rsidP="00E23B8D">
            <w:pPr>
              <w:spacing w:before="60" w:after="60"/>
              <w:rPr>
                <w:rFonts w:cs="Arial"/>
                <w:i/>
                <w:color w:val="000000"/>
                <w:szCs w:val="20"/>
              </w:rPr>
            </w:pPr>
            <w:r w:rsidRPr="00E23B8D">
              <w:rPr>
                <w:rFonts w:cs="Arial"/>
                <w:i/>
                <w:color w:val="000000"/>
                <w:szCs w:val="20"/>
              </w:rPr>
              <w:t>Craterocephalus amniculus</w:t>
            </w:r>
          </w:p>
        </w:tc>
        <w:tc>
          <w:tcPr>
            <w:tcW w:w="1731" w:type="pct"/>
            <w:shd w:val="clear" w:color="auto" w:fill="auto"/>
            <w:vAlign w:val="bottom"/>
          </w:tcPr>
          <w:p w:rsidR="00423C6C" w:rsidRPr="00E23B8D" w:rsidRDefault="00423C6C" w:rsidP="00E23B8D">
            <w:pPr>
              <w:spacing w:before="60" w:after="60"/>
              <w:rPr>
                <w:rFonts w:cs="Arial"/>
                <w:color w:val="000000"/>
                <w:szCs w:val="20"/>
              </w:rPr>
            </w:pPr>
            <w:r w:rsidRPr="00E23B8D">
              <w:rPr>
                <w:rFonts w:cs="Arial"/>
                <w:color w:val="000000"/>
                <w:szCs w:val="20"/>
              </w:rPr>
              <w:t>Darling River hardyhead</w:t>
            </w:r>
          </w:p>
        </w:tc>
        <w:tc>
          <w:tcPr>
            <w:tcW w:w="1029" w:type="pct"/>
            <w:shd w:val="clear" w:color="auto" w:fill="auto"/>
            <w:noWrap/>
            <w:vAlign w:val="bottom"/>
          </w:tcPr>
          <w:p w:rsidR="00423C6C" w:rsidRPr="00E23B8D" w:rsidRDefault="00423C6C" w:rsidP="00E23B8D">
            <w:pPr>
              <w:spacing w:before="60" w:after="60"/>
              <w:jc w:val="center"/>
              <w:rPr>
                <w:rFonts w:cs="Arial"/>
                <w:szCs w:val="20"/>
              </w:rPr>
            </w:pPr>
            <w:r w:rsidRPr="00E23B8D">
              <w:rPr>
                <w:rFonts w:cs="Arial"/>
                <w:szCs w:val="20"/>
              </w:rPr>
              <w:t>Rare</w:t>
            </w:r>
          </w:p>
        </w:tc>
      </w:tr>
      <w:tr w:rsidR="00423C6C" w:rsidRPr="00E23B8D" w:rsidTr="00E23B8D">
        <w:trPr>
          <w:trHeight w:val="255"/>
        </w:trPr>
        <w:tc>
          <w:tcPr>
            <w:tcW w:w="2240" w:type="pct"/>
            <w:shd w:val="clear" w:color="auto" w:fill="auto"/>
            <w:vAlign w:val="bottom"/>
          </w:tcPr>
          <w:p w:rsidR="00423C6C" w:rsidRPr="00E23B8D" w:rsidRDefault="00423C6C" w:rsidP="00E23B8D">
            <w:pPr>
              <w:spacing w:before="60" w:after="60"/>
              <w:rPr>
                <w:rFonts w:cs="Arial"/>
                <w:i/>
                <w:color w:val="000000"/>
                <w:szCs w:val="20"/>
              </w:rPr>
            </w:pPr>
            <w:r w:rsidRPr="00E23B8D">
              <w:rPr>
                <w:rFonts w:cs="Arial"/>
                <w:i/>
                <w:szCs w:val="20"/>
              </w:rPr>
              <w:t>Craterocephalus stercusmuscarum fulvus</w:t>
            </w:r>
          </w:p>
        </w:tc>
        <w:tc>
          <w:tcPr>
            <w:tcW w:w="1731" w:type="pct"/>
            <w:shd w:val="clear" w:color="auto" w:fill="auto"/>
            <w:vAlign w:val="bottom"/>
          </w:tcPr>
          <w:p w:rsidR="00423C6C" w:rsidRPr="00E23B8D" w:rsidRDefault="00423C6C" w:rsidP="00E23B8D">
            <w:pPr>
              <w:spacing w:before="60" w:after="60"/>
              <w:rPr>
                <w:rFonts w:cs="Arial"/>
                <w:color w:val="000000"/>
                <w:szCs w:val="20"/>
              </w:rPr>
            </w:pPr>
            <w:r w:rsidRPr="00E23B8D">
              <w:rPr>
                <w:rFonts w:cs="Arial"/>
                <w:color w:val="000000"/>
                <w:szCs w:val="20"/>
              </w:rPr>
              <w:t>Un-specked hardyhead</w:t>
            </w:r>
          </w:p>
        </w:tc>
        <w:tc>
          <w:tcPr>
            <w:tcW w:w="1029" w:type="pct"/>
            <w:shd w:val="clear" w:color="auto" w:fill="auto"/>
            <w:noWrap/>
            <w:vAlign w:val="bottom"/>
          </w:tcPr>
          <w:p w:rsidR="00423C6C" w:rsidRPr="00E23B8D" w:rsidRDefault="00423C6C" w:rsidP="00E23B8D">
            <w:pPr>
              <w:spacing w:before="60" w:after="60"/>
              <w:jc w:val="center"/>
              <w:rPr>
                <w:rFonts w:cs="Arial"/>
                <w:szCs w:val="20"/>
              </w:rPr>
            </w:pPr>
            <w:r w:rsidRPr="00E23B8D">
              <w:rPr>
                <w:rFonts w:cs="Arial"/>
                <w:szCs w:val="20"/>
              </w:rPr>
              <w:t>Occasional</w:t>
            </w:r>
          </w:p>
        </w:tc>
      </w:tr>
      <w:tr w:rsidR="00423C6C" w:rsidRPr="00E23B8D" w:rsidTr="00E23B8D">
        <w:trPr>
          <w:trHeight w:val="255"/>
        </w:trPr>
        <w:tc>
          <w:tcPr>
            <w:tcW w:w="2240" w:type="pct"/>
            <w:shd w:val="clear" w:color="auto" w:fill="auto"/>
            <w:vAlign w:val="bottom"/>
          </w:tcPr>
          <w:p w:rsidR="00423C6C" w:rsidRPr="00E23B8D" w:rsidRDefault="00423C6C" w:rsidP="00E23B8D">
            <w:pPr>
              <w:spacing w:before="60" w:after="60"/>
              <w:rPr>
                <w:rFonts w:cs="Arial"/>
                <w:i/>
                <w:color w:val="000000"/>
                <w:szCs w:val="20"/>
              </w:rPr>
            </w:pPr>
            <w:r w:rsidRPr="00E23B8D">
              <w:rPr>
                <w:rFonts w:cs="Arial"/>
                <w:i/>
                <w:color w:val="000000"/>
                <w:szCs w:val="20"/>
              </w:rPr>
              <w:t xml:space="preserve">Hypseleotris </w:t>
            </w:r>
            <w:r w:rsidRPr="00E23B8D">
              <w:rPr>
                <w:rFonts w:cs="Arial"/>
                <w:color w:val="000000"/>
                <w:szCs w:val="20"/>
              </w:rPr>
              <w:t>sp.</w:t>
            </w:r>
          </w:p>
        </w:tc>
        <w:tc>
          <w:tcPr>
            <w:tcW w:w="1731" w:type="pct"/>
            <w:shd w:val="clear" w:color="auto" w:fill="auto"/>
            <w:vAlign w:val="bottom"/>
          </w:tcPr>
          <w:p w:rsidR="00423C6C" w:rsidRPr="00E23B8D" w:rsidRDefault="00423C6C" w:rsidP="00E23B8D">
            <w:pPr>
              <w:spacing w:before="60" w:after="60"/>
              <w:rPr>
                <w:rFonts w:cs="Arial"/>
                <w:color w:val="000000"/>
                <w:szCs w:val="20"/>
              </w:rPr>
            </w:pPr>
            <w:r w:rsidRPr="00E23B8D">
              <w:rPr>
                <w:rFonts w:cs="Arial"/>
                <w:color w:val="000000"/>
                <w:szCs w:val="20"/>
              </w:rPr>
              <w:t>Carp-gudgeon</w:t>
            </w:r>
          </w:p>
        </w:tc>
        <w:tc>
          <w:tcPr>
            <w:tcW w:w="1029" w:type="pct"/>
            <w:shd w:val="clear" w:color="auto" w:fill="auto"/>
            <w:noWrap/>
            <w:vAlign w:val="bottom"/>
          </w:tcPr>
          <w:p w:rsidR="00423C6C" w:rsidRPr="00E23B8D" w:rsidRDefault="00423C6C" w:rsidP="00E23B8D">
            <w:pPr>
              <w:spacing w:before="60" w:after="60"/>
              <w:jc w:val="center"/>
              <w:rPr>
                <w:rFonts w:cs="Arial"/>
                <w:szCs w:val="20"/>
              </w:rPr>
            </w:pPr>
            <w:r w:rsidRPr="00E23B8D">
              <w:rPr>
                <w:rFonts w:cs="Arial"/>
                <w:szCs w:val="20"/>
              </w:rPr>
              <w:t>Common</w:t>
            </w:r>
          </w:p>
        </w:tc>
      </w:tr>
      <w:tr w:rsidR="00423C6C" w:rsidRPr="00E23B8D" w:rsidTr="00E23B8D">
        <w:trPr>
          <w:trHeight w:val="255"/>
        </w:trPr>
        <w:tc>
          <w:tcPr>
            <w:tcW w:w="2240" w:type="pct"/>
            <w:shd w:val="clear" w:color="auto" w:fill="auto"/>
            <w:vAlign w:val="bottom"/>
          </w:tcPr>
          <w:p w:rsidR="00423C6C" w:rsidRPr="00E23B8D" w:rsidRDefault="00423C6C" w:rsidP="00E23B8D">
            <w:pPr>
              <w:spacing w:before="60" w:after="60"/>
              <w:rPr>
                <w:rFonts w:cs="Arial"/>
                <w:bCs/>
                <w:i/>
                <w:szCs w:val="20"/>
              </w:rPr>
            </w:pPr>
            <w:r w:rsidRPr="00E23B8D">
              <w:rPr>
                <w:rFonts w:cs="Arial"/>
                <w:bCs/>
                <w:i/>
                <w:szCs w:val="20"/>
              </w:rPr>
              <w:t>Leiopotherapon unicolor</w:t>
            </w:r>
          </w:p>
        </w:tc>
        <w:tc>
          <w:tcPr>
            <w:tcW w:w="1731" w:type="pct"/>
            <w:shd w:val="clear" w:color="auto" w:fill="auto"/>
            <w:vAlign w:val="bottom"/>
          </w:tcPr>
          <w:p w:rsidR="00423C6C" w:rsidRPr="00E23B8D" w:rsidRDefault="00423C6C" w:rsidP="00E23B8D">
            <w:pPr>
              <w:spacing w:before="60" w:after="60"/>
              <w:rPr>
                <w:rFonts w:cs="Arial"/>
                <w:bCs/>
                <w:szCs w:val="20"/>
              </w:rPr>
            </w:pPr>
            <w:r w:rsidRPr="00E23B8D">
              <w:rPr>
                <w:rFonts w:cs="Arial"/>
                <w:bCs/>
                <w:szCs w:val="20"/>
              </w:rPr>
              <w:t>Spangled perch</w:t>
            </w:r>
          </w:p>
        </w:tc>
        <w:tc>
          <w:tcPr>
            <w:tcW w:w="1029" w:type="pct"/>
            <w:shd w:val="clear" w:color="auto" w:fill="auto"/>
            <w:noWrap/>
          </w:tcPr>
          <w:p w:rsidR="00423C6C" w:rsidRPr="00E23B8D" w:rsidRDefault="00423C6C" w:rsidP="00E23B8D">
            <w:pPr>
              <w:spacing w:before="60" w:after="60"/>
              <w:jc w:val="center"/>
              <w:rPr>
                <w:rFonts w:cs="Arial"/>
                <w:szCs w:val="20"/>
              </w:rPr>
            </w:pPr>
            <w:r w:rsidRPr="00E23B8D">
              <w:rPr>
                <w:rFonts w:cs="Arial"/>
                <w:szCs w:val="20"/>
              </w:rPr>
              <w:t>Common</w:t>
            </w:r>
          </w:p>
        </w:tc>
      </w:tr>
      <w:tr w:rsidR="00423C6C" w:rsidRPr="00E23B8D" w:rsidTr="00E23B8D">
        <w:trPr>
          <w:trHeight w:val="255"/>
        </w:trPr>
        <w:tc>
          <w:tcPr>
            <w:tcW w:w="2240" w:type="pct"/>
            <w:shd w:val="clear" w:color="auto" w:fill="auto"/>
            <w:vAlign w:val="bottom"/>
          </w:tcPr>
          <w:p w:rsidR="00423C6C" w:rsidRPr="00E23B8D" w:rsidRDefault="00423C6C" w:rsidP="00E23B8D">
            <w:pPr>
              <w:spacing w:before="60" w:after="60"/>
              <w:rPr>
                <w:rFonts w:cs="Arial"/>
                <w:i/>
                <w:color w:val="000000"/>
                <w:szCs w:val="20"/>
              </w:rPr>
            </w:pPr>
            <w:r w:rsidRPr="00E23B8D">
              <w:rPr>
                <w:rFonts w:cs="Arial"/>
                <w:i/>
                <w:color w:val="000000"/>
                <w:szCs w:val="20"/>
              </w:rPr>
              <w:t>Melanotaenia fluviatilis</w:t>
            </w:r>
          </w:p>
        </w:tc>
        <w:tc>
          <w:tcPr>
            <w:tcW w:w="1731" w:type="pct"/>
            <w:shd w:val="clear" w:color="auto" w:fill="auto"/>
            <w:vAlign w:val="bottom"/>
          </w:tcPr>
          <w:p w:rsidR="00423C6C" w:rsidRPr="00E23B8D" w:rsidRDefault="00423C6C" w:rsidP="00E23B8D">
            <w:pPr>
              <w:spacing w:before="60" w:after="60"/>
              <w:rPr>
                <w:rFonts w:cs="Arial"/>
                <w:color w:val="000000"/>
                <w:szCs w:val="20"/>
              </w:rPr>
            </w:pPr>
            <w:r w:rsidRPr="00E23B8D">
              <w:rPr>
                <w:rFonts w:cs="Arial"/>
                <w:color w:val="000000"/>
                <w:szCs w:val="20"/>
              </w:rPr>
              <w:t>Murray-Darling rainbowfish</w:t>
            </w:r>
          </w:p>
        </w:tc>
        <w:tc>
          <w:tcPr>
            <w:tcW w:w="1029" w:type="pct"/>
            <w:shd w:val="clear" w:color="auto" w:fill="auto"/>
            <w:noWrap/>
          </w:tcPr>
          <w:p w:rsidR="00423C6C" w:rsidRPr="00E23B8D" w:rsidRDefault="00423C6C" w:rsidP="00E23B8D">
            <w:pPr>
              <w:spacing w:before="60" w:after="60"/>
              <w:jc w:val="center"/>
              <w:rPr>
                <w:rFonts w:cs="Arial"/>
                <w:szCs w:val="20"/>
              </w:rPr>
            </w:pPr>
            <w:r w:rsidRPr="00E23B8D">
              <w:rPr>
                <w:rFonts w:cs="Arial"/>
                <w:szCs w:val="20"/>
              </w:rPr>
              <w:t>Common</w:t>
            </w:r>
          </w:p>
        </w:tc>
      </w:tr>
      <w:tr w:rsidR="00423C6C" w:rsidRPr="00E23B8D" w:rsidTr="00E23B8D">
        <w:trPr>
          <w:trHeight w:val="255"/>
        </w:trPr>
        <w:tc>
          <w:tcPr>
            <w:tcW w:w="2240" w:type="pct"/>
            <w:shd w:val="clear" w:color="auto" w:fill="auto"/>
          </w:tcPr>
          <w:p w:rsidR="00423C6C" w:rsidRPr="00E23B8D" w:rsidRDefault="00423C6C" w:rsidP="00E23B8D">
            <w:pPr>
              <w:spacing w:before="60" w:after="60"/>
              <w:rPr>
                <w:rFonts w:cs="Arial"/>
                <w:szCs w:val="20"/>
              </w:rPr>
            </w:pPr>
            <w:r w:rsidRPr="00E23B8D">
              <w:rPr>
                <w:rFonts w:cs="Arial"/>
                <w:i/>
                <w:szCs w:val="20"/>
              </w:rPr>
              <w:t>Mogurnda adspersa</w:t>
            </w:r>
          </w:p>
        </w:tc>
        <w:tc>
          <w:tcPr>
            <w:tcW w:w="1731" w:type="pct"/>
            <w:shd w:val="clear" w:color="auto" w:fill="auto"/>
          </w:tcPr>
          <w:p w:rsidR="00423C6C" w:rsidRPr="00E23B8D" w:rsidRDefault="00423C6C" w:rsidP="00E23B8D">
            <w:pPr>
              <w:spacing w:before="60" w:after="60"/>
              <w:rPr>
                <w:rFonts w:cs="Arial"/>
                <w:szCs w:val="20"/>
              </w:rPr>
            </w:pPr>
            <w:r w:rsidRPr="00E23B8D">
              <w:rPr>
                <w:rFonts w:cs="Arial"/>
                <w:szCs w:val="20"/>
              </w:rPr>
              <w:t xml:space="preserve">Southern purple-spotted gudgeon </w:t>
            </w:r>
          </w:p>
        </w:tc>
        <w:tc>
          <w:tcPr>
            <w:tcW w:w="1029" w:type="pct"/>
            <w:shd w:val="clear" w:color="auto" w:fill="auto"/>
            <w:noWrap/>
            <w:vAlign w:val="bottom"/>
          </w:tcPr>
          <w:p w:rsidR="00423C6C" w:rsidRPr="00E23B8D" w:rsidRDefault="00423C6C" w:rsidP="00E23B8D">
            <w:pPr>
              <w:spacing w:before="60" w:after="60"/>
              <w:jc w:val="center"/>
              <w:rPr>
                <w:rFonts w:cs="Arial"/>
                <w:szCs w:val="20"/>
              </w:rPr>
            </w:pPr>
            <w:r w:rsidRPr="00E23B8D">
              <w:rPr>
                <w:rFonts w:cs="Arial"/>
                <w:szCs w:val="20"/>
              </w:rPr>
              <w:t>Rare</w:t>
            </w:r>
          </w:p>
        </w:tc>
      </w:tr>
      <w:tr w:rsidR="00423C6C" w:rsidRPr="00E23B8D" w:rsidTr="00E23B8D">
        <w:trPr>
          <w:trHeight w:val="255"/>
        </w:trPr>
        <w:tc>
          <w:tcPr>
            <w:tcW w:w="2240" w:type="pct"/>
            <w:shd w:val="clear" w:color="auto" w:fill="auto"/>
            <w:vAlign w:val="bottom"/>
          </w:tcPr>
          <w:p w:rsidR="00423C6C" w:rsidRPr="00E23B8D" w:rsidRDefault="00423C6C" w:rsidP="00E23B8D">
            <w:pPr>
              <w:spacing w:before="60" w:after="60"/>
              <w:rPr>
                <w:rFonts w:cs="Arial"/>
                <w:bCs/>
                <w:szCs w:val="20"/>
              </w:rPr>
            </w:pPr>
            <w:r w:rsidRPr="00E23B8D">
              <w:rPr>
                <w:rFonts w:cs="Arial"/>
                <w:i/>
                <w:szCs w:val="20"/>
              </w:rPr>
              <w:t>Nematolosa erebi</w:t>
            </w:r>
          </w:p>
        </w:tc>
        <w:tc>
          <w:tcPr>
            <w:tcW w:w="1731" w:type="pct"/>
            <w:shd w:val="clear" w:color="auto" w:fill="auto"/>
            <w:vAlign w:val="bottom"/>
          </w:tcPr>
          <w:p w:rsidR="00423C6C" w:rsidRPr="00E23B8D" w:rsidRDefault="00423C6C" w:rsidP="00E23B8D">
            <w:pPr>
              <w:spacing w:before="60" w:after="60"/>
              <w:rPr>
                <w:rFonts w:cs="Arial"/>
                <w:bCs/>
                <w:szCs w:val="20"/>
              </w:rPr>
            </w:pPr>
            <w:r w:rsidRPr="00E23B8D">
              <w:rPr>
                <w:rFonts w:cs="Arial"/>
                <w:bCs/>
                <w:szCs w:val="20"/>
              </w:rPr>
              <w:t>Bony herring</w:t>
            </w:r>
          </w:p>
        </w:tc>
        <w:tc>
          <w:tcPr>
            <w:tcW w:w="1029" w:type="pct"/>
            <w:shd w:val="clear" w:color="auto" w:fill="auto"/>
            <w:noWrap/>
          </w:tcPr>
          <w:p w:rsidR="00423C6C" w:rsidRPr="00E23B8D" w:rsidRDefault="00423C6C" w:rsidP="00E23B8D">
            <w:pPr>
              <w:spacing w:before="60" w:after="60"/>
              <w:jc w:val="center"/>
              <w:rPr>
                <w:rFonts w:cs="Arial"/>
                <w:szCs w:val="20"/>
              </w:rPr>
            </w:pPr>
            <w:r w:rsidRPr="00E23B8D">
              <w:rPr>
                <w:rFonts w:cs="Arial"/>
                <w:szCs w:val="20"/>
              </w:rPr>
              <w:t>Common</w:t>
            </w:r>
          </w:p>
        </w:tc>
      </w:tr>
      <w:tr w:rsidR="00423C6C" w:rsidRPr="00E23B8D" w:rsidTr="00E23B8D">
        <w:trPr>
          <w:trHeight w:val="255"/>
        </w:trPr>
        <w:tc>
          <w:tcPr>
            <w:tcW w:w="2240" w:type="pct"/>
            <w:shd w:val="clear" w:color="auto" w:fill="auto"/>
            <w:vAlign w:val="bottom"/>
          </w:tcPr>
          <w:p w:rsidR="00423C6C" w:rsidRPr="00E23B8D" w:rsidRDefault="00423C6C" w:rsidP="00E23B8D">
            <w:pPr>
              <w:spacing w:before="60" w:after="60"/>
              <w:rPr>
                <w:rFonts w:cs="Arial"/>
                <w:bCs/>
                <w:szCs w:val="20"/>
              </w:rPr>
            </w:pPr>
            <w:r w:rsidRPr="00E23B8D">
              <w:rPr>
                <w:rFonts w:cs="Arial"/>
                <w:i/>
                <w:szCs w:val="20"/>
              </w:rPr>
              <w:t>Maccullochella peelii</w:t>
            </w:r>
          </w:p>
        </w:tc>
        <w:tc>
          <w:tcPr>
            <w:tcW w:w="1731" w:type="pct"/>
            <w:shd w:val="clear" w:color="auto" w:fill="auto"/>
            <w:vAlign w:val="bottom"/>
          </w:tcPr>
          <w:p w:rsidR="00423C6C" w:rsidRPr="00E23B8D" w:rsidRDefault="00423C6C" w:rsidP="00E23B8D">
            <w:pPr>
              <w:spacing w:before="60" w:after="60"/>
              <w:rPr>
                <w:rFonts w:cs="Arial"/>
                <w:bCs/>
                <w:szCs w:val="20"/>
              </w:rPr>
            </w:pPr>
            <w:r w:rsidRPr="00E23B8D">
              <w:rPr>
                <w:rFonts w:cs="Arial"/>
                <w:bCs/>
                <w:szCs w:val="20"/>
              </w:rPr>
              <w:t>Murray cod</w:t>
            </w:r>
          </w:p>
        </w:tc>
        <w:tc>
          <w:tcPr>
            <w:tcW w:w="1029" w:type="pct"/>
            <w:shd w:val="clear" w:color="auto" w:fill="auto"/>
            <w:noWrap/>
            <w:vAlign w:val="bottom"/>
          </w:tcPr>
          <w:p w:rsidR="00423C6C" w:rsidRPr="00E23B8D" w:rsidRDefault="00423C6C" w:rsidP="00E23B8D">
            <w:pPr>
              <w:spacing w:before="60" w:after="60"/>
              <w:jc w:val="center"/>
              <w:rPr>
                <w:rFonts w:cs="Arial"/>
                <w:szCs w:val="20"/>
              </w:rPr>
            </w:pPr>
            <w:r w:rsidRPr="00E23B8D">
              <w:rPr>
                <w:rFonts w:cs="Arial"/>
                <w:szCs w:val="20"/>
              </w:rPr>
              <w:t>Occasional</w:t>
            </w:r>
          </w:p>
        </w:tc>
      </w:tr>
      <w:tr w:rsidR="00423C6C" w:rsidRPr="00E23B8D" w:rsidTr="00E23B8D">
        <w:trPr>
          <w:trHeight w:val="255"/>
        </w:trPr>
        <w:tc>
          <w:tcPr>
            <w:tcW w:w="2240" w:type="pct"/>
            <w:shd w:val="clear" w:color="auto" w:fill="auto"/>
            <w:vAlign w:val="bottom"/>
          </w:tcPr>
          <w:p w:rsidR="00423C6C" w:rsidRPr="00E23B8D" w:rsidRDefault="00423C6C" w:rsidP="00E23B8D">
            <w:pPr>
              <w:spacing w:before="60" w:after="60"/>
              <w:rPr>
                <w:rFonts w:cs="Arial"/>
                <w:bCs/>
                <w:szCs w:val="20"/>
              </w:rPr>
            </w:pPr>
            <w:r w:rsidRPr="00E23B8D">
              <w:rPr>
                <w:rFonts w:cs="Arial"/>
                <w:i/>
                <w:szCs w:val="20"/>
              </w:rPr>
              <w:t>Macquaria ambigua</w:t>
            </w:r>
          </w:p>
        </w:tc>
        <w:tc>
          <w:tcPr>
            <w:tcW w:w="1731" w:type="pct"/>
            <w:shd w:val="clear" w:color="auto" w:fill="auto"/>
            <w:vAlign w:val="bottom"/>
          </w:tcPr>
          <w:p w:rsidR="00423C6C" w:rsidRPr="00E23B8D" w:rsidRDefault="00423C6C" w:rsidP="00E23B8D">
            <w:pPr>
              <w:spacing w:before="60" w:after="60"/>
              <w:rPr>
                <w:rFonts w:cs="Arial"/>
                <w:bCs/>
                <w:szCs w:val="20"/>
              </w:rPr>
            </w:pPr>
            <w:r w:rsidRPr="00E23B8D">
              <w:rPr>
                <w:rFonts w:cs="Arial"/>
                <w:bCs/>
                <w:szCs w:val="20"/>
              </w:rPr>
              <w:t>Golden perch</w:t>
            </w:r>
          </w:p>
        </w:tc>
        <w:tc>
          <w:tcPr>
            <w:tcW w:w="1029" w:type="pct"/>
            <w:shd w:val="clear" w:color="auto" w:fill="auto"/>
            <w:noWrap/>
          </w:tcPr>
          <w:p w:rsidR="00423C6C" w:rsidRPr="00E23B8D" w:rsidRDefault="00423C6C" w:rsidP="00E23B8D">
            <w:pPr>
              <w:spacing w:before="60" w:after="60"/>
              <w:jc w:val="center"/>
              <w:rPr>
                <w:rFonts w:cs="Arial"/>
                <w:szCs w:val="20"/>
              </w:rPr>
            </w:pPr>
            <w:r w:rsidRPr="00E23B8D">
              <w:rPr>
                <w:rFonts w:cs="Arial"/>
                <w:szCs w:val="20"/>
              </w:rPr>
              <w:t>Common</w:t>
            </w:r>
          </w:p>
        </w:tc>
      </w:tr>
      <w:tr w:rsidR="00423C6C" w:rsidRPr="00E23B8D" w:rsidTr="00E23B8D">
        <w:trPr>
          <w:trHeight w:val="255"/>
        </w:trPr>
        <w:tc>
          <w:tcPr>
            <w:tcW w:w="2240" w:type="pct"/>
            <w:shd w:val="clear" w:color="auto" w:fill="auto"/>
            <w:vAlign w:val="bottom"/>
          </w:tcPr>
          <w:p w:rsidR="00423C6C" w:rsidRPr="00E23B8D" w:rsidRDefault="00423C6C" w:rsidP="00E23B8D">
            <w:pPr>
              <w:spacing w:before="60" w:after="60"/>
              <w:rPr>
                <w:rFonts w:cs="Arial"/>
                <w:i/>
                <w:color w:val="000000"/>
                <w:szCs w:val="20"/>
              </w:rPr>
            </w:pPr>
            <w:r w:rsidRPr="00E23B8D">
              <w:rPr>
                <w:rFonts w:cs="Arial"/>
                <w:i/>
                <w:color w:val="000000"/>
                <w:szCs w:val="20"/>
              </w:rPr>
              <w:t>Retropinna semoni</w:t>
            </w:r>
          </w:p>
        </w:tc>
        <w:tc>
          <w:tcPr>
            <w:tcW w:w="1731" w:type="pct"/>
            <w:shd w:val="clear" w:color="auto" w:fill="auto"/>
            <w:vAlign w:val="bottom"/>
          </w:tcPr>
          <w:p w:rsidR="00423C6C" w:rsidRPr="00E23B8D" w:rsidRDefault="00423C6C" w:rsidP="00E23B8D">
            <w:pPr>
              <w:spacing w:before="60" w:after="60"/>
              <w:rPr>
                <w:rFonts w:cs="Arial"/>
                <w:color w:val="000000"/>
                <w:szCs w:val="20"/>
              </w:rPr>
            </w:pPr>
            <w:r w:rsidRPr="00E23B8D">
              <w:rPr>
                <w:rFonts w:cs="Arial"/>
                <w:color w:val="000000"/>
                <w:szCs w:val="20"/>
              </w:rPr>
              <w:t>Australian smelt</w:t>
            </w:r>
          </w:p>
        </w:tc>
        <w:tc>
          <w:tcPr>
            <w:tcW w:w="1029" w:type="pct"/>
            <w:shd w:val="clear" w:color="auto" w:fill="auto"/>
            <w:noWrap/>
          </w:tcPr>
          <w:p w:rsidR="00423C6C" w:rsidRPr="00E23B8D" w:rsidRDefault="00423C6C" w:rsidP="00E23B8D">
            <w:pPr>
              <w:spacing w:before="60" w:after="60"/>
              <w:jc w:val="center"/>
              <w:rPr>
                <w:rFonts w:cs="Arial"/>
                <w:szCs w:val="20"/>
              </w:rPr>
            </w:pPr>
            <w:r w:rsidRPr="00E23B8D">
              <w:rPr>
                <w:rFonts w:cs="Arial"/>
                <w:szCs w:val="20"/>
              </w:rPr>
              <w:t>Occasional</w:t>
            </w:r>
          </w:p>
        </w:tc>
      </w:tr>
      <w:tr w:rsidR="00423C6C" w:rsidRPr="00E23B8D" w:rsidTr="00E23B8D">
        <w:trPr>
          <w:trHeight w:val="255"/>
        </w:trPr>
        <w:tc>
          <w:tcPr>
            <w:tcW w:w="2240" w:type="pct"/>
            <w:tcBorders>
              <w:bottom w:val="single" w:sz="4" w:space="0" w:color="auto"/>
            </w:tcBorders>
            <w:shd w:val="clear" w:color="auto" w:fill="auto"/>
            <w:vAlign w:val="bottom"/>
          </w:tcPr>
          <w:p w:rsidR="00423C6C" w:rsidRPr="00E23B8D" w:rsidRDefault="00423C6C" w:rsidP="00E23B8D">
            <w:pPr>
              <w:spacing w:before="60" w:after="60"/>
              <w:rPr>
                <w:rFonts w:cs="Arial"/>
                <w:bCs/>
                <w:i/>
                <w:szCs w:val="20"/>
              </w:rPr>
            </w:pPr>
            <w:r w:rsidRPr="00E23B8D">
              <w:rPr>
                <w:rFonts w:cs="Arial"/>
                <w:bCs/>
                <w:i/>
                <w:szCs w:val="20"/>
              </w:rPr>
              <w:t xml:space="preserve">Tandanus tandanus </w:t>
            </w:r>
            <w:r w:rsidRPr="00E23B8D">
              <w:rPr>
                <w:rFonts w:cs="Arial"/>
                <w:bCs/>
                <w:szCs w:val="20"/>
              </w:rPr>
              <w:t>(MDB)</w:t>
            </w:r>
          </w:p>
        </w:tc>
        <w:tc>
          <w:tcPr>
            <w:tcW w:w="1731" w:type="pct"/>
            <w:tcBorders>
              <w:bottom w:val="single" w:sz="4" w:space="0" w:color="auto"/>
            </w:tcBorders>
            <w:shd w:val="clear" w:color="auto" w:fill="auto"/>
            <w:vAlign w:val="bottom"/>
          </w:tcPr>
          <w:p w:rsidR="00423C6C" w:rsidRPr="00E23B8D" w:rsidRDefault="00423C6C" w:rsidP="00E23B8D">
            <w:pPr>
              <w:spacing w:before="60" w:after="60"/>
              <w:rPr>
                <w:rFonts w:cs="Arial"/>
                <w:bCs/>
                <w:szCs w:val="20"/>
              </w:rPr>
            </w:pPr>
            <w:r w:rsidRPr="00E23B8D">
              <w:rPr>
                <w:rFonts w:cs="Arial"/>
                <w:bCs/>
                <w:szCs w:val="20"/>
              </w:rPr>
              <w:t>Freshwater catfish</w:t>
            </w:r>
          </w:p>
        </w:tc>
        <w:tc>
          <w:tcPr>
            <w:tcW w:w="1029" w:type="pct"/>
            <w:tcBorders>
              <w:bottom w:val="single" w:sz="4" w:space="0" w:color="auto"/>
            </w:tcBorders>
            <w:shd w:val="clear" w:color="auto" w:fill="auto"/>
            <w:noWrap/>
          </w:tcPr>
          <w:p w:rsidR="00423C6C" w:rsidRPr="00E23B8D" w:rsidRDefault="00423C6C" w:rsidP="00E23B8D">
            <w:pPr>
              <w:spacing w:before="60" w:after="60"/>
              <w:jc w:val="center"/>
              <w:rPr>
                <w:rFonts w:cs="Arial"/>
                <w:szCs w:val="20"/>
              </w:rPr>
            </w:pPr>
            <w:r w:rsidRPr="00E23B8D">
              <w:rPr>
                <w:rFonts w:cs="Arial"/>
                <w:szCs w:val="20"/>
              </w:rPr>
              <w:t>Common</w:t>
            </w:r>
          </w:p>
        </w:tc>
      </w:tr>
    </w:tbl>
    <w:p w:rsidR="00DA6C28" w:rsidRDefault="000F3C87" w:rsidP="006909A2">
      <w:pPr>
        <w:pStyle w:val="Caption"/>
      </w:pPr>
      <w:r>
        <w:br w:type="page"/>
      </w:r>
      <w:bookmarkStart w:id="157" w:name="_Ref458692379"/>
      <w:r w:rsidR="00DA6C28">
        <w:t xml:space="preserve">Table </w:t>
      </w:r>
      <w:fldSimple w:instr=" STYLEREF 6 \s ">
        <w:r w:rsidR="005D5925">
          <w:rPr>
            <w:noProof/>
          </w:rPr>
          <w:t>I</w:t>
        </w:r>
      </w:fldSimple>
      <w:r w:rsidR="005D4453">
        <w:noBreakHyphen/>
      </w:r>
      <w:fldSimple w:instr=" SEQ Table \* ARABIC \s 6 ">
        <w:r w:rsidR="005D5925">
          <w:rPr>
            <w:noProof/>
          </w:rPr>
          <w:t>3</w:t>
        </w:r>
      </w:fldSimple>
      <w:bookmarkEnd w:id="157"/>
      <w:r w:rsidR="00DA6C28">
        <w:t xml:space="preserve"> Sizes used to distinguish new recruits for species likely to be sampled across</w:t>
      </w:r>
      <w:r w:rsidR="00DA6C28" w:rsidRPr="00171FA7">
        <w:t xml:space="preserve"> the </w:t>
      </w:r>
      <w:r w:rsidR="00DA6C28">
        <w:t>lower Gwydir</w:t>
      </w:r>
      <w:r w:rsidR="00DA6C28" w:rsidRPr="00171FA7">
        <w:t xml:space="preserve"> </w:t>
      </w:r>
      <w:r w:rsidR="00BE5847">
        <w:t>Catchment</w:t>
      </w:r>
      <w:r w:rsidR="00DA6C28">
        <w:t>. Values represent the length at 1 year of age for longer-lived species or the age at sexual maturity for species that reach maturity within 1 year.</w:t>
      </w:r>
    </w:p>
    <w:tbl>
      <w:tblPr>
        <w:tblW w:w="5000"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720"/>
        <w:gridCol w:w="4226"/>
        <w:gridCol w:w="1133"/>
        <w:gridCol w:w="1121"/>
      </w:tblGrid>
      <w:tr w:rsidR="005F23F1" w:rsidRPr="00E23B8D" w:rsidTr="00CC18AA">
        <w:tc>
          <w:tcPr>
            <w:tcW w:w="1478" w:type="pct"/>
            <w:shd w:val="clear" w:color="auto" w:fill="D9D9D9"/>
            <w:noWrap/>
            <w:vAlign w:val="center"/>
          </w:tcPr>
          <w:p w:rsidR="00423C6C" w:rsidRPr="00CC18AA" w:rsidRDefault="00423C6C" w:rsidP="00CC18AA">
            <w:pPr>
              <w:spacing w:before="60" w:after="60"/>
              <w:jc w:val="center"/>
              <w:rPr>
                <w:rFonts w:cs="Arial"/>
                <w:bCs/>
                <w:szCs w:val="20"/>
                <w:lang w:val="en-US"/>
              </w:rPr>
            </w:pPr>
            <w:r w:rsidRPr="00CC18AA">
              <w:rPr>
                <w:rFonts w:cs="Arial"/>
                <w:bCs/>
                <w:szCs w:val="20"/>
                <w:lang w:val="en-US"/>
              </w:rPr>
              <w:t>Species</w:t>
            </w:r>
          </w:p>
        </w:tc>
        <w:tc>
          <w:tcPr>
            <w:tcW w:w="2297" w:type="pct"/>
            <w:shd w:val="clear" w:color="auto" w:fill="D9D9D9"/>
            <w:noWrap/>
            <w:vAlign w:val="center"/>
          </w:tcPr>
          <w:p w:rsidR="00423C6C" w:rsidRPr="00CC18AA" w:rsidRDefault="00423C6C" w:rsidP="00CC18AA">
            <w:pPr>
              <w:spacing w:before="60" w:after="60"/>
              <w:jc w:val="center"/>
              <w:rPr>
                <w:rFonts w:cs="Arial"/>
                <w:bCs/>
                <w:szCs w:val="20"/>
                <w:lang w:val="en-US"/>
              </w:rPr>
            </w:pPr>
            <w:r w:rsidRPr="00CC18AA">
              <w:rPr>
                <w:rFonts w:cs="Arial"/>
                <w:bCs/>
                <w:szCs w:val="20"/>
                <w:lang w:val="en-US"/>
              </w:rPr>
              <w:t>Estimated size at 1 year old or at sexual maturity (fork or total length)</w:t>
            </w:r>
          </w:p>
        </w:tc>
        <w:tc>
          <w:tcPr>
            <w:tcW w:w="616" w:type="pct"/>
            <w:shd w:val="clear" w:color="auto" w:fill="D9D9D9"/>
            <w:vAlign w:val="center"/>
          </w:tcPr>
          <w:p w:rsidR="00423C6C" w:rsidRPr="00CC18AA" w:rsidRDefault="00423C6C" w:rsidP="00CC18AA">
            <w:pPr>
              <w:spacing w:before="60" w:after="60"/>
              <w:jc w:val="center"/>
              <w:rPr>
                <w:rFonts w:cs="Arial"/>
                <w:bCs/>
                <w:szCs w:val="20"/>
                <w:lang w:val="en-US"/>
              </w:rPr>
            </w:pPr>
            <w:r w:rsidRPr="00CC18AA">
              <w:rPr>
                <w:rFonts w:cs="Arial"/>
                <w:bCs/>
                <w:szCs w:val="20"/>
                <w:lang w:val="en-US"/>
              </w:rPr>
              <w:t>Non-juv. caught</w:t>
            </w:r>
          </w:p>
        </w:tc>
        <w:tc>
          <w:tcPr>
            <w:tcW w:w="609" w:type="pct"/>
            <w:shd w:val="clear" w:color="auto" w:fill="D9D9D9"/>
            <w:vAlign w:val="center"/>
          </w:tcPr>
          <w:p w:rsidR="00423C6C" w:rsidRPr="00CC18AA" w:rsidRDefault="00423C6C" w:rsidP="00CC18AA">
            <w:pPr>
              <w:spacing w:before="60" w:after="60"/>
              <w:jc w:val="center"/>
              <w:rPr>
                <w:rFonts w:cs="Arial"/>
                <w:bCs/>
                <w:szCs w:val="20"/>
                <w:lang w:val="en-US"/>
              </w:rPr>
            </w:pPr>
            <w:r w:rsidRPr="00CC18AA">
              <w:rPr>
                <w:rFonts w:cs="Arial"/>
                <w:bCs/>
                <w:szCs w:val="20"/>
                <w:lang w:val="en-US"/>
              </w:rPr>
              <w:t>Juveniles</w:t>
            </w:r>
            <w:r w:rsidR="00E23B8D" w:rsidRPr="00CC18AA">
              <w:rPr>
                <w:rFonts w:cs="Arial"/>
                <w:bCs/>
                <w:szCs w:val="20"/>
                <w:lang w:val="en-US"/>
              </w:rPr>
              <w:t xml:space="preserve"> </w:t>
            </w:r>
            <w:r w:rsidRPr="00CC18AA">
              <w:rPr>
                <w:rFonts w:cs="Arial"/>
                <w:bCs/>
                <w:szCs w:val="20"/>
                <w:lang w:val="en-US"/>
              </w:rPr>
              <w:t>caught</w:t>
            </w:r>
          </w:p>
        </w:tc>
      </w:tr>
      <w:tr w:rsidR="00E23B8D" w:rsidRPr="00E23B8D" w:rsidTr="005E1E2E">
        <w:tc>
          <w:tcPr>
            <w:tcW w:w="5000" w:type="pct"/>
            <w:gridSpan w:val="4"/>
            <w:shd w:val="clear" w:color="auto" w:fill="F2F2F2"/>
            <w:noWrap/>
            <w:vAlign w:val="center"/>
          </w:tcPr>
          <w:p w:rsidR="00E23B8D" w:rsidRPr="00CC18AA" w:rsidRDefault="00E23B8D" w:rsidP="00CC18AA">
            <w:pPr>
              <w:spacing w:before="60" w:after="60"/>
              <w:jc w:val="left"/>
              <w:rPr>
                <w:rFonts w:cs="Arial"/>
                <w:bCs/>
                <w:szCs w:val="20"/>
                <w:lang w:val="en-US"/>
              </w:rPr>
            </w:pPr>
            <w:r w:rsidRPr="00CC18AA">
              <w:rPr>
                <w:rFonts w:cs="Arial"/>
                <w:bCs/>
                <w:i/>
                <w:szCs w:val="20"/>
                <w:lang w:val="en-US"/>
              </w:rPr>
              <w:t>Native species</w:t>
            </w:r>
          </w:p>
        </w:tc>
      </w:tr>
      <w:tr w:rsidR="005F23F1" w:rsidRPr="00E23B8D" w:rsidTr="00CC18AA">
        <w:tc>
          <w:tcPr>
            <w:tcW w:w="1478" w:type="pct"/>
            <w:shd w:val="clear" w:color="auto" w:fill="auto"/>
            <w:noWrap/>
          </w:tcPr>
          <w:p w:rsidR="00423C6C" w:rsidRPr="00CC18AA" w:rsidRDefault="00423C6C" w:rsidP="00CC18AA">
            <w:pPr>
              <w:spacing w:before="60" w:after="60"/>
              <w:rPr>
                <w:rFonts w:cs="Arial"/>
                <w:bCs/>
                <w:color w:val="000000"/>
                <w:szCs w:val="20"/>
                <w:lang w:val="en-US"/>
              </w:rPr>
            </w:pPr>
            <w:r w:rsidRPr="00CC18AA">
              <w:rPr>
                <w:rFonts w:cs="Arial"/>
                <w:bCs/>
                <w:color w:val="000000"/>
                <w:szCs w:val="20"/>
                <w:lang w:val="en-US"/>
              </w:rPr>
              <w:t>Olive perchlet</w:t>
            </w:r>
          </w:p>
        </w:tc>
        <w:tc>
          <w:tcPr>
            <w:tcW w:w="2297" w:type="pct"/>
            <w:shd w:val="clear" w:color="auto" w:fill="auto"/>
            <w:noWrap/>
          </w:tcPr>
          <w:p w:rsidR="00423C6C" w:rsidRPr="00CC18AA" w:rsidRDefault="00423C6C" w:rsidP="00CC18AA">
            <w:pPr>
              <w:spacing w:before="60" w:after="60"/>
              <w:rPr>
                <w:rFonts w:cs="Arial"/>
                <w:szCs w:val="20"/>
                <w:lang w:val="en-US"/>
              </w:rPr>
            </w:pPr>
            <w:r w:rsidRPr="00CC18AA">
              <w:rPr>
                <w:rFonts w:cs="Arial"/>
                <w:szCs w:val="20"/>
                <w:lang w:val="en-US"/>
              </w:rPr>
              <w:t>26 mm (Pusey et al. 2004)</w:t>
            </w:r>
          </w:p>
        </w:tc>
        <w:tc>
          <w:tcPr>
            <w:tcW w:w="616" w:type="pct"/>
            <w:shd w:val="clear" w:color="auto" w:fill="auto"/>
          </w:tcPr>
          <w:p w:rsidR="00423C6C" w:rsidRPr="00CC18AA" w:rsidRDefault="00423C6C" w:rsidP="00CC18AA">
            <w:pPr>
              <w:spacing w:before="60" w:after="60"/>
              <w:jc w:val="center"/>
              <w:rPr>
                <w:rFonts w:cs="Arial"/>
                <w:szCs w:val="20"/>
                <w:lang w:val="en-US"/>
              </w:rPr>
            </w:pPr>
          </w:p>
        </w:tc>
        <w:tc>
          <w:tcPr>
            <w:tcW w:w="609" w:type="pct"/>
            <w:shd w:val="clear" w:color="auto" w:fill="auto"/>
          </w:tcPr>
          <w:p w:rsidR="00423C6C" w:rsidRPr="00CC18AA" w:rsidRDefault="00423C6C" w:rsidP="00CC18AA">
            <w:pPr>
              <w:spacing w:before="60" w:after="60"/>
              <w:jc w:val="center"/>
              <w:rPr>
                <w:rFonts w:cs="Arial"/>
                <w:szCs w:val="20"/>
                <w:lang w:val="en-US"/>
              </w:rPr>
            </w:pPr>
          </w:p>
        </w:tc>
      </w:tr>
      <w:tr w:rsidR="005F23F1" w:rsidRPr="00E23B8D" w:rsidTr="00CC18AA">
        <w:tc>
          <w:tcPr>
            <w:tcW w:w="1478" w:type="pct"/>
            <w:shd w:val="clear" w:color="auto" w:fill="auto"/>
            <w:noWrap/>
          </w:tcPr>
          <w:p w:rsidR="00423C6C" w:rsidRPr="00CC18AA" w:rsidRDefault="00423C6C" w:rsidP="00CC18AA">
            <w:pPr>
              <w:spacing w:before="60" w:after="60"/>
              <w:rPr>
                <w:rFonts w:cs="Arial"/>
                <w:bCs/>
                <w:szCs w:val="20"/>
                <w:lang w:val="en-US"/>
              </w:rPr>
            </w:pPr>
            <w:r w:rsidRPr="00CC18AA">
              <w:rPr>
                <w:rFonts w:cs="Arial"/>
                <w:bCs/>
                <w:szCs w:val="20"/>
                <w:lang w:val="en-US"/>
              </w:rPr>
              <w:t>Silver perch</w:t>
            </w:r>
          </w:p>
        </w:tc>
        <w:tc>
          <w:tcPr>
            <w:tcW w:w="2297" w:type="pct"/>
            <w:shd w:val="clear" w:color="auto" w:fill="auto"/>
            <w:noWrap/>
          </w:tcPr>
          <w:p w:rsidR="00423C6C" w:rsidRPr="00CC18AA" w:rsidRDefault="00423C6C" w:rsidP="00CC18AA">
            <w:pPr>
              <w:spacing w:before="60" w:after="60"/>
              <w:rPr>
                <w:rFonts w:cs="Arial"/>
                <w:szCs w:val="20"/>
                <w:lang w:val="en-US"/>
              </w:rPr>
            </w:pPr>
            <w:r w:rsidRPr="00CC18AA">
              <w:rPr>
                <w:rFonts w:cs="Arial"/>
                <w:szCs w:val="20"/>
                <w:lang w:val="en-US"/>
              </w:rPr>
              <w:t>75 mm (Mallen-Cooper 1996)</w:t>
            </w:r>
          </w:p>
        </w:tc>
        <w:tc>
          <w:tcPr>
            <w:tcW w:w="616" w:type="pct"/>
            <w:shd w:val="clear" w:color="auto" w:fill="auto"/>
          </w:tcPr>
          <w:p w:rsidR="00423C6C" w:rsidRPr="00CC18AA" w:rsidRDefault="00423C6C" w:rsidP="00CC18AA">
            <w:pPr>
              <w:spacing w:before="60" w:after="60"/>
              <w:jc w:val="center"/>
              <w:rPr>
                <w:rFonts w:cs="Arial"/>
                <w:szCs w:val="20"/>
                <w:lang w:val="en-US"/>
              </w:rPr>
            </w:pPr>
            <w:r w:rsidRPr="00CC18AA">
              <w:rPr>
                <w:rFonts w:cs="Arial"/>
                <w:szCs w:val="20"/>
                <w:lang w:val="en-US"/>
              </w:rPr>
              <w:sym w:font="Wingdings" w:char="F0FC"/>
            </w:r>
          </w:p>
        </w:tc>
        <w:tc>
          <w:tcPr>
            <w:tcW w:w="609" w:type="pct"/>
            <w:shd w:val="clear" w:color="auto" w:fill="auto"/>
          </w:tcPr>
          <w:p w:rsidR="00423C6C" w:rsidRPr="00CC18AA" w:rsidRDefault="00423C6C" w:rsidP="00CC18AA">
            <w:pPr>
              <w:spacing w:before="60" w:after="60"/>
              <w:jc w:val="center"/>
              <w:rPr>
                <w:rFonts w:cs="Arial"/>
                <w:szCs w:val="20"/>
                <w:lang w:val="en-US"/>
              </w:rPr>
            </w:pPr>
          </w:p>
        </w:tc>
      </w:tr>
      <w:tr w:rsidR="005F23F1" w:rsidRPr="00E23B8D" w:rsidTr="00CC18AA">
        <w:tc>
          <w:tcPr>
            <w:tcW w:w="1478" w:type="pct"/>
            <w:shd w:val="clear" w:color="auto" w:fill="auto"/>
            <w:noWrap/>
          </w:tcPr>
          <w:p w:rsidR="00423C6C" w:rsidRPr="00CC18AA" w:rsidRDefault="00423C6C" w:rsidP="00CC18AA">
            <w:pPr>
              <w:spacing w:before="60" w:after="60"/>
              <w:rPr>
                <w:rFonts w:cs="Arial"/>
                <w:bCs/>
                <w:color w:val="000000"/>
                <w:szCs w:val="20"/>
                <w:lang w:val="en-US"/>
              </w:rPr>
            </w:pPr>
            <w:r w:rsidRPr="00CC18AA">
              <w:rPr>
                <w:rFonts w:cs="Arial"/>
                <w:bCs/>
                <w:color w:val="000000"/>
                <w:szCs w:val="20"/>
                <w:lang w:val="en-US"/>
              </w:rPr>
              <w:t>Darling River hardyhead</w:t>
            </w:r>
          </w:p>
        </w:tc>
        <w:tc>
          <w:tcPr>
            <w:tcW w:w="2297" w:type="pct"/>
            <w:shd w:val="clear" w:color="auto" w:fill="auto"/>
            <w:noWrap/>
          </w:tcPr>
          <w:p w:rsidR="00423C6C" w:rsidRPr="00CC18AA" w:rsidRDefault="00423C6C" w:rsidP="00CC18AA">
            <w:pPr>
              <w:spacing w:before="60" w:after="60"/>
              <w:rPr>
                <w:rFonts w:cs="Arial"/>
                <w:szCs w:val="20"/>
                <w:lang w:val="en-US"/>
              </w:rPr>
            </w:pPr>
            <w:r w:rsidRPr="00CC18AA">
              <w:rPr>
                <w:rFonts w:cs="Arial"/>
                <w:szCs w:val="20"/>
                <w:lang w:val="en-US"/>
              </w:rPr>
              <w:t>40 mm (expert opinion)</w:t>
            </w:r>
          </w:p>
        </w:tc>
        <w:tc>
          <w:tcPr>
            <w:tcW w:w="616" w:type="pct"/>
            <w:shd w:val="clear" w:color="auto" w:fill="auto"/>
          </w:tcPr>
          <w:p w:rsidR="00423C6C" w:rsidRPr="00CC18AA" w:rsidRDefault="00423C6C" w:rsidP="00CC18AA">
            <w:pPr>
              <w:spacing w:before="60" w:after="60"/>
              <w:jc w:val="center"/>
              <w:rPr>
                <w:rFonts w:cs="Arial"/>
                <w:szCs w:val="20"/>
                <w:lang w:val="en-US"/>
              </w:rPr>
            </w:pPr>
          </w:p>
        </w:tc>
        <w:tc>
          <w:tcPr>
            <w:tcW w:w="609" w:type="pct"/>
            <w:shd w:val="clear" w:color="auto" w:fill="auto"/>
          </w:tcPr>
          <w:p w:rsidR="00423C6C" w:rsidRPr="00CC18AA" w:rsidRDefault="00423C6C" w:rsidP="00CC18AA">
            <w:pPr>
              <w:spacing w:before="60" w:after="60"/>
              <w:jc w:val="center"/>
              <w:rPr>
                <w:rFonts w:cs="Arial"/>
                <w:szCs w:val="20"/>
                <w:lang w:val="en-US"/>
              </w:rPr>
            </w:pPr>
          </w:p>
        </w:tc>
      </w:tr>
      <w:tr w:rsidR="005F23F1" w:rsidRPr="00E23B8D" w:rsidTr="00CC18AA">
        <w:tc>
          <w:tcPr>
            <w:tcW w:w="1478" w:type="pct"/>
            <w:shd w:val="clear" w:color="auto" w:fill="auto"/>
            <w:noWrap/>
          </w:tcPr>
          <w:p w:rsidR="00423C6C" w:rsidRPr="00CC18AA" w:rsidRDefault="00423C6C" w:rsidP="00CC18AA">
            <w:pPr>
              <w:spacing w:before="60" w:after="60"/>
              <w:rPr>
                <w:rFonts w:cs="Arial"/>
                <w:bCs/>
                <w:color w:val="000000"/>
                <w:szCs w:val="20"/>
                <w:lang w:val="en-US"/>
              </w:rPr>
            </w:pPr>
            <w:r w:rsidRPr="00CC18AA">
              <w:rPr>
                <w:rFonts w:cs="Arial"/>
                <w:bCs/>
                <w:color w:val="000000"/>
                <w:szCs w:val="20"/>
                <w:lang w:val="en-US"/>
              </w:rPr>
              <w:t>Un-specked hardyhead</w:t>
            </w:r>
          </w:p>
        </w:tc>
        <w:tc>
          <w:tcPr>
            <w:tcW w:w="2297" w:type="pct"/>
            <w:shd w:val="clear" w:color="auto" w:fill="auto"/>
            <w:noWrap/>
          </w:tcPr>
          <w:p w:rsidR="00423C6C" w:rsidRPr="00CC18AA" w:rsidRDefault="00423C6C" w:rsidP="00CC18AA">
            <w:pPr>
              <w:spacing w:before="60" w:after="60"/>
              <w:rPr>
                <w:rFonts w:cs="Arial"/>
                <w:szCs w:val="20"/>
                <w:lang w:val="en-US"/>
              </w:rPr>
            </w:pPr>
            <w:r w:rsidRPr="00CC18AA">
              <w:rPr>
                <w:rFonts w:cs="Arial"/>
                <w:szCs w:val="20"/>
                <w:lang w:val="en-US"/>
              </w:rPr>
              <w:t>38 mm (Pusey et al. 2004)</w:t>
            </w:r>
          </w:p>
        </w:tc>
        <w:tc>
          <w:tcPr>
            <w:tcW w:w="616" w:type="pct"/>
            <w:shd w:val="clear" w:color="auto" w:fill="auto"/>
          </w:tcPr>
          <w:p w:rsidR="00423C6C" w:rsidRPr="00CC18AA" w:rsidRDefault="00423C6C" w:rsidP="00CC18AA">
            <w:pPr>
              <w:spacing w:before="60" w:after="60"/>
              <w:jc w:val="center"/>
              <w:rPr>
                <w:rFonts w:cs="Arial"/>
                <w:szCs w:val="20"/>
                <w:lang w:val="en-US"/>
              </w:rPr>
            </w:pPr>
          </w:p>
        </w:tc>
        <w:tc>
          <w:tcPr>
            <w:tcW w:w="609" w:type="pct"/>
            <w:shd w:val="clear" w:color="auto" w:fill="auto"/>
          </w:tcPr>
          <w:p w:rsidR="00423C6C" w:rsidRPr="00CC18AA" w:rsidRDefault="00423C6C" w:rsidP="00CC18AA">
            <w:pPr>
              <w:spacing w:before="60" w:after="60"/>
              <w:jc w:val="center"/>
              <w:rPr>
                <w:rFonts w:cs="Arial"/>
                <w:szCs w:val="20"/>
                <w:lang w:val="en-US"/>
              </w:rPr>
            </w:pPr>
            <w:r w:rsidRPr="00CC18AA">
              <w:rPr>
                <w:rFonts w:cs="Arial"/>
                <w:szCs w:val="20"/>
                <w:lang w:val="en-US"/>
              </w:rPr>
              <w:sym w:font="Wingdings" w:char="F0FC"/>
            </w:r>
          </w:p>
        </w:tc>
      </w:tr>
      <w:tr w:rsidR="005F23F1" w:rsidRPr="00E23B8D" w:rsidTr="00CC18AA">
        <w:tc>
          <w:tcPr>
            <w:tcW w:w="1478" w:type="pct"/>
            <w:shd w:val="clear" w:color="auto" w:fill="auto"/>
            <w:noWrap/>
          </w:tcPr>
          <w:p w:rsidR="00423C6C" w:rsidRPr="00CC18AA" w:rsidRDefault="00423C6C" w:rsidP="00CC18AA">
            <w:pPr>
              <w:spacing w:before="60" w:after="60"/>
              <w:rPr>
                <w:rFonts w:cs="Arial"/>
                <w:bCs/>
                <w:szCs w:val="20"/>
                <w:lang w:val="en-US"/>
              </w:rPr>
            </w:pPr>
            <w:r w:rsidRPr="00CC18AA">
              <w:rPr>
                <w:rFonts w:cs="Arial"/>
                <w:bCs/>
                <w:szCs w:val="20"/>
                <w:lang w:val="en-US"/>
              </w:rPr>
              <w:t>Carp gudgeon</w:t>
            </w:r>
          </w:p>
        </w:tc>
        <w:tc>
          <w:tcPr>
            <w:tcW w:w="2297" w:type="pct"/>
            <w:shd w:val="clear" w:color="auto" w:fill="auto"/>
            <w:noWrap/>
          </w:tcPr>
          <w:p w:rsidR="00423C6C" w:rsidRPr="00CC18AA" w:rsidRDefault="00423C6C" w:rsidP="00CC18AA">
            <w:pPr>
              <w:spacing w:before="60" w:after="60"/>
              <w:rPr>
                <w:rFonts w:cs="Arial"/>
                <w:szCs w:val="20"/>
                <w:lang w:val="en-US"/>
              </w:rPr>
            </w:pPr>
            <w:r w:rsidRPr="00CC18AA">
              <w:rPr>
                <w:rFonts w:cs="Arial"/>
                <w:szCs w:val="20"/>
                <w:lang w:val="en-US"/>
              </w:rPr>
              <w:t>35 mm (Pusey et al. 2004)</w:t>
            </w:r>
          </w:p>
        </w:tc>
        <w:tc>
          <w:tcPr>
            <w:tcW w:w="616" w:type="pct"/>
            <w:shd w:val="clear" w:color="auto" w:fill="auto"/>
          </w:tcPr>
          <w:p w:rsidR="00423C6C" w:rsidRPr="00CC18AA" w:rsidRDefault="00423C6C" w:rsidP="00CC18AA">
            <w:pPr>
              <w:spacing w:before="60" w:after="60"/>
              <w:jc w:val="center"/>
              <w:rPr>
                <w:rFonts w:cs="Arial"/>
                <w:szCs w:val="20"/>
                <w:lang w:val="en-US"/>
              </w:rPr>
            </w:pPr>
            <w:r w:rsidRPr="00CC18AA">
              <w:rPr>
                <w:rFonts w:cs="Arial"/>
                <w:szCs w:val="20"/>
                <w:lang w:val="en-US"/>
              </w:rPr>
              <w:sym w:font="Wingdings" w:char="F0FC"/>
            </w:r>
          </w:p>
        </w:tc>
        <w:tc>
          <w:tcPr>
            <w:tcW w:w="609" w:type="pct"/>
            <w:shd w:val="clear" w:color="auto" w:fill="auto"/>
          </w:tcPr>
          <w:p w:rsidR="00423C6C" w:rsidRPr="00CC18AA" w:rsidRDefault="00423C6C" w:rsidP="00CC18AA">
            <w:pPr>
              <w:spacing w:before="60" w:after="60"/>
              <w:jc w:val="center"/>
              <w:rPr>
                <w:rFonts w:cs="Arial"/>
                <w:szCs w:val="20"/>
                <w:lang w:val="en-US"/>
              </w:rPr>
            </w:pPr>
            <w:r w:rsidRPr="00CC18AA">
              <w:rPr>
                <w:rFonts w:cs="Arial"/>
                <w:szCs w:val="20"/>
                <w:lang w:val="en-US"/>
              </w:rPr>
              <w:sym w:font="Wingdings" w:char="F0FC"/>
            </w:r>
          </w:p>
        </w:tc>
      </w:tr>
      <w:tr w:rsidR="005F23F1" w:rsidRPr="00E23B8D" w:rsidTr="00CC18AA">
        <w:tc>
          <w:tcPr>
            <w:tcW w:w="1478" w:type="pct"/>
            <w:shd w:val="clear" w:color="auto" w:fill="auto"/>
            <w:noWrap/>
          </w:tcPr>
          <w:p w:rsidR="00423C6C" w:rsidRPr="00CC18AA" w:rsidRDefault="00423C6C" w:rsidP="00CC18AA">
            <w:pPr>
              <w:spacing w:before="60" w:after="60"/>
              <w:rPr>
                <w:rFonts w:cs="Arial"/>
                <w:bCs/>
                <w:szCs w:val="20"/>
                <w:lang w:val="en-US"/>
              </w:rPr>
            </w:pPr>
            <w:r w:rsidRPr="00CC18AA">
              <w:rPr>
                <w:rFonts w:cs="Arial"/>
                <w:bCs/>
                <w:szCs w:val="20"/>
                <w:lang w:val="en-US"/>
              </w:rPr>
              <w:t>Spangled perch</w:t>
            </w:r>
          </w:p>
        </w:tc>
        <w:tc>
          <w:tcPr>
            <w:tcW w:w="2297" w:type="pct"/>
            <w:shd w:val="clear" w:color="auto" w:fill="auto"/>
            <w:noWrap/>
          </w:tcPr>
          <w:p w:rsidR="00423C6C" w:rsidRPr="00CC18AA" w:rsidRDefault="00423C6C" w:rsidP="00CC18AA">
            <w:pPr>
              <w:spacing w:before="60" w:after="60"/>
              <w:rPr>
                <w:rFonts w:cs="Arial"/>
                <w:color w:val="000000"/>
                <w:szCs w:val="20"/>
                <w:lang w:val="en-US"/>
              </w:rPr>
            </w:pPr>
            <w:r w:rsidRPr="00CC18AA">
              <w:rPr>
                <w:rFonts w:cs="Arial"/>
                <w:color w:val="000000"/>
                <w:szCs w:val="20"/>
                <w:lang w:val="en-US"/>
              </w:rPr>
              <w:t>68 mm (Leggett &amp; Merrick 1987)</w:t>
            </w:r>
          </w:p>
        </w:tc>
        <w:tc>
          <w:tcPr>
            <w:tcW w:w="616" w:type="pct"/>
            <w:shd w:val="clear" w:color="auto" w:fill="auto"/>
          </w:tcPr>
          <w:p w:rsidR="00423C6C" w:rsidRPr="00CC18AA" w:rsidRDefault="00423C6C" w:rsidP="00CC18AA">
            <w:pPr>
              <w:spacing w:before="60" w:after="60"/>
              <w:jc w:val="center"/>
              <w:rPr>
                <w:rFonts w:cs="Arial"/>
                <w:szCs w:val="20"/>
                <w:lang w:val="en-US"/>
              </w:rPr>
            </w:pPr>
            <w:r w:rsidRPr="00CC18AA">
              <w:rPr>
                <w:rFonts w:cs="Arial"/>
                <w:szCs w:val="20"/>
                <w:lang w:val="en-US"/>
              </w:rPr>
              <w:sym w:font="Wingdings" w:char="F0FC"/>
            </w:r>
          </w:p>
        </w:tc>
        <w:tc>
          <w:tcPr>
            <w:tcW w:w="609" w:type="pct"/>
            <w:shd w:val="clear" w:color="auto" w:fill="auto"/>
          </w:tcPr>
          <w:p w:rsidR="00423C6C" w:rsidRPr="00CC18AA" w:rsidRDefault="00423C6C" w:rsidP="00CC18AA">
            <w:pPr>
              <w:spacing w:before="60" w:after="60"/>
              <w:jc w:val="center"/>
              <w:rPr>
                <w:rFonts w:cs="Arial"/>
                <w:szCs w:val="20"/>
                <w:lang w:val="en-US"/>
              </w:rPr>
            </w:pPr>
            <w:r w:rsidRPr="00CC18AA">
              <w:rPr>
                <w:rFonts w:cs="Arial"/>
                <w:szCs w:val="20"/>
                <w:lang w:val="en-US"/>
              </w:rPr>
              <w:sym w:font="Wingdings" w:char="F0FC"/>
            </w:r>
          </w:p>
        </w:tc>
      </w:tr>
      <w:tr w:rsidR="005F23F1" w:rsidRPr="00E23B8D" w:rsidTr="00CC18AA">
        <w:tc>
          <w:tcPr>
            <w:tcW w:w="1478" w:type="pct"/>
            <w:shd w:val="clear" w:color="auto" w:fill="auto"/>
            <w:noWrap/>
          </w:tcPr>
          <w:p w:rsidR="00423C6C" w:rsidRPr="00CC18AA" w:rsidRDefault="00423C6C" w:rsidP="00CC18AA">
            <w:pPr>
              <w:spacing w:before="60" w:after="60"/>
              <w:rPr>
                <w:rFonts w:cs="Arial"/>
                <w:bCs/>
                <w:color w:val="000000"/>
                <w:szCs w:val="20"/>
                <w:lang w:val="en-US"/>
              </w:rPr>
            </w:pPr>
            <w:r w:rsidRPr="00CC18AA">
              <w:rPr>
                <w:rFonts w:cs="Arial"/>
                <w:bCs/>
                <w:color w:val="000000"/>
                <w:szCs w:val="20"/>
                <w:lang w:val="en-US"/>
              </w:rPr>
              <w:t>Murray-Darling rainbowfish</w:t>
            </w:r>
          </w:p>
        </w:tc>
        <w:tc>
          <w:tcPr>
            <w:tcW w:w="2297" w:type="pct"/>
            <w:shd w:val="clear" w:color="auto" w:fill="auto"/>
            <w:noWrap/>
          </w:tcPr>
          <w:p w:rsidR="00423C6C" w:rsidRPr="00CC18AA" w:rsidRDefault="00423C6C" w:rsidP="00CC18AA">
            <w:pPr>
              <w:spacing w:before="60" w:after="60"/>
              <w:rPr>
                <w:rFonts w:cs="Arial"/>
                <w:szCs w:val="20"/>
                <w:lang w:val="en-US"/>
              </w:rPr>
            </w:pPr>
            <w:r w:rsidRPr="00CC18AA">
              <w:rPr>
                <w:rFonts w:cs="Arial"/>
                <w:szCs w:val="20"/>
                <w:lang w:val="en-US"/>
              </w:rPr>
              <w:t xml:space="preserve">45 mm (Pusey et al. 2004: for </w:t>
            </w:r>
            <w:r w:rsidRPr="00CC18AA">
              <w:rPr>
                <w:rFonts w:cs="Arial"/>
                <w:i/>
                <w:szCs w:val="20"/>
                <w:lang w:val="en-US"/>
              </w:rPr>
              <w:t>M. duboulayi</w:t>
            </w:r>
            <w:r w:rsidRPr="00CC18AA">
              <w:rPr>
                <w:rFonts w:cs="Arial"/>
                <w:szCs w:val="20"/>
                <w:lang w:val="en-US"/>
              </w:rPr>
              <w:t>)</w:t>
            </w:r>
          </w:p>
        </w:tc>
        <w:tc>
          <w:tcPr>
            <w:tcW w:w="616" w:type="pct"/>
            <w:shd w:val="clear" w:color="auto" w:fill="auto"/>
          </w:tcPr>
          <w:p w:rsidR="00423C6C" w:rsidRPr="00CC18AA" w:rsidRDefault="00423C6C" w:rsidP="00CC18AA">
            <w:pPr>
              <w:spacing w:before="60" w:after="60"/>
              <w:jc w:val="center"/>
              <w:rPr>
                <w:rFonts w:cs="Arial"/>
                <w:szCs w:val="20"/>
                <w:lang w:val="en-US"/>
              </w:rPr>
            </w:pPr>
            <w:r w:rsidRPr="00CC18AA">
              <w:rPr>
                <w:rFonts w:cs="Arial"/>
                <w:szCs w:val="20"/>
                <w:lang w:val="en-US"/>
              </w:rPr>
              <w:sym w:font="Wingdings" w:char="F0FC"/>
            </w:r>
          </w:p>
        </w:tc>
        <w:tc>
          <w:tcPr>
            <w:tcW w:w="609" w:type="pct"/>
            <w:shd w:val="clear" w:color="auto" w:fill="auto"/>
          </w:tcPr>
          <w:p w:rsidR="00423C6C" w:rsidRPr="00CC18AA" w:rsidRDefault="00423C6C" w:rsidP="00CC18AA">
            <w:pPr>
              <w:spacing w:before="60" w:after="60"/>
              <w:jc w:val="center"/>
              <w:rPr>
                <w:rFonts w:cs="Arial"/>
                <w:szCs w:val="20"/>
                <w:lang w:val="en-US"/>
              </w:rPr>
            </w:pPr>
            <w:r w:rsidRPr="00CC18AA">
              <w:rPr>
                <w:rFonts w:cs="Arial"/>
                <w:szCs w:val="20"/>
                <w:lang w:val="en-US"/>
              </w:rPr>
              <w:sym w:font="Wingdings" w:char="F0FC"/>
            </w:r>
          </w:p>
        </w:tc>
      </w:tr>
      <w:tr w:rsidR="005F23F1" w:rsidRPr="00E23B8D" w:rsidTr="00CC18AA">
        <w:tc>
          <w:tcPr>
            <w:tcW w:w="1478" w:type="pct"/>
            <w:shd w:val="clear" w:color="auto" w:fill="auto"/>
            <w:noWrap/>
          </w:tcPr>
          <w:p w:rsidR="00423C6C" w:rsidRPr="00CC18AA" w:rsidRDefault="00423C6C" w:rsidP="00CC18AA">
            <w:pPr>
              <w:spacing w:before="60" w:after="60"/>
              <w:jc w:val="left"/>
              <w:rPr>
                <w:rFonts w:cs="Arial"/>
                <w:bCs/>
                <w:szCs w:val="20"/>
                <w:lang w:val="en-US"/>
              </w:rPr>
            </w:pPr>
            <w:r w:rsidRPr="00CC18AA">
              <w:rPr>
                <w:rFonts w:cs="Arial"/>
                <w:bCs/>
                <w:szCs w:val="20"/>
                <w:lang w:val="en-US"/>
              </w:rPr>
              <w:t>Southern purple-spotted gudgeon</w:t>
            </w:r>
          </w:p>
        </w:tc>
        <w:tc>
          <w:tcPr>
            <w:tcW w:w="2297" w:type="pct"/>
            <w:shd w:val="clear" w:color="auto" w:fill="auto"/>
            <w:noWrap/>
          </w:tcPr>
          <w:p w:rsidR="00423C6C" w:rsidRPr="00CC18AA" w:rsidRDefault="00423C6C" w:rsidP="00CC18AA">
            <w:pPr>
              <w:spacing w:before="60" w:after="60"/>
              <w:rPr>
                <w:rFonts w:cs="Arial"/>
                <w:szCs w:val="20"/>
                <w:lang w:val="en-US"/>
              </w:rPr>
            </w:pPr>
            <w:r w:rsidRPr="00CC18AA">
              <w:rPr>
                <w:rFonts w:cs="Arial"/>
                <w:szCs w:val="20"/>
                <w:lang w:val="en-US"/>
              </w:rPr>
              <w:t>40 mm (Pusey et al. 2004)</w:t>
            </w:r>
          </w:p>
        </w:tc>
        <w:tc>
          <w:tcPr>
            <w:tcW w:w="616" w:type="pct"/>
            <w:shd w:val="clear" w:color="auto" w:fill="auto"/>
          </w:tcPr>
          <w:p w:rsidR="00423C6C" w:rsidRPr="00CC18AA" w:rsidRDefault="00423C6C" w:rsidP="00CC18AA">
            <w:pPr>
              <w:spacing w:before="60" w:after="60"/>
              <w:jc w:val="center"/>
              <w:rPr>
                <w:rFonts w:cs="Arial"/>
                <w:szCs w:val="20"/>
                <w:lang w:val="en-US"/>
              </w:rPr>
            </w:pPr>
          </w:p>
        </w:tc>
        <w:tc>
          <w:tcPr>
            <w:tcW w:w="609" w:type="pct"/>
            <w:shd w:val="clear" w:color="auto" w:fill="auto"/>
          </w:tcPr>
          <w:p w:rsidR="00423C6C" w:rsidRPr="00CC18AA" w:rsidRDefault="00423C6C" w:rsidP="00CC18AA">
            <w:pPr>
              <w:spacing w:before="60" w:after="60"/>
              <w:jc w:val="center"/>
              <w:rPr>
                <w:rFonts w:cs="Arial"/>
                <w:szCs w:val="20"/>
                <w:lang w:val="en-US"/>
              </w:rPr>
            </w:pPr>
          </w:p>
        </w:tc>
      </w:tr>
      <w:tr w:rsidR="005F23F1" w:rsidRPr="00E23B8D" w:rsidTr="00CC18AA">
        <w:tc>
          <w:tcPr>
            <w:tcW w:w="1478" w:type="pct"/>
            <w:shd w:val="clear" w:color="auto" w:fill="auto"/>
            <w:noWrap/>
          </w:tcPr>
          <w:p w:rsidR="00423C6C" w:rsidRPr="00CC18AA" w:rsidRDefault="00423C6C" w:rsidP="00CC18AA">
            <w:pPr>
              <w:spacing w:before="60" w:after="60"/>
              <w:rPr>
                <w:rFonts w:cs="Arial"/>
                <w:bCs/>
                <w:szCs w:val="20"/>
                <w:lang w:val="en-US"/>
              </w:rPr>
            </w:pPr>
            <w:r w:rsidRPr="00CC18AA">
              <w:rPr>
                <w:rFonts w:cs="Arial"/>
                <w:bCs/>
                <w:szCs w:val="20"/>
                <w:lang w:val="en-US"/>
              </w:rPr>
              <w:t>Bony herring</w:t>
            </w:r>
          </w:p>
        </w:tc>
        <w:tc>
          <w:tcPr>
            <w:tcW w:w="2297" w:type="pct"/>
            <w:shd w:val="clear" w:color="auto" w:fill="auto"/>
            <w:noWrap/>
          </w:tcPr>
          <w:p w:rsidR="00423C6C" w:rsidRPr="00CC18AA" w:rsidRDefault="00423C6C" w:rsidP="00CC18AA">
            <w:pPr>
              <w:spacing w:before="60" w:after="60"/>
              <w:rPr>
                <w:rFonts w:cs="Arial"/>
                <w:szCs w:val="20"/>
                <w:lang w:val="en-US"/>
              </w:rPr>
            </w:pPr>
            <w:r w:rsidRPr="00CC18AA">
              <w:rPr>
                <w:rFonts w:cs="Arial"/>
                <w:szCs w:val="20"/>
                <w:lang w:val="en-US"/>
              </w:rPr>
              <w:t>67 mm (Cadwallader 1977)</w:t>
            </w:r>
          </w:p>
        </w:tc>
        <w:tc>
          <w:tcPr>
            <w:tcW w:w="616" w:type="pct"/>
            <w:shd w:val="clear" w:color="auto" w:fill="auto"/>
          </w:tcPr>
          <w:p w:rsidR="00423C6C" w:rsidRPr="00CC18AA" w:rsidRDefault="00423C6C" w:rsidP="00CC18AA">
            <w:pPr>
              <w:spacing w:before="60" w:after="60"/>
              <w:jc w:val="center"/>
              <w:rPr>
                <w:rFonts w:cs="Arial"/>
                <w:szCs w:val="20"/>
                <w:lang w:val="en-US"/>
              </w:rPr>
            </w:pPr>
            <w:r w:rsidRPr="00CC18AA">
              <w:rPr>
                <w:rFonts w:cs="Arial"/>
                <w:szCs w:val="20"/>
                <w:lang w:val="en-US"/>
              </w:rPr>
              <w:sym w:font="Wingdings" w:char="F0FC"/>
            </w:r>
          </w:p>
        </w:tc>
        <w:tc>
          <w:tcPr>
            <w:tcW w:w="609" w:type="pct"/>
            <w:shd w:val="clear" w:color="auto" w:fill="auto"/>
          </w:tcPr>
          <w:p w:rsidR="00423C6C" w:rsidRPr="00CC18AA" w:rsidRDefault="00423C6C" w:rsidP="00CC18AA">
            <w:pPr>
              <w:spacing w:before="60" w:after="60"/>
              <w:jc w:val="center"/>
              <w:rPr>
                <w:rFonts w:cs="Arial"/>
                <w:szCs w:val="20"/>
                <w:lang w:val="en-US"/>
              </w:rPr>
            </w:pPr>
            <w:r w:rsidRPr="00CC18AA">
              <w:rPr>
                <w:rFonts w:cs="Arial"/>
                <w:szCs w:val="20"/>
                <w:lang w:val="en-US"/>
              </w:rPr>
              <w:sym w:font="Wingdings" w:char="F0FC"/>
            </w:r>
          </w:p>
        </w:tc>
      </w:tr>
      <w:tr w:rsidR="005F23F1" w:rsidRPr="00E23B8D" w:rsidTr="00CC18AA">
        <w:tc>
          <w:tcPr>
            <w:tcW w:w="1478" w:type="pct"/>
            <w:shd w:val="clear" w:color="auto" w:fill="auto"/>
            <w:noWrap/>
          </w:tcPr>
          <w:p w:rsidR="00423C6C" w:rsidRPr="00CC18AA" w:rsidRDefault="00423C6C" w:rsidP="00CC18AA">
            <w:pPr>
              <w:spacing w:before="60" w:after="60"/>
              <w:rPr>
                <w:rFonts w:cs="Arial"/>
                <w:bCs/>
                <w:szCs w:val="20"/>
                <w:lang w:val="en-US"/>
              </w:rPr>
            </w:pPr>
            <w:r w:rsidRPr="00CC18AA">
              <w:rPr>
                <w:rFonts w:cs="Arial"/>
                <w:bCs/>
                <w:szCs w:val="20"/>
                <w:lang w:val="en-US"/>
              </w:rPr>
              <w:t>Murray cod</w:t>
            </w:r>
          </w:p>
        </w:tc>
        <w:tc>
          <w:tcPr>
            <w:tcW w:w="2297" w:type="pct"/>
            <w:shd w:val="clear" w:color="auto" w:fill="auto"/>
            <w:noWrap/>
          </w:tcPr>
          <w:p w:rsidR="00423C6C" w:rsidRPr="00CC18AA" w:rsidRDefault="00423C6C" w:rsidP="00CC18AA">
            <w:pPr>
              <w:spacing w:before="60" w:after="60"/>
              <w:rPr>
                <w:rFonts w:cs="Arial"/>
                <w:szCs w:val="20"/>
                <w:lang w:val="en-US"/>
              </w:rPr>
            </w:pPr>
            <w:r w:rsidRPr="00CC18AA">
              <w:rPr>
                <w:rFonts w:cs="Arial"/>
                <w:szCs w:val="20"/>
                <w:lang w:val="en-US"/>
              </w:rPr>
              <w:t xml:space="preserve">222 mm (Gavin Butler </w:t>
            </w:r>
            <w:r w:rsidRPr="00CC18AA">
              <w:rPr>
                <w:rFonts w:cs="Arial"/>
                <w:i/>
                <w:szCs w:val="20"/>
                <w:lang w:val="en-US"/>
              </w:rPr>
              <w:t>unpublished data</w:t>
            </w:r>
            <w:r w:rsidRPr="00CC18AA">
              <w:rPr>
                <w:rFonts w:cs="Arial"/>
                <w:szCs w:val="20"/>
                <w:lang w:val="en-US"/>
              </w:rPr>
              <w:t>)</w:t>
            </w:r>
          </w:p>
        </w:tc>
        <w:tc>
          <w:tcPr>
            <w:tcW w:w="616" w:type="pct"/>
            <w:shd w:val="clear" w:color="auto" w:fill="auto"/>
          </w:tcPr>
          <w:p w:rsidR="00423C6C" w:rsidRPr="00CC18AA" w:rsidRDefault="00423C6C" w:rsidP="00CC18AA">
            <w:pPr>
              <w:spacing w:before="60" w:after="60"/>
              <w:jc w:val="center"/>
              <w:rPr>
                <w:rFonts w:cs="Arial"/>
                <w:szCs w:val="20"/>
                <w:lang w:val="en-US"/>
              </w:rPr>
            </w:pPr>
            <w:r w:rsidRPr="00CC18AA">
              <w:rPr>
                <w:rFonts w:cs="Arial"/>
                <w:szCs w:val="20"/>
                <w:lang w:val="en-US"/>
              </w:rPr>
              <w:sym w:font="Wingdings" w:char="F0FC"/>
            </w:r>
          </w:p>
        </w:tc>
        <w:tc>
          <w:tcPr>
            <w:tcW w:w="609" w:type="pct"/>
            <w:shd w:val="clear" w:color="auto" w:fill="auto"/>
          </w:tcPr>
          <w:p w:rsidR="00423C6C" w:rsidRPr="00CC18AA" w:rsidRDefault="00423C6C" w:rsidP="00CC18AA">
            <w:pPr>
              <w:spacing w:before="60" w:after="60"/>
              <w:jc w:val="center"/>
              <w:rPr>
                <w:rFonts w:cs="Arial"/>
                <w:szCs w:val="20"/>
                <w:lang w:val="en-US"/>
              </w:rPr>
            </w:pPr>
            <w:r w:rsidRPr="00CC18AA">
              <w:rPr>
                <w:rFonts w:cs="Arial"/>
                <w:szCs w:val="20"/>
                <w:lang w:val="en-US"/>
              </w:rPr>
              <w:sym w:font="Wingdings" w:char="F0FC"/>
            </w:r>
          </w:p>
        </w:tc>
      </w:tr>
      <w:tr w:rsidR="005F23F1" w:rsidRPr="00E23B8D" w:rsidTr="00CC18AA">
        <w:tc>
          <w:tcPr>
            <w:tcW w:w="1478" w:type="pct"/>
            <w:shd w:val="clear" w:color="auto" w:fill="auto"/>
            <w:noWrap/>
          </w:tcPr>
          <w:p w:rsidR="00423C6C" w:rsidRPr="00CC18AA" w:rsidRDefault="00423C6C" w:rsidP="00CC18AA">
            <w:pPr>
              <w:spacing w:before="60" w:after="60"/>
              <w:rPr>
                <w:rFonts w:cs="Arial"/>
                <w:bCs/>
                <w:szCs w:val="20"/>
                <w:lang w:val="en-US"/>
              </w:rPr>
            </w:pPr>
            <w:r w:rsidRPr="00CC18AA">
              <w:rPr>
                <w:rFonts w:cs="Arial"/>
                <w:bCs/>
                <w:szCs w:val="20"/>
                <w:lang w:val="en-US"/>
              </w:rPr>
              <w:t>Golden perch</w:t>
            </w:r>
          </w:p>
        </w:tc>
        <w:tc>
          <w:tcPr>
            <w:tcW w:w="2297" w:type="pct"/>
            <w:shd w:val="clear" w:color="auto" w:fill="auto"/>
            <w:noWrap/>
          </w:tcPr>
          <w:p w:rsidR="00423C6C" w:rsidRPr="00CC18AA" w:rsidRDefault="00423C6C" w:rsidP="00CC18AA">
            <w:pPr>
              <w:spacing w:before="60" w:after="60"/>
              <w:rPr>
                <w:rFonts w:cs="Arial"/>
                <w:szCs w:val="20"/>
                <w:lang w:val="en-US"/>
              </w:rPr>
            </w:pPr>
            <w:r w:rsidRPr="00CC18AA">
              <w:rPr>
                <w:rFonts w:cs="Arial"/>
                <w:szCs w:val="20"/>
                <w:lang w:val="en-US"/>
              </w:rPr>
              <w:t>75 mm (Mallen-Cooper 1996)</w:t>
            </w:r>
          </w:p>
        </w:tc>
        <w:tc>
          <w:tcPr>
            <w:tcW w:w="616" w:type="pct"/>
            <w:shd w:val="clear" w:color="auto" w:fill="auto"/>
          </w:tcPr>
          <w:p w:rsidR="00423C6C" w:rsidRPr="00CC18AA" w:rsidRDefault="00423C6C" w:rsidP="00CC18AA">
            <w:pPr>
              <w:spacing w:before="60" w:after="60"/>
              <w:jc w:val="center"/>
              <w:rPr>
                <w:rFonts w:cs="Arial"/>
                <w:szCs w:val="20"/>
                <w:lang w:val="en-US"/>
              </w:rPr>
            </w:pPr>
            <w:r w:rsidRPr="00CC18AA">
              <w:rPr>
                <w:rFonts w:cs="Arial"/>
                <w:szCs w:val="20"/>
                <w:lang w:val="en-US"/>
              </w:rPr>
              <w:sym w:font="Wingdings" w:char="F0FC"/>
            </w:r>
          </w:p>
        </w:tc>
        <w:tc>
          <w:tcPr>
            <w:tcW w:w="609" w:type="pct"/>
            <w:shd w:val="clear" w:color="auto" w:fill="auto"/>
          </w:tcPr>
          <w:p w:rsidR="00423C6C" w:rsidRPr="00CC18AA" w:rsidRDefault="00423C6C" w:rsidP="00CC18AA">
            <w:pPr>
              <w:spacing w:before="60" w:after="60"/>
              <w:jc w:val="center"/>
              <w:rPr>
                <w:rFonts w:cs="Arial"/>
                <w:szCs w:val="20"/>
                <w:lang w:val="en-US"/>
              </w:rPr>
            </w:pPr>
            <w:r w:rsidRPr="00CC18AA">
              <w:rPr>
                <w:rFonts w:cs="Arial"/>
                <w:szCs w:val="20"/>
                <w:lang w:val="en-US"/>
              </w:rPr>
              <w:sym w:font="Wingdings" w:char="F0FC"/>
            </w:r>
          </w:p>
        </w:tc>
      </w:tr>
      <w:tr w:rsidR="005F23F1" w:rsidRPr="00E23B8D" w:rsidTr="00CC18AA">
        <w:tc>
          <w:tcPr>
            <w:tcW w:w="1478" w:type="pct"/>
            <w:shd w:val="clear" w:color="auto" w:fill="auto"/>
            <w:noWrap/>
          </w:tcPr>
          <w:p w:rsidR="00423C6C" w:rsidRPr="00CC18AA" w:rsidRDefault="00423C6C" w:rsidP="00CC18AA">
            <w:pPr>
              <w:spacing w:before="60" w:after="60"/>
              <w:rPr>
                <w:rFonts w:cs="Arial"/>
                <w:bCs/>
                <w:szCs w:val="20"/>
                <w:lang w:val="en-US"/>
              </w:rPr>
            </w:pPr>
            <w:r w:rsidRPr="00CC18AA">
              <w:rPr>
                <w:rFonts w:cs="Arial"/>
                <w:bCs/>
                <w:szCs w:val="20"/>
                <w:lang w:val="en-US"/>
              </w:rPr>
              <w:t>Australian smelt</w:t>
            </w:r>
          </w:p>
        </w:tc>
        <w:tc>
          <w:tcPr>
            <w:tcW w:w="2297" w:type="pct"/>
            <w:shd w:val="clear" w:color="auto" w:fill="auto"/>
            <w:noWrap/>
          </w:tcPr>
          <w:p w:rsidR="00423C6C" w:rsidRPr="00CC18AA" w:rsidRDefault="00423C6C" w:rsidP="00CC18AA">
            <w:pPr>
              <w:spacing w:before="60" w:after="60"/>
              <w:rPr>
                <w:rFonts w:cs="Arial"/>
                <w:szCs w:val="20"/>
                <w:lang w:val="en-US"/>
              </w:rPr>
            </w:pPr>
            <w:r w:rsidRPr="00CC18AA">
              <w:rPr>
                <w:rFonts w:cs="Arial"/>
                <w:szCs w:val="20"/>
                <w:lang w:val="en-US"/>
              </w:rPr>
              <w:t>40 mm (Pusey et al. 2004)</w:t>
            </w:r>
          </w:p>
        </w:tc>
        <w:tc>
          <w:tcPr>
            <w:tcW w:w="616" w:type="pct"/>
            <w:shd w:val="clear" w:color="auto" w:fill="auto"/>
          </w:tcPr>
          <w:p w:rsidR="00423C6C" w:rsidRPr="00CC18AA" w:rsidRDefault="00423C6C" w:rsidP="00CC18AA">
            <w:pPr>
              <w:spacing w:before="60" w:after="60"/>
              <w:rPr>
                <w:rFonts w:cs="Arial"/>
                <w:szCs w:val="20"/>
                <w:lang w:val="en-US"/>
              </w:rPr>
            </w:pPr>
          </w:p>
        </w:tc>
        <w:tc>
          <w:tcPr>
            <w:tcW w:w="609" w:type="pct"/>
            <w:shd w:val="clear" w:color="auto" w:fill="auto"/>
          </w:tcPr>
          <w:p w:rsidR="00423C6C" w:rsidRPr="00CC18AA" w:rsidRDefault="00423C6C" w:rsidP="00CC18AA">
            <w:pPr>
              <w:spacing w:before="60" w:after="60"/>
              <w:jc w:val="center"/>
              <w:rPr>
                <w:rFonts w:cs="Arial"/>
                <w:szCs w:val="20"/>
                <w:lang w:val="en-US"/>
              </w:rPr>
            </w:pPr>
            <w:r w:rsidRPr="00CC18AA">
              <w:rPr>
                <w:rFonts w:cs="Arial"/>
                <w:szCs w:val="20"/>
                <w:lang w:val="en-US"/>
              </w:rPr>
              <w:sym w:font="Wingdings" w:char="F0FC"/>
            </w:r>
          </w:p>
        </w:tc>
      </w:tr>
      <w:tr w:rsidR="005F23F1" w:rsidRPr="00E23B8D" w:rsidTr="00CC18AA">
        <w:tc>
          <w:tcPr>
            <w:tcW w:w="1478" w:type="pct"/>
            <w:shd w:val="clear" w:color="auto" w:fill="auto"/>
            <w:noWrap/>
          </w:tcPr>
          <w:p w:rsidR="00E23B8D" w:rsidRPr="00CC18AA" w:rsidRDefault="00E23B8D" w:rsidP="00CC18AA">
            <w:pPr>
              <w:spacing w:before="60" w:after="60"/>
              <w:rPr>
                <w:rFonts w:cs="Arial"/>
                <w:bCs/>
                <w:szCs w:val="20"/>
                <w:lang w:val="en-US"/>
              </w:rPr>
            </w:pPr>
            <w:r w:rsidRPr="00CC18AA">
              <w:rPr>
                <w:rFonts w:cs="Arial"/>
                <w:bCs/>
                <w:szCs w:val="20"/>
                <w:lang w:val="en-US"/>
              </w:rPr>
              <w:t>Freshwater catfish</w:t>
            </w:r>
          </w:p>
        </w:tc>
        <w:tc>
          <w:tcPr>
            <w:tcW w:w="2297" w:type="pct"/>
            <w:shd w:val="clear" w:color="auto" w:fill="auto"/>
            <w:noWrap/>
          </w:tcPr>
          <w:p w:rsidR="00E23B8D" w:rsidRPr="00CC18AA" w:rsidRDefault="00E23B8D" w:rsidP="00CC18AA">
            <w:pPr>
              <w:spacing w:before="60" w:after="60"/>
              <w:rPr>
                <w:rFonts w:cs="Arial"/>
                <w:szCs w:val="20"/>
                <w:lang w:val="en-US"/>
              </w:rPr>
            </w:pPr>
            <w:r w:rsidRPr="00CC18AA">
              <w:rPr>
                <w:rFonts w:cs="Arial"/>
                <w:szCs w:val="20"/>
                <w:lang w:val="en-US"/>
              </w:rPr>
              <w:t>92 mm (Davis 1977)</w:t>
            </w:r>
          </w:p>
        </w:tc>
        <w:tc>
          <w:tcPr>
            <w:tcW w:w="616" w:type="pct"/>
            <w:shd w:val="clear" w:color="auto" w:fill="auto"/>
          </w:tcPr>
          <w:p w:rsidR="00E23B8D" w:rsidRPr="00CC18AA" w:rsidRDefault="00E23B8D" w:rsidP="00CC18AA">
            <w:pPr>
              <w:spacing w:before="60" w:after="60"/>
              <w:jc w:val="center"/>
              <w:rPr>
                <w:rFonts w:cs="Arial"/>
                <w:szCs w:val="20"/>
                <w:lang w:val="en-US"/>
              </w:rPr>
            </w:pPr>
          </w:p>
        </w:tc>
        <w:tc>
          <w:tcPr>
            <w:tcW w:w="609" w:type="pct"/>
            <w:shd w:val="clear" w:color="auto" w:fill="auto"/>
          </w:tcPr>
          <w:p w:rsidR="00E23B8D" w:rsidRPr="00CC18AA" w:rsidRDefault="00E23B8D" w:rsidP="00CC18AA">
            <w:pPr>
              <w:spacing w:before="60" w:after="60"/>
              <w:jc w:val="center"/>
              <w:rPr>
                <w:rFonts w:cs="Arial"/>
                <w:szCs w:val="20"/>
                <w:lang w:val="en-US"/>
              </w:rPr>
            </w:pPr>
          </w:p>
        </w:tc>
      </w:tr>
      <w:tr w:rsidR="00E23B8D" w:rsidRPr="00E23B8D" w:rsidTr="005E1E2E">
        <w:tc>
          <w:tcPr>
            <w:tcW w:w="5000" w:type="pct"/>
            <w:gridSpan w:val="4"/>
            <w:shd w:val="clear" w:color="auto" w:fill="F2F2F2"/>
            <w:noWrap/>
            <w:vAlign w:val="center"/>
          </w:tcPr>
          <w:p w:rsidR="00E23B8D" w:rsidRPr="00CC18AA" w:rsidRDefault="00E23B8D" w:rsidP="00CC18AA">
            <w:pPr>
              <w:spacing w:before="60" w:after="60"/>
              <w:jc w:val="left"/>
              <w:rPr>
                <w:rFonts w:cs="Arial"/>
                <w:bCs/>
                <w:szCs w:val="20"/>
                <w:lang w:val="en-US"/>
              </w:rPr>
            </w:pPr>
            <w:r w:rsidRPr="00CC18AA">
              <w:rPr>
                <w:rFonts w:cs="Arial"/>
                <w:bCs/>
                <w:i/>
                <w:szCs w:val="20"/>
                <w:lang w:val="en-US"/>
              </w:rPr>
              <w:t>Alien species</w:t>
            </w:r>
          </w:p>
        </w:tc>
      </w:tr>
      <w:tr w:rsidR="005F23F1" w:rsidRPr="00E23B8D" w:rsidTr="00CC18AA">
        <w:tc>
          <w:tcPr>
            <w:tcW w:w="1478" w:type="pct"/>
            <w:shd w:val="clear" w:color="auto" w:fill="auto"/>
            <w:noWrap/>
          </w:tcPr>
          <w:p w:rsidR="00423C6C" w:rsidRPr="00CC18AA" w:rsidRDefault="00423C6C" w:rsidP="00CC18AA">
            <w:pPr>
              <w:spacing w:before="60" w:after="60"/>
              <w:rPr>
                <w:rFonts w:cs="Arial"/>
                <w:bCs/>
                <w:szCs w:val="20"/>
                <w:lang w:val="en-US"/>
              </w:rPr>
            </w:pPr>
            <w:r w:rsidRPr="00CC18AA">
              <w:rPr>
                <w:rFonts w:cs="Arial"/>
                <w:bCs/>
                <w:szCs w:val="20"/>
                <w:lang w:val="en-US"/>
              </w:rPr>
              <w:t>Common carp</w:t>
            </w:r>
          </w:p>
        </w:tc>
        <w:tc>
          <w:tcPr>
            <w:tcW w:w="2297" w:type="pct"/>
            <w:shd w:val="clear" w:color="auto" w:fill="auto"/>
            <w:noWrap/>
          </w:tcPr>
          <w:p w:rsidR="00423C6C" w:rsidRPr="00CC18AA" w:rsidRDefault="00423C6C" w:rsidP="00CC18AA">
            <w:pPr>
              <w:spacing w:before="60" w:after="60"/>
              <w:rPr>
                <w:rFonts w:cs="Arial"/>
                <w:szCs w:val="20"/>
                <w:lang w:val="en-US"/>
              </w:rPr>
            </w:pPr>
            <w:r w:rsidRPr="00CC18AA">
              <w:rPr>
                <w:rFonts w:cs="Arial"/>
                <w:szCs w:val="20"/>
                <w:lang w:val="en-US"/>
              </w:rPr>
              <w:t>155 mm (Vilizzi and Walker 1999)</w:t>
            </w:r>
          </w:p>
        </w:tc>
        <w:tc>
          <w:tcPr>
            <w:tcW w:w="616" w:type="pct"/>
            <w:shd w:val="clear" w:color="auto" w:fill="auto"/>
          </w:tcPr>
          <w:p w:rsidR="00423C6C" w:rsidRPr="00CC18AA" w:rsidRDefault="00423C6C" w:rsidP="00CC18AA">
            <w:pPr>
              <w:spacing w:before="60" w:after="60"/>
              <w:jc w:val="center"/>
              <w:rPr>
                <w:rFonts w:cs="Arial"/>
                <w:szCs w:val="20"/>
                <w:lang w:val="en-US"/>
              </w:rPr>
            </w:pPr>
            <w:r w:rsidRPr="00CC18AA">
              <w:rPr>
                <w:rFonts w:cs="Arial"/>
                <w:szCs w:val="20"/>
                <w:lang w:val="en-US"/>
              </w:rPr>
              <w:sym w:font="Wingdings" w:char="F0FC"/>
            </w:r>
          </w:p>
        </w:tc>
        <w:tc>
          <w:tcPr>
            <w:tcW w:w="609" w:type="pct"/>
            <w:shd w:val="clear" w:color="auto" w:fill="auto"/>
          </w:tcPr>
          <w:p w:rsidR="00423C6C" w:rsidRPr="00CC18AA" w:rsidRDefault="00423C6C" w:rsidP="00CC18AA">
            <w:pPr>
              <w:spacing w:before="60" w:after="60"/>
              <w:jc w:val="center"/>
              <w:rPr>
                <w:rFonts w:cs="Arial"/>
                <w:szCs w:val="20"/>
                <w:lang w:val="en-US"/>
              </w:rPr>
            </w:pPr>
            <w:r w:rsidRPr="00CC18AA">
              <w:rPr>
                <w:rFonts w:cs="Arial"/>
                <w:szCs w:val="20"/>
                <w:lang w:val="en-US"/>
              </w:rPr>
              <w:sym w:font="Wingdings" w:char="F0FC"/>
            </w:r>
          </w:p>
        </w:tc>
      </w:tr>
      <w:tr w:rsidR="005F23F1" w:rsidRPr="00E23B8D" w:rsidTr="00CC18AA">
        <w:tc>
          <w:tcPr>
            <w:tcW w:w="1478" w:type="pct"/>
            <w:shd w:val="clear" w:color="auto" w:fill="auto"/>
            <w:noWrap/>
          </w:tcPr>
          <w:p w:rsidR="00423C6C" w:rsidRPr="00CC18AA" w:rsidRDefault="00423C6C" w:rsidP="00CC18AA">
            <w:pPr>
              <w:spacing w:before="60" w:after="60"/>
              <w:rPr>
                <w:rFonts w:cs="Arial"/>
                <w:bCs/>
                <w:szCs w:val="20"/>
                <w:lang w:val="en-US"/>
              </w:rPr>
            </w:pPr>
            <w:r w:rsidRPr="00CC18AA">
              <w:rPr>
                <w:rFonts w:cs="Arial"/>
                <w:bCs/>
                <w:szCs w:val="20"/>
                <w:lang w:val="en-US"/>
              </w:rPr>
              <w:t>Eastern mosquitofish</w:t>
            </w:r>
          </w:p>
        </w:tc>
        <w:tc>
          <w:tcPr>
            <w:tcW w:w="2297" w:type="pct"/>
            <w:shd w:val="clear" w:color="auto" w:fill="auto"/>
            <w:noWrap/>
          </w:tcPr>
          <w:p w:rsidR="00423C6C" w:rsidRPr="00CC18AA" w:rsidRDefault="00423C6C" w:rsidP="00CC18AA">
            <w:pPr>
              <w:spacing w:before="60" w:after="60"/>
              <w:rPr>
                <w:rFonts w:cs="Arial"/>
                <w:szCs w:val="20"/>
                <w:lang w:val="en-US"/>
              </w:rPr>
            </w:pPr>
            <w:r w:rsidRPr="00CC18AA">
              <w:rPr>
                <w:rFonts w:cs="Arial"/>
                <w:szCs w:val="20"/>
                <w:lang w:val="en-US"/>
              </w:rPr>
              <w:t>20 mm (McDowall 1996)</w:t>
            </w:r>
          </w:p>
        </w:tc>
        <w:tc>
          <w:tcPr>
            <w:tcW w:w="616" w:type="pct"/>
            <w:shd w:val="clear" w:color="auto" w:fill="auto"/>
          </w:tcPr>
          <w:p w:rsidR="00423C6C" w:rsidRPr="00CC18AA" w:rsidRDefault="00423C6C" w:rsidP="00CC18AA">
            <w:pPr>
              <w:spacing w:before="60" w:after="60"/>
              <w:jc w:val="center"/>
              <w:rPr>
                <w:rFonts w:cs="Arial"/>
                <w:szCs w:val="20"/>
                <w:lang w:val="en-US"/>
              </w:rPr>
            </w:pPr>
            <w:r w:rsidRPr="00CC18AA">
              <w:rPr>
                <w:rFonts w:cs="Arial"/>
                <w:szCs w:val="20"/>
                <w:lang w:val="en-US"/>
              </w:rPr>
              <w:sym w:font="Wingdings" w:char="F0FC"/>
            </w:r>
          </w:p>
        </w:tc>
        <w:tc>
          <w:tcPr>
            <w:tcW w:w="609" w:type="pct"/>
            <w:shd w:val="clear" w:color="auto" w:fill="auto"/>
          </w:tcPr>
          <w:p w:rsidR="00423C6C" w:rsidRPr="00CC18AA" w:rsidRDefault="00423C6C" w:rsidP="00CC18AA">
            <w:pPr>
              <w:spacing w:before="60" w:after="60"/>
              <w:jc w:val="center"/>
              <w:rPr>
                <w:rFonts w:cs="Arial"/>
                <w:szCs w:val="20"/>
                <w:lang w:val="en-US"/>
              </w:rPr>
            </w:pPr>
            <w:r w:rsidRPr="00CC18AA">
              <w:rPr>
                <w:rFonts w:cs="Arial"/>
                <w:szCs w:val="20"/>
                <w:lang w:val="en-US"/>
              </w:rPr>
              <w:sym w:font="Wingdings" w:char="F0FC"/>
            </w:r>
          </w:p>
        </w:tc>
      </w:tr>
      <w:tr w:rsidR="005F23F1" w:rsidRPr="00E23B8D" w:rsidTr="00CC18AA">
        <w:tc>
          <w:tcPr>
            <w:tcW w:w="1478" w:type="pct"/>
            <w:shd w:val="clear" w:color="auto" w:fill="auto"/>
            <w:noWrap/>
          </w:tcPr>
          <w:p w:rsidR="00423C6C" w:rsidRPr="00CC18AA" w:rsidRDefault="00423C6C" w:rsidP="00CC18AA">
            <w:pPr>
              <w:spacing w:before="60" w:after="60"/>
              <w:rPr>
                <w:rFonts w:cs="Arial"/>
                <w:bCs/>
                <w:szCs w:val="20"/>
                <w:lang w:val="en-US"/>
              </w:rPr>
            </w:pPr>
            <w:r w:rsidRPr="00CC18AA">
              <w:rPr>
                <w:rFonts w:cs="Arial"/>
                <w:bCs/>
                <w:szCs w:val="20"/>
                <w:lang w:val="en-US"/>
              </w:rPr>
              <w:t>Common goldfish</w:t>
            </w:r>
          </w:p>
        </w:tc>
        <w:tc>
          <w:tcPr>
            <w:tcW w:w="2297" w:type="pct"/>
            <w:shd w:val="clear" w:color="auto" w:fill="auto"/>
            <w:noWrap/>
          </w:tcPr>
          <w:p w:rsidR="00423C6C" w:rsidRPr="00CC18AA" w:rsidRDefault="00423C6C" w:rsidP="00CC18AA">
            <w:pPr>
              <w:spacing w:before="60" w:after="60"/>
              <w:rPr>
                <w:rFonts w:cs="Arial"/>
                <w:szCs w:val="20"/>
                <w:lang w:val="en-US"/>
              </w:rPr>
            </w:pPr>
            <w:r w:rsidRPr="00CC18AA">
              <w:rPr>
                <w:rFonts w:cs="Arial"/>
                <w:szCs w:val="20"/>
                <w:lang w:val="en-US"/>
              </w:rPr>
              <w:t>127 mm (Lorenzoni et al. 2007)</w:t>
            </w:r>
          </w:p>
        </w:tc>
        <w:tc>
          <w:tcPr>
            <w:tcW w:w="616" w:type="pct"/>
            <w:shd w:val="clear" w:color="auto" w:fill="auto"/>
          </w:tcPr>
          <w:p w:rsidR="00423C6C" w:rsidRPr="00CC18AA" w:rsidRDefault="00423C6C" w:rsidP="00CC18AA">
            <w:pPr>
              <w:spacing w:before="60" w:after="60"/>
              <w:jc w:val="center"/>
              <w:rPr>
                <w:rFonts w:cs="Arial"/>
                <w:szCs w:val="20"/>
                <w:lang w:val="en-US"/>
              </w:rPr>
            </w:pPr>
          </w:p>
        </w:tc>
        <w:tc>
          <w:tcPr>
            <w:tcW w:w="609" w:type="pct"/>
            <w:shd w:val="clear" w:color="auto" w:fill="auto"/>
          </w:tcPr>
          <w:p w:rsidR="00423C6C" w:rsidRPr="00CC18AA" w:rsidRDefault="00423C6C" w:rsidP="00CC18AA">
            <w:pPr>
              <w:spacing w:before="60" w:after="60"/>
              <w:jc w:val="center"/>
              <w:rPr>
                <w:rFonts w:cs="Arial"/>
                <w:szCs w:val="20"/>
                <w:lang w:val="en-US"/>
              </w:rPr>
            </w:pPr>
            <w:r w:rsidRPr="00CC18AA">
              <w:rPr>
                <w:rFonts w:cs="Arial"/>
                <w:szCs w:val="20"/>
                <w:lang w:val="en-US"/>
              </w:rPr>
              <w:sym w:font="Wingdings" w:char="F0FC"/>
            </w:r>
          </w:p>
        </w:tc>
      </w:tr>
    </w:tbl>
    <w:p w:rsidR="00DA6C28" w:rsidRDefault="00DA6C28" w:rsidP="00DA6C28"/>
    <w:p w:rsidR="00423C6C" w:rsidRDefault="00423C6C" w:rsidP="00DA6C28">
      <w:pPr>
        <w:pStyle w:val="Heading7"/>
      </w:pPr>
      <w:r>
        <w:t>Results</w:t>
      </w:r>
      <w:bookmarkEnd w:id="156"/>
    </w:p>
    <w:p w:rsidR="00423C6C" w:rsidRPr="008B2257" w:rsidRDefault="00423C6C" w:rsidP="00DA6C28">
      <w:pPr>
        <w:pStyle w:val="Heading8"/>
      </w:pPr>
      <w:r>
        <w:t>A</w:t>
      </w:r>
      <w:r w:rsidRPr="008B2257">
        <w:t>bundance</w:t>
      </w:r>
    </w:p>
    <w:p w:rsidR="002159C6" w:rsidRDefault="002159C6" w:rsidP="00E23B8D">
      <w:r w:rsidRPr="00296E98">
        <w:t>In total 2,723 fish were caught (</w:t>
      </w:r>
      <w:r w:rsidRPr="00296E98">
        <w:rPr>
          <w:i/>
        </w:rPr>
        <w:t>n</w:t>
      </w:r>
      <w:r w:rsidRPr="00296E98">
        <w:t xml:space="preserve"> = 2,628) or observed (</w:t>
      </w:r>
      <w:r w:rsidRPr="00296E98">
        <w:rPr>
          <w:i/>
        </w:rPr>
        <w:t>n</w:t>
      </w:r>
      <w:r w:rsidRPr="00296E98">
        <w:t xml:space="preserve"> = 95) across all sites and methods combined</w:t>
      </w:r>
      <w:r>
        <w:t xml:space="preserve"> (</w:t>
      </w:r>
      <w:r w:rsidR="00037217">
        <w:fldChar w:fldCharType="begin"/>
      </w:r>
      <w:r w:rsidR="00037217">
        <w:instrText xml:space="preserve"> REF _Ref458692756 \h </w:instrText>
      </w:r>
      <w:r w:rsidR="00E23B8D">
        <w:instrText xml:space="preserve"> \* MERGEFORMAT </w:instrText>
      </w:r>
      <w:r w:rsidR="00037217">
        <w:fldChar w:fldCharType="separate"/>
      </w:r>
      <w:r w:rsidR="005D5925">
        <w:t xml:space="preserve">Figure </w:t>
      </w:r>
      <w:r w:rsidR="005D5925">
        <w:rPr>
          <w:noProof/>
        </w:rPr>
        <w:t>I</w:t>
      </w:r>
      <w:r w:rsidR="005D5925">
        <w:rPr>
          <w:noProof/>
        </w:rPr>
        <w:noBreakHyphen/>
        <w:t>4</w:t>
      </w:r>
      <w:r w:rsidR="00037217">
        <w:fldChar w:fldCharType="end"/>
      </w:r>
      <w:r>
        <w:t>)</w:t>
      </w:r>
      <w:r w:rsidRPr="00296E98">
        <w:t xml:space="preserve">. </w:t>
      </w:r>
      <w:r w:rsidR="00A97349">
        <w:t xml:space="preserve"> </w:t>
      </w:r>
      <w:r>
        <w:t>Community c</w:t>
      </w:r>
      <w:r w:rsidRPr="00DB44EB">
        <w:t xml:space="preserve">omposition comprised 13 species; ten native species and three exotic species. Unlike </w:t>
      </w:r>
      <w:r>
        <w:t xml:space="preserve">Year 1, when only one </w:t>
      </w:r>
      <w:r w:rsidRPr="00DB44EB">
        <w:t xml:space="preserve">of the five threatened species </w:t>
      </w:r>
      <w:r>
        <w:t xml:space="preserve">that were </w:t>
      </w:r>
      <w:r w:rsidRPr="00DB44EB">
        <w:t xml:space="preserve">thought to occur across the lower Gwydir </w:t>
      </w:r>
      <w:r>
        <w:t>was sampled,</w:t>
      </w:r>
      <w:r w:rsidRPr="00DB44EB">
        <w:t xml:space="preserve"> </w:t>
      </w:r>
      <w:r>
        <w:t xml:space="preserve">three </w:t>
      </w:r>
      <w:r w:rsidRPr="00DB44EB">
        <w:t>were captured</w:t>
      </w:r>
      <w:r>
        <w:t>, albeit in low numbers</w:t>
      </w:r>
      <w:r w:rsidRPr="00DB44EB">
        <w:t>; Murray cod (</w:t>
      </w:r>
      <w:r>
        <w:t>V</w:t>
      </w:r>
      <w:r w:rsidRPr="00DB44EB">
        <w:t>ulnerable; EPBC Act) (</w:t>
      </w:r>
      <w:r w:rsidRPr="00DB44EB">
        <w:rPr>
          <w:i/>
        </w:rPr>
        <w:t xml:space="preserve">n </w:t>
      </w:r>
      <w:r w:rsidRPr="00DB44EB">
        <w:t>= 62), silver perch (</w:t>
      </w:r>
      <w:r w:rsidRPr="00DB44EB">
        <w:rPr>
          <w:i/>
        </w:rPr>
        <w:t>Bidyanus bidyanus</w:t>
      </w:r>
      <w:r>
        <w:t xml:space="preserve">; </w:t>
      </w:r>
      <w:r>
        <w:rPr>
          <w:bCs/>
        </w:rPr>
        <w:t>V</w:t>
      </w:r>
      <w:r w:rsidRPr="00960434">
        <w:rPr>
          <w:bCs/>
        </w:rPr>
        <w:t>ulnerable</w:t>
      </w:r>
      <w:r>
        <w:rPr>
          <w:bCs/>
        </w:rPr>
        <w:t>;</w:t>
      </w:r>
      <w:r>
        <w:t xml:space="preserve"> Fisheries Management Act 1994 (New South Wales))</w:t>
      </w:r>
      <w:r w:rsidRPr="00DB44EB">
        <w:t xml:space="preserve"> (</w:t>
      </w:r>
      <w:r w:rsidRPr="00DB44EB">
        <w:rPr>
          <w:i/>
        </w:rPr>
        <w:t xml:space="preserve">n </w:t>
      </w:r>
      <w:r>
        <w:t>= 1</w:t>
      </w:r>
      <w:r w:rsidRPr="00DB44EB">
        <w:t>)</w:t>
      </w:r>
      <w:r>
        <w:t xml:space="preserve"> </w:t>
      </w:r>
      <w:r w:rsidRPr="00DB44EB">
        <w:t>and freshwater catfish (</w:t>
      </w:r>
      <w:r>
        <w:t xml:space="preserve">Endangered Population; Fisheries Management Act 1994 </w:t>
      </w:r>
      <w:r w:rsidRPr="00610771">
        <w:t>(New South Wales))</w:t>
      </w:r>
      <w:r>
        <w:t xml:space="preserve"> </w:t>
      </w:r>
      <w:r w:rsidRPr="00DB44EB">
        <w:t>(</w:t>
      </w:r>
      <w:r w:rsidRPr="00DB44EB">
        <w:rPr>
          <w:i/>
        </w:rPr>
        <w:t xml:space="preserve">n </w:t>
      </w:r>
      <w:r>
        <w:t>= 1</w:t>
      </w:r>
      <w:r w:rsidRPr="00DB44EB">
        <w:t>)</w:t>
      </w:r>
      <w:r w:rsidRPr="00610771">
        <w:t>.</w:t>
      </w:r>
      <w:r w:rsidR="00A97349">
        <w:t xml:space="preserve"> </w:t>
      </w:r>
      <w:r w:rsidRPr="00610771">
        <w:t xml:space="preserve"> No olive perchlet (</w:t>
      </w:r>
      <w:r w:rsidRPr="00610771">
        <w:rPr>
          <w:i/>
        </w:rPr>
        <w:t>Ambassis agassizii</w:t>
      </w:r>
      <w:r w:rsidRPr="00610771">
        <w:t>) or s</w:t>
      </w:r>
      <w:r>
        <w:t xml:space="preserve">outhern purple-spotted gudgeon </w:t>
      </w:r>
      <w:r w:rsidRPr="00610771">
        <w:t xml:space="preserve">were sampled. </w:t>
      </w:r>
      <w:r w:rsidR="00A97349">
        <w:t xml:space="preserve"> </w:t>
      </w:r>
      <w:r w:rsidRPr="00610771">
        <w:t xml:space="preserve">Captures within zones included: 680 (observed = 35) among 11 species from the five sites sampled in the Gingham </w:t>
      </w:r>
      <w:r w:rsidR="001C3C04">
        <w:t>watercourse</w:t>
      </w:r>
      <w:r w:rsidRPr="00610771">
        <w:t xml:space="preserve">, 728 (observed = 18) among eight species from the three sites </w:t>
      </w:r>
      <w:r>
        <w:t xml:space="preserve">sampled </w:t>
      </w:r>
      <w:r w:rsidRPr="00610771">
        <w:t xml:space="preserve">in the Gwydir, 865 (observed = 35) among 12 species from the five sites </w:t>
      </w:r>
      <w:r>
        <w:t xml:space="preserve">sampled </w:t>
      </w:r>
      <w:r w:rsidRPr="00610771">
        <w:t xml:space="preserve">in the Mehi, and 355 (observed = 7) among eight species from the five sites </w:t>
      </w:r>
      <w:r>
        <w:t xml:space="preserve">sampled </w:t>
      </w:r>
      <w:r w:rsidRPr="00610771">
        <w:t>in Moomin Creek.</w:t>
      </w:r>
      <w:r w:rsidR="00A97349">
        <w:t xml:space="preserve"> </w:t>
      </w:r>
      <w:r w:rsidRPr="00610771">
        <w:t xml:space="preserve"> Among the large-bodied species (those that grow to &lt;100 mm), the bony herring was generally the most abundant species caught in all </w:t>
      </w:r>
      <w:r w:rsidR="00AB2CE2">
        <w:t>channels</w:t>
      </w:r>
      <w:r w:rsidRPr="00610771">
        <w:t xml:space="preserve">. </w:t>
      </w:r>
      <w:r w:rsidR="00A97349">
        <w:t xml:space="preserve"> </w:t>
      </w:r>
      <w:r w:rsidRPr="00610771">
        <w:t xml:space="preserve">Overall, bony herring made up 50% of the total catch </w:t>
      </w:r>
      <w:r>
        <w:t>of</w:t>
      </w:r>
      <w:r w:rsidRPr="00610771">
        <w:t xml:space="preserve"> all species </w:t>
      </w:r>
      <w:r>
        <w:t xml:space="preserve">and </w:t>
      </w:r>
      <w:r w:rsidR="00AB2CE2">
        <w:t>channels</w:t>
      </w:r>
      <w:r>
        <w:t xml:space="preserve"> </w:t>
      </w:r>
      <w:r w:rsidRPr="00610771">
        <w:t>combined. Among the small-bodied species (those that don’t grow &gt;100 mm), carp gudgeon (</w:t>
      </w:r>
      <w:r w:rsidRPr="00610771">
        <w:rPr>
          <w:i/>
        </w:rPr>
        <w:t xml:space="preserve">n </w:t>
      </w:r>
      <w:r w:rsidRPr="00610771">
        <w:t xml:space="preserve">= 683) </w:t>
      </w:r>
      <w:r>
        <w:t>was</w:t>
      </w:r>
      <w:r w:rsidRPr="00610771">
        <w:t xml:space="preserve"> the most abundant species sampled, followed by the exotic mosquitofish (</w:t>
      </w:r>
      <w:r w:rsidRPr="00610771">
        <w:rPr>
          <w:i/>
        </w:rPr>
        <w:t xml:space="preserve">n </w:t>
      </w:r>
      <w:r w:rsidRPr="00610771">
        <w:t>= 137) and Murray-Darling rainbowfish (</w:t>
      </w:r>
      <w:r w:rsidRPr="00610771">
        <w:rPr>
          <w:i/>
        </w:rPr>
        <w:t xml:space="preserve">n </w:t>
      </w:r>
      <w:r w:rsidRPr="00610771">
        <w:t xml:space="preserve">= 58).  </w:t>
      </w:r>
      <w:r w:rsidR="00AB2CE2">
        <w:t>T</w:t>
      </w:r>
      <w:r w:rsidRPr="00CA05D1">
        <w:t xml:space="preserve">here were no significant differences in abundance among the fish assemblages across the four </w:t>
      </w:r>
      <w:r w:rsidR="00AB2CE2">
        <w:t>channels</w:t>
      </w:r>
      <w:r w:rsidRPr="00CA05D1">
        <w:t xml:space="preserve"> (</w:t>
      </w:r>
      <w:r w:rsidRPr="00037217">
        <w:t>Pseudo-F</w:t>
      </w:r>
      <w:r w:rsidRPr="00037217">
        <w:rPr>
          <w:vertAlign w:val="subscript"/>
        </w:rPr>
        <w:t>3</w:t>
      </w:r>
      <w:proofErr w:type="gramStart"/>
      <w:r w:rsidRPr="00037217">
        <w:rPr>
          <w:vertAlign w:val="subscript"/>
        </w:rPr>
        <w:t>,19</w:t>
      </w:r>
      <w:proofErr w:type="gramEnd"/>
      <w:r w:rsidRPr="00CA05D1">
        <w:t xml:space="preserve"> = 1.26, </w:t>
      </w:r>
      <w:r w:rsidRPr="00037217">
        <w:t xml:space="preserve">P </w:t>
      </w:r>
      <w:r w:rsidRPr="00CA05D1">
        <w:t>= 0.29).</w:t>
      </w:r>
      <w:r w:rsidR="00A97349">
        <w:t xml:space="preserve"> </w:t>
      </w:r>
      <w:r w:rsidRPr="00CA05D1">
        <w:t xml:space="preserve"> Pair-wise comparisons revealed this was also the case between individual </w:t>
      </w:r>
      <w:r w:rsidR="00AB2CE2">
        <w:t>channels</w:t>
      </w:r>
      <w:r w:rsidRPr="00CA05D1">
        <w:t>; Gingham and Gwydir (</w:t>
      </w:r>
      <w:r w:rsidRPr="00037217">
        <w:t xml:space="preserve">t </w:t>
      </w:r>
      <w:r w:rsidRPr="00CA05D1">
        <w:t xml:space="preserve">= 1.65, </w:t>
      </w:r>
      <w:r w:rsidRPr="00CA05D1">
        <w:rPr>
          <w:i/>
        </w:rPr>
        <w:t xml:space="preserve">P </w:t>
      </w:r>
      <w:r w:rsidRPr="00CA05D1">
        <w:t>= 0.14), Gingham and Mehi ((</w:t>
      </w:r>
      <w:r w:rsidRPr="00037217">
        <w:t>t</w:t>
      </w:r>
      <w:r w:rsidRPr="00CA05D1">
        <w:rPr>
          <w:i/>
        </w:rPr>
        <w:t xml:space="preserve"> </w:t>
      </w:r>
      <w:r w:rsidRPr="00CA05D1">
        <w:t xml:space="preserve">= 0.97, </w:t>
      </w:r>
      <w:r w:rsidRPr="00037217">
        <w:t>P</w:t>
      </w:r>
      <w:r w:rsidRPr="00CA05D1">
        <w:rPr>
          <w:i/>
        </w:rPr>
        <w:t xml:space="preserve"> </w:t>
      </w:r>
      <w:r w:rsidRPr="00CA05D1">
        <w:t>= 0.52), Gingham and Moomin (</w:t>
      </w:r>
      <w:r w:rsidRPr="00037217">
        <w:t>t</w:t>
      </w:r>
      <w:r w:rsidRPr="00CA05D1">
        <w:rPr>
          <w:i/>
        </w:rPr>
        <w:t xml:space="preserve"> </w:t>
      </w:r>
      <w:r w:rsidRPr="00CA05D1">
        <w:t xml:space="preserve">= 1.28, </w:t>
      </w:r>
      <w:r w:rsidRPr="00037217">
        <w:t>P = 0.31), Gwydir and Mehi (t = 1.05, P = 0.48), Gwydir and Moomin (t = 0.87, P = 0.26) and Mehi and Moomin (t = 0.86, P = 0.34).</w:t>
      </w:r>
    </w:p>
    <w:p w:rsidR="002159C6" w:rsidRPr="00037217" w:rsidRDefault="002159C6" w:rsidP="002159C6">
      <w:pPr>
        <w:spacing w:after="0"/>
      </w:pPr>
      <w:r w:rsidRPr="00037217">
        <w:t>There was a significant difference in the overall abundances among the fish assemblage between Years 1 and 2 (Pseudo-F</w:t>
      </w:r>
      <w:r w:rsidRPr="00037217">
        <w:rPr>
          <w:vertAlign w:val="subscript"/>
        </w:rPr>
        <w:t>1</w:t>
      </w:r>
      <w:proofErr w:type="gramStart"/>
      <w:r w:rsidRPr="00037217">
        <w:rPr>
          <w:vertAlign w:val="subscript"/>
        </w:rPr>
        <w:t>,44</w:t>
      </w:r>
      <w:proofErr w:type="gramEnd"/>
      <w:r w:rsidRPr="00037217">
        <w:t xml:space="preserve"> = 5.43, P = &lt;0.01). </w:t>
      </w:r>
      <w:r w:rsidR="00A97349">
        <w:t xml:space="preserve"> </w:t>
      </w:r>
      <w:r w:rsidRPr="00037217">
        <w:t xml:space="preserve">SIMPER analysis suggested differences were a result of an increase in the average abundance of bony herring (contribution = 14.03%) from Year 1 to Year 2, as well as a decrease in the average abundance of common carp (contribution = 12.27%) and of carp gudgeon (contribution = 11.28 %). </w:t>
      </w:r>
      <w:r w:rsidR="00A97349">
        <w:t xml:space="preserve"> </w:t>
      </w:r>
      <w:r w:rsidRPr="00037217">
        <w:t xml:space="preserve">There were also significant differences between years in the abundance of species in the Gingham (t = 1.64, P = 0.04) and Gwydir (t = 2.13, P = 0.01) </w:t>
      </w:r>
      <w:r w:rsidR="00AB2CE2">
        <w:t>channels</w:t>
      </w:r>
      <w:r w:rsidRPr="00037217">
        <w:t xml:space="preserve">. </w:t>
      </w:r>
      <w:r w:rsidR="00A97349">
        <w:t xml:space="preserve"> </w:t>
      </w:r>
      <w:r w:rsidRPr="00037217">
        <w:t>In the Gingham, SIMPER analysis suggested that the main difference was due to an increase in the number of bony herring captured in 2015-16 (contribution = 20.64 %), a decrease in the number of mosquitofish (contribution = 11.89%) and an increase in the number of carp gudgeon (contribution = 11.28 %).</w:t>
      </w:r>
      <w:r w:rsidR="00A97349">
        <w:t xml:space="preserve"> </w:t>
      </w:r>
      <w:r w:rsidRPr="00037217">
        <w:t xml:space="preserve"> In the Gwydir, the differences between years was due to there being no Australian smelt (</w:t>
      </w:r>
      <w:r w:rsidRPr="00037217">
        <w:rPr>
          <w:i/>
        </w:rPr>
        <w:t>Retropinna semoni</w:t>
      </w:r>
      <w:r w:rsidRPr="00037217">
        <w:t xml:space="preserve">) captured in 2015-16 (contribution = 13.98), as well as a decrease in the average abundance of common carp (contribution = 13.28 %), Murray-Darling rainbowfish (contribution = 12.90 %) and carp gudgeon (contribution = 12.78 %). </w:t>
      </w:r>
      <w:r w:rsidR="00A97349">
        <w:t xml:space="preserve"> </w:t>
      </w:r>
      <w:r w:rsidRPr="00037217">
        <w:t>There was no significant difference between years in abundances of individual species in the Mehi (</w:t>
      </w:r>
      <w:r w:rsidR="00561C43">
        <w:t>t = 1.02, P = 0.43) or the Moomi</w:t>
      </w:r>
      <w:r w:rsidRPr="00037217">
        <w:t xml:space="preserve">n (t = 1.31, P = 0.27). </w:t>
      </w:r>
    </w:p>
    <w:p w:rsidR="00423C6C" w:rsidRPr="004C2A47" w:rsidRDefault="00423C6C" w:rsidP="00DA6C28">
      <w:pPr>
        <w:pStyle w:val="Heading8"/>
      </w:pPr>
      <w:r w:rsidRPr="004C2A47">
        <w:t>Biomass</w:t>
      </w:r>
      <w:r w:rsidRPr="004C2A47">
        <w:rPr>
          <w:noProof/>
          <w:lang w:eastAsia="en-AU"/>
        </w:rPr>
        <w:t xml:space="preserve"> </w:t>
      </w:r>
    </w:p>
    <w:p w:rsidR="002159C6" w:rsidRPr="00E23B8D" w:rsidRDefault="002159C6" w:rsidP="00E23B8D">
      <w:r w:rsidRPr="00037217">
        <w:t>Based on estimated and measured weights, in total 388.468 kg of fish were sampled across all sites and for all methods combined.</w:t>
      </w:r>
      <w:r w:rsidR="00A97349">
        <w:t xml:space="preserve"> </w:t>
      </w:r>
      <w:r w:rsidRPr="00037217">
        <w:t xml:space="preserve"> As in Year 1, common carp had the highest overall biomass (162.317 kg) among the 13 species sampled, and also had the highest average (± S.E.) biomass at sites in the Gingham 11.526 ± 6.363 kg and in the Mehi 13.181 ± 9.407 kg (</w:t>
      </w:r>
      <w:r w:rsidR="00037217">
        <w:fldChar w:fldCharType="begin"/>
      </w:r>
      <w:r w:rsidR="00037217">
        <w:instrText xml:space="preserve"> REF _Ref458692809 \h </w:instrText>
      </w:r>
      <w:r w:rsidR="00E23B8D">
        <w:instrText xml:space="preserve"> \* MERGEFORMAT </w:instrText>
      </w:r>
      <w:r w:rsidR="00037217">
        <w:fldChar w:fldCharType="separate"/>
      </w:r>
      <w:r w:rsidR="005D5925">
        <w:t xml:space="preserve">Figure </w:t>
      </w:r>
      <w:r w:rsidR="005D5925">
        <w:rPr>
          <w:noProof/>
        </w:rPr>
        <w:t>I</w:t>
      </w:r>
      <w:r w:rsidR="005D5925">
        <w:rPr>
          <w:noProof/>
        </w:rPr>
        <w:noBreakHyphen/>
        <w:t>5</w:t>
      </w:r>
      <w:r w:rsidR="00037217">
        <w:fldChar w:fldCharType="end"/>
      </w:r>
      <w:r w:rsidRPr="00037217">
        <w:t>).</w:t>
      </w:r>
      <w:r w:rsidR="00A97349">
        <w:t xml:space="preserve"> </w:t>
      </w:r>
      <w:r w:rsidRPr="00037217">
        <w:t xml:space="preserve"> In the Gwydir, Murray cod had the highest average biomass 11.526 ± 6.363 kg, whilst in the Moomin, golden perch (</w:t>
      </w:r>
      <w:r w:rsidRPr="00037217">
        <w:rPr>
          <w:i/>
        </w:rPr>
        <w:t>Macquaria ambigua</w:t>
      </w:r>
      <w:r w:rsidRPr="00037217">
        <w:t>) had the highest average 0.661 ± 0.660 kg.</w:t>
      </w:r>
      <w:r w:rsidR="00A97349">
        <w:t xml:space="preserve"> </w:t>
      </w:r>
      <w:r w:rsidRPr="00037217">
        <w:t xml:space="preserve"> Murray cod and golden perch also had the second and third highest overall biomass respectively, followed by bony herring. Among the small bodied species, carp gudgeon (n = 170 g), Murray-Darling rainbowfish (n = 106 g) and mosquitofish (n = 36 g), had the first, second and third highest biomass respectively. </w:t>
      </w:r>
    </w:p>
    <w:p w:rsidR="000F3C87" w:rsidRDefault="002159C6" w:rsidP="00E23B8D">
      <w:r w:rsidRPr="00037217">
        <w:t xml:space="preserve">Overall, there was no significant difference in biomass among the four </w:t>
      </w:r>
      <w:r w:rsidR="00AB2CE2">
        <w:t>channels</w:t>
      </w:r>
      <w:r w:rsidRPr="00037217">
        <w:t xml:space="preserve"> (Pseudo-F</w:t>
      </w:r>
      <w:r w:rsidRPr="00037217">
        <w:rPr>
          <w:vertAlign w:val="subscript"/>
        </w:rPr>
        <w:t>3</w:t>
      </w:r>
      <w:proofErr w:type="gramStart"/>
      <w:r w:rsidRPr="00037217">
        <w:rPr>
          <w:vertAlign w:val="subscript"/>
        </w:rPr>
        <w:t>,19</w:t>
      </w:r>
      <w:proofErr w:type="gramEnd"/>
      <w:r w:rsidRPr="00037217">
        <w:t xml:space="preserve"> = 1.40, </w:t>
      </w:r>
      <w:r w:rsidR="00A97349">
        <w:br/>
      </w:r>
      <w:r w:rsidRPr="00037217">
        <w:t>P = 0.2).</w:t>
      </w:r>
      <w:r w:rsidR="00A97349">
        <w:t xml:space="preserve"> </w:t>
      </w:r>
      <w:r w:rsidRPr="00037217">
        <w:t xml:space="preserve"> Pair-wise comparisons revealed this was also the case between each of the </w:t>
      </w:r>
      <w:r w:rsidR="00AB2CE2">
        <w:t>channels</w:t>
      </w:r>
      <w:r w:rsidRPr="00037217">
        <w:t xml:space="preserve"> individually; Gingham and Gwydir (t = 1.69, P = 0.12), Gingham and Mehi ((t = 1.02, P = 0.35), Gingham and Moomin (t = 1.35, P = 0.2), Gwydir and Mehi (t = 0.99, P = 0.53), Gwydir and Moomin (t = 1.02, P = 0.29) and Mehi and Moomin (t = 1.01, P = 0.28).</w:t>
      </w:r>
    </w:p>
    <w:p w:rsidR="00E23B8D" w:rsidRDefault="002159C6" w:rsidP="00E23B8D">
      <w:pPr>
        <w:rPr>
          <w:rFonts w:cs="Arial"/>
          <w:szCs w:val="20"/>
        </w:rPr>
      </w:pPr>
      <w:r w:rsidRPr="00037217">
        <w:rPr>
          <w:rFonts w:cs="Arial"/>
          <w:szCs w:val="20"/>
        </w:rPr>
        <w:t>There was a significant difference in the overall biomass among the fish assemblage between Years 1 and 2 (Pseudo-F</w:t>
      </w:r>
      <w:r w:rsidRPr="00037217">
        <w:rPr>
          <w:rFonts w:cs="Arial"/>
          <w:szCs w:val="20"/>
          <w:vertAlign w:val="subscript"/>
        </w:rPr>
        <w:t>1</w:t>
      </w:r>
      <w:proofErr w:type="gramStart"/>
      <w:r w:rsidRPr="00037217">
        <w:rPr>
          <w:rFonts w:cs="Arial"/>
          <w:szCs w:val="20"/>
          <w:vertAlign w:val="subscript"/>
        </w:rPr>
        <w:t>,44</w:t>
      </w:r>
      <w:proofErr w:type="gramEnd"/>
      <w:r w:rsidRPr="00037217">
        <w:rPr>
          <w:rFonts w:cs="Arial"/>
          <w:szCs w:val="20"/>
        </w:rPr>
        <w:t xml:space="preserve"> = 4.50, P = &lt;0.01). </w:t>
      </w:r>
      <w:r w:rsidR="00A97349">
        <w:rPr>
          <w:rFonts w:cs="Arial"/>
          <w:szCs w:val="20"/>
        </w:rPr>
        <w:t xml:space="preserve"> </w:t>
      </w:r>
      <w:r w:rsidRPr="00037217">
        <w:rPr>
          <w:rFonts w:cs="Arial"/>
          <w:szCs w:val="20"/>
        </w:rPr>
        <w:t>Differences were primarily a result of a decrease in the biomass of common carp in 2015-16 (contribution = 24.94 %), but also an increase in the biomass of bony herring (contribution = 16.08 %) and a decrease in the biomass of Murr</w:t>
      </w:r>
      <w:r w:rsidR="000F3C87">
        <w:rPr>
          <w:rFonts w:cs="Arial"/>
          <w:szCs w:val="20"/>
        </w:rPr>
        <w:t>ay cod (contribution = 14.79 %)</w:t>
      </w:r>
      <w:r w:rsidRPr="00037217">
        <w:rPr>
          <w:rFonts w:cs="Arial"/>
          <w:szCs w:val="20"/>
        </w:rPr>
        <w:t>.</w:t>
      </w:r>
      <w:r w:rsidRPr="00037217">
        <w:t xml:space="preserve"> </w:t>
      </w:r>
      <w:r w:rsidR="00711EE3" w:rsidRPr="00037217">
        <w:rPr>
          <w:rFonts w:cs="Arial"/>
          <w:szCs w:val="20"/>
        </w:rPr>
        <w:t xml:space="preserve">Individually, there was no significant difference between years within </w:t>
      </w:r>
      <w:r w:rsidR="00AB2CE2">
        <w:rPr>
          <w:rFonts w:cs="Arial"/>
          <w:szCs w:val="20"/>
        </w:rPr>
        <w:t>channels</w:t>
      </w:r>
      <w:r w:rsidR="00711EE3" w:rsidRPr="00037217">
        <w:rPr>
          <w:rFonts w:cs="Arial"/>
          <w:szCs w:val="20"/>
        </w:rPr>
        <w:t>; Gingham (t = 1.53, P = 0.11), Gwydir (t = 1.86, P = 0.57), Mehi (t = 0.71, P = 0.82) and Moomin (t = 1.23, P = 0.31).</w:t>
      </w:r>
      <w:r w:rsidR="00E23B8D">
        <w:rPr>
          <w:rFonts w:cs="Arial"/>
          <w:szCs w:val="20"/>
        </w:rPr>
        <w:br w:type="page"/>
      </w:r>
    </w:p>
    <w:p w:rsidR="00E23B8D" w:rsidRDefault="00E23B8D" w:rsidP="00E23B8D">
      <w:pPr>
        <w:rPr>
          <w:rFonts w:cs="Arial"/>
          <w:szCs w:val="20"/>
        </w:rPr>
      </w:pPr>
    </w:p>
    <w:p w:rsidR="000F3C87" w:rsidRPr="00037217" w:rsidRDefault="004176FF" w:rsidP="00E23B8D">
      <w:pPr>
        <w:keepNext/>
        <w:spacing w:after="0" w:line="240" w:lineRule="auto"/>
      </w:pPr>
      <w:r>
        <w:rPr>
          <w:noProof/>
          <w:lang w:eastAsia="en-AU"/>
        </w:rPr>
        <mc:AlternateContent>
          <mc:Choice Requires="wps">
            <w:drawing>
              <wp:anchor distT="0" distB="0" distL="114300" distR="114300" simplePos="0" relativeHeight="251681792" behindDoc="0" locked="0" layoutInCell="1" allowOverlap="1">
                <wp:simplePos x="0" y="0"/>
                <wp:positionH relativeFrom="column">
                  <wp:posOffset>2913380</wp:posOffset>
                </wp:positionH>
                <wp:positionV relativeFrom="paragraph">
                  <wp:posOffset>4810125</wp:posOffset>
                </wp:positionV>
                <wp:extent cx="2571750" cy="1323975"/>
                <wp:effectExtent l="0" t="0" r="0" b="9525"/>
                <wp:wrapTight wrapText="bothSides">
                  <wp:wrapPolygon edited="0">
                    <wp:start x="0" y="0"/>
                    <wp:lineTo x="0" y="21445"/>
                    <wp:lineTo x="21440" y="21445"/>
                    <wp:lineTo x="21440" y="0"/>
                    <wp:lineTo x="0" y="0"/>
                  </wp:wrapPolygon>
                </wp:wrapTight>
                <wp:docPr id="242"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0" cy="1323975"/>
                        </a:xfrm>
                        <a:prstGeom prst="rect">
                          <a:avLst/>
                        </a:prstGeom>
                        <a:solidFill>
                          <a:sysClr val="window" lastClr="FFFFFF"/>
                        </a:solidFill>
                        <a:ln w="6350">
                          <a:noFill/>
                        </a:ln>
                        <a:effectLst/>
                      </wps:spPr>
                      <wps:txbx>
                        <w:txbxContent>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Australian smelt</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Bony herring</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Carp gudgeon</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Golden perch</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Freshwater catfish</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Murray cod</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M-D rainbowfish</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Silver perch</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Spangled perch</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Un-specked hardyhead</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 xml:space="preserve">Common carp </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Mosquitofish</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Goldfish</w:t>
                            </w:r>
                          </w:p>
                        </w:txbxContent>
                      </wps:txbx>
                      <wps:bodyPr rot="0" spcFirstLastPara="0"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98" o:spid="_x0000_s1064" type="#_x0000_t202" style="position:absolute;left:0;text-align:left;margin-left:229.4pt;margin-top:378.75pt;width:202.5pt;height:10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" fillcolor="window" stroked="f" strokeweight=".5pt">
                <v:path arrowok="t"/>
                <v:textbox style="layout-flow:vertical;mso-layout-flow-alt:bottom-to-top">
                  <w:txbxContent>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Australian smelt</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Bony herring</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Carp gudgeon</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Golden perch</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Freshwater catfish</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Murray cod</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M-D rainbowfish</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Silver perch</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Spangled perch</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Un-specked hardyhead</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 xml:space="preserve">Common carp </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Mosquitofish</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Goldfish</w:t>
                      </w:r>
                    </w:p>
                  </w:txbxContent>
                </v:textbox>
                <w10:wrap type="tight"/>
              </v:shape>
            </w:pict>
          </mc:Fallback>
        </mc:AlternateContent>
      </w:r>
      <w:r>
        <w:rPr>
          <w:noProof/>
          <w:lang w:eastAsia="en-AU"/>
        </w:rPr>
        <mc:AlternateContent>
          <mc:Choice Requires="wps">
            <w:drawing>
              <wp:anchor distT="0" distB="0" distL="114300" distR="114300" simplePos="0" relativeHeight="251680768" behindDoc="0" locked="0" layoutInCell="1" allowOverlap="1">
                <wp:simplePos x="0" y="0"/>
                <wp:positionH relativeFrom="column">
                  <wp:posOffset>390525</wp:posOffset>
                </wp:positionH>
                <wp:positionV relativeFrom="paragraph">
                  <wp:posOffset>4810125</wp:posOffset>
                </wp:positionV>
                <wp:extent cx="2571750" cy="1323975"/>
                <wp:effectExtent l="0" t="0" r="0" b="9525"/>
                <wp:wrapTight wrapText="bothSides">
                  <wp:wrapPolygon edited="0">
                    <wp:start x="0" y="0"/>
                    <wp:lineTo x="0" y="21445"/>
                    <wp:lineTo x="21440" y="21445"/>
                    <wp:lineTo x="21440" y="0"/>
                    <wp:lineTo x="0" y="0"/>
                  </wp:wrapPolygon>
                </wp:wrapTight>
                <wp:docPr id="241"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0" cy="1323975"/>
                        </a:xfrm>
                        <a:prstGeom prst="rect">
                          <a:avLst/>
                        </a:prstGeom>
                        <a:solidFill>
                          <a:sysClr val="window" lastClr="FFFFFF"/>
                        </a:solidFill>
                        <a:ln w="6350">
                          <a:noFill/>
                        </a:ln>
                        <a:effectLst/>
                      </wps:spPr>
                      <wps:txbx>
                        <w:txbxContent>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Australian smelt</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Bony herring</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Carp gudgeon</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Golden perch</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Freshwater catfish</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Murray cod</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M-D rainbowfish</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Silver perch</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Spangled perch</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Un-specked hardyhead</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 xml:space="preserve">Common carp </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Mosquitofish</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Goldfish</w:t>
                            </w:r>
                          </w:p>
                        </w:txbxContent>
                      </wps:txbx>
                      <wps:bodyPr rot="0" spcFirstLastPara="0"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30.75pt;margin-top:378.75pt;width:202.5pt;height:10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" fillcolor="window" stroked="f" strokeweight=".5pt">
                <v:path arrowok="t"/>
                <v:textbox style="layout-flow:vertical;mso-layout-flow-alt:bottom-to-top">
                  <w:txbxContent>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Australian smelt</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Bony herring</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Carp gudgeon</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Golden perch</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Freshwater catfish</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Murray cod</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M-D rainbowfish</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Silver perch</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Spangled perch</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Un-specked hardyhead</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 xml:space="preserve">Common carp </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Mosquitofish</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Goldfish</w:t>
                      </w:r>
                    </w:p>
                  </w:txbxContent>
                </v:textbox>
                <w10:wrap type="tight"/>
              </v:shape>
            </w:pict>
          </mc:Fallback>
        </mc:AlternateContent>
      </w:r>
      <w:r w:rsidRPr="008F5E11">
        <w:rPr>
          <w:noProof/>
          <w:lang w:eastAsia="en-AU"/>
        </w:rPr>
        <w:drawing>
          <wp:inline distT="0" distB="0" distL="0" distR="0">
            <wp:extent cx="5705475" cy="4810125"/>
            <wp:effectExtent l="0" t="0" r="9525" b="9525"/>
            <wp:docPr id="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2">
                      <a:extLst>
                        <a:ext uri="{28A0092B-C50C-407E-A947-70E740481C1C}">
                          <a14:useLocalDpi xmlns:a14="http://schemas.microsoft.com/office/drawing/2010/main"/>
                        </a:ext>
                      </a:extLst>
                    </a:blip>
                    <a:srcRect/>
                    <a:stretch>
                      <a:fillRect/>
                    </a:stretch>
                  </pic:blipFill>
                  <pic:spPr bwMode="auto">
                    <a:xfrm>
                      <a:off x="0" y="0"/>
                      <a:ext cx="5705475" cy="4810125"/>
                    </a:xfrm>
                    <a:prstGeom prst="rect">
                      <a:avLst/>
                    </a:prstGeom>
                    <a:noFill/>
                    <a:ln>
                      <a:noFill/>
                    </a:ln>
                  </pic:spPr>
                </pic:pic>
              </a:graphicData>
            </a:graphic>
          </wp:inline>
        </w:drawing>
      </w:r>
    </w:p>
    <w:p w:rsidR="006909A2" w:rsidRDefault="006909A2" w:rsidP="005A53B3">
      <w:pPr>
        <w:pStyle w:val="Caption"/>
      </w:pPr>
      <w:bookmarkStart w:id="158" w:name="_Ref458692756"/>
    </w:p>
    <w:p w:rsidR="006909A2" w:rsidRDefault="006909A2" w:rsidP="005A53B3">
      <w:pPr>
        <w:pStyle w:val="Caption"/>
      </w:pPr>
    </w:p>
    <w:p w:rsidR="006909A2" w:rsidRDefault="006909A2" w:rsidP="005A53B3">
      <w:pPr>
        <w:pStyle w:val="Caption"/>
      </w:pPr>
    </w:p>
    <w:p w:rsidR="006909A2" w:rsidRDefault="006909A2" w:rsidP="005A53B3">
      <w:pPr>
        <w:pStyle w:val="Caption"/>
      </w:pPr>
    </w:p>
    <w:p w:rsidR="006909A2" w:rsidRDefault="006909A2" w:rsidP="005A53B3">
      <w:pPr>
        <w:pStyle w:val="Caption"/>
      </w:pPr>
    </w:p>
    <w:p w:rsidR="006909A2" w:rsidRDefault="006909A2" w:rsidP="005A53B3">
      <w:pPr>
        <w:pStyle w:val="Caption"/>
      </w:pPr>
    </w:p>
    <w:p w:rsidR="006909A2" w:rsidRDefault="006909A2" w:rsidP="005A53B3">
      <w:pPr>
        <w:pStyle w:val="Caption"/>
      </w:pPr>
    </w:p>
    <w:p w:rsidR="006909A2" w:rsidRDefault="006909A2" w:rsidP="005A53B3">
      <w:pPr>
        <w:pStyle w:val="Caption"/>
      </w:pPr>
    </w:p>
    <w:p w:rsidR="00423C6C" w:rsidRDefault="00DA6C28" w:rsidP="005A53B3">
      <w:pPr>
        <w:pStyle w:val="Caption"/>
      </w:pPr>
      <w:r>
        <w:t xml:space="preserve">Figure </w:t>
      </w:r>
      <w:fldSimple w:instr=" STYLEREF 6 \s ">
        <w:r w:rsidR="00673DAF">
          <w:rPr>
            <w:noProof/>
          </w:rPr>
          <w:t>I</w:t>
        </w:r>
      </w:fldSimple>
      <w:r w:rsidR="00673DAF">
        <w:noBreakHyphen/>
      </w:r>
      <w:fldSimple w:instr=" SEQ Figure \* ARABIC \s 6 ">
        <w:r w:rsidR="00673DAF">
          <w:rPr>
            <w:noProof/>
          </w:rPr>
          <w:t>4</w:t>
        </w:r>
      </w:fldSimple>
      <w:bookmarkEnd w:id="158"/>
      <w:r>
        <w:t xml:space="preserve"> </w:t>
      </w:r>
      <w:r w:rsidRPr="0030099A">
        <w:t>Average catch per unit effort (CPUE) ±</w:t>
      </w:r>
      <w:r>
        <w:t xml:space="preserve"> S.E. for the 13</w:t>
      </w:r>
      <w:r w:rsidRPr="0030099A">
        <w:t xml:space="preserve"> fish species sampled in the Gingham </w:t>
      </w:r>
      <w:r w:rsidR="001C3C04">
        <w:t>watercourse</w:t>
      </w:r>
      <w:r w:rsidRPr="0030099A">
        <w:t xml:space="preserve">, Gwydir River, Mehi River and </w:t>
      </w:r>
      <w:r>
        <w:t>Moomin</w:t>
      </w:r>
      <w:r w:rsidRPr="0030099A">
        <w:t xml:space="preserve"> Creek</w:t>
      </w:r>
      <w:r>
        <w:t xml:space="preserve">. </w:t>
      </w:r>
      <w:r w:rsidRPr="00B53430">
        <w:rPr>
          <w:b w:val="0"/>
        </w:rPr>
        <w:t>NB*</w:t>
      </w:r>
      <w:r>
        <w:t>. Juveniles and non-juveniles estimates represent the length at 1 year of age for longer-lived species or the age at sexual maturity for species that reach maturity within 1 year (</w:t>
      </w:r>
      <w:r>
        <w:fldChar w:fldCharType="begin"/>
      </w:r>
      <w:r>
        <w:instrText xml:space="preserve"> REF _Ref458692379 \h </w:instrText>
      </w:r>
      <w:r>
        <w:fldChar w:fldCharType="separate"/>
      </w:r>
      <w:r w:rsidR="005D5925">
        <w:t xml:space="preserve">Table </w:t>
      </w:r>
      <w:r w:rsidR="005D5925">
        <w:rPr>
          <w:noProof/>
        </w:rPr>
        <w:t>I</w:t>
      </w:r>
      <w:r w:rsidR="005D5925">
        <w:noBreakHyphen/>
      </w:r>
      <w:r w:rsidR="005D5925">
        <w:rPr>
          <w:noProof/>
        </w:rPr>
        <w:t>3</w:t>
      </w:r>
      <w:r>
        <w:fldChar w:fldCharType="end"/>
      </w:r>
      <w:r>
        <w:t>).</w:t>
      </w:r>
    </w:p>
    <w:p w:rsidR="00E23B8D" w:rsidRDefault="00E23B8D" w:rsidP="00E23B8D">
      <w:pPr>
        <w:spacing w:after="0" w:line="240" w:lineRule="auto"/>
        <w:ind w:left="720" w:hanging="720"/>
      </w:pPr>
      <w:r>
        <w:br w:type="page"/>
      </w:r>
    </w:p>
    <w:p w:rsidR="00E23B8D" w:rsidRDefault="00E23B8D" w:rsidP="00E23B8D">
      <w:pPr>
        <w:spacing w:after="0" w:line="240" w:lineRule="auto"/>
        <w:ind w:left="720" w:hanging="720"/>
      </w:pPr>
    </w:p>
    <w:p w:rsidR="00423C6C" w:rsidRDefault="004176FF" w:rsidP="00E23B8D">
      <w:pPr>
        <w:spacing w:after="0" w:line="240" w:lineRule="auto"/>
        <w:ind w:left="720" w:hanging="720"/>
        <w:rPr>
          <w:b/>
        </w:rPr>
      </w:pPr>
      <w:r w:rsidRPr="008F5E11">
        <w:rPr>
          <w:noProof/>
          <w:lang w:eastAsia="en-AU"/>
        </w:rPr>
        <w:drawing>
          <wp:inline distT="0" distB="0" distL="0" distR="0">
            <wp:extent cx="5762625" cy="6419850"/>
            <wp:effectExtent l="0" t="0" r="9525" b="0"/>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3">
                      <a:extLst>
                        <a:ext uri="{28A0092B-C50C-407E-A947-70E740481C1C}">
                          <a14:useLocalDpi xmlns:a14="http://schemas.microsoft.com/office/drawing/2010/main"/>
                        </a:ext>
                      </a:extLst>
                    </a:blip>
                    <a:srcRect/>
                    <a:stretch>
                      <a:fillRect/>
                    </a:stretch>
                  </pic:blipFill>
                  <pic:spPr bwMode="auto">
                    <a:xfrm>
                      <a:off x="0" y="0"/>
                      <a:ext cx="5762625" cy="6419850"/>
                    </a:xfrm>
                    <a:prstGeom prst="rect">
                      <a:avLst/>
                    </a:prstGeom>
                    <a:noFill/>
                    <a:ln>
                      <a:noFill/>
                    </a:ln>
                  </pic:spPr>
                </pic:pic>
              </a:graphicData>
            </a:graphic>
          </wp:inline>
        </w:drawing>
      </w:r>
    </w:p>
    <w:p w:rsidR="006909A2" w:rsidRDefault="004176FF" w:rsidP="00DA6C28">
      <w:pPr>
        <w:pStyle w:val="Caption"/>
      </w:pPr>
      <w:bookmarkStart w:id="159" w:name="_Ref458692809"/>
      <w:r>
        <w:rPr>
          <w:noProof/>
          <w:lang w:eastAsia="en-AU"/>
        </w:rPr>
        <mc:AlternateContent>
          <mc:Choice Requires="wps">
            <w:drawing>
              <wp:anchor distT="0" distB="0" distL="114300" distR="114300" simplePos="0" relativeHeight="251683840" behindDoc="0" locked="0" layoutInCell="1" allowOverlap="1">
                <wp:simplePos x="0" y="0"/>
                <wp:positionH relativeFrom="column">
                  <wp:posOffset>2914650</wp:posOffset>
                </wp:positionH>
                <wp:positionV relativeFrom="paragraph">
                  <wp:posOffset>2540</wp:posOffset>
                </wp:positionV>
                <wp:extent cx="2571750" cy="1323975"/>
                <wp:effectExtent l="0" t="0" r="0" b="9525"/>
                <wp:wrapTight wrapText="bothSides">
                  <wp:wrapPolygon edited="0">
                    <wp:start x="0" y="0"/>
                    <wp:lineTo x="0" y="21445"/>
                    <wp:lineTo x="21440" y="21445"/>
                    <wp:lineTo x="21440" y="0"/>
                    <wp:lineTo x="0" y="0"/>
                  </wp:wrapPolygon>
                </wp:wrapTight>
                <wp:docPr id="240"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0" cy="1323975"/>
                        </a:xfrm>
                        <a:prstGeom prst="rect">
                          <a:avLst/>
                        </a:prstGeom>
                        <a:solidFill>
                          <a:sysClr val="window" lastClr="FFFFFF"/>
                        </a:solidFill>
                        <a:ln w="6350">
                          <a:noFill/>
                        </a:ln>
                        <a:effectLst/>
                      </wps:spPr>
                      <wps:txbx>
                        <w:txbxContent>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Australian smelt</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Bony herring</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Carp gudgeon</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Golden perch</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Freshwater catfish</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Murray cod</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M-D rainbowfish</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Silver perch</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Spangled perch</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Un-specked hardyhead</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 xml:space="preserve">Common carp </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Mosquitofish</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Goldfish</w:t>
                            </w:r>
                          </w:p>
                        </w:txbxContent>
                      </wps:txbx>
                      <wps:bodyPr rot="0" spcFirstLastPara="0"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229.5pt;margin-top:.2pt;width:202.5pt;height:10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" fillcolor="window" stroked="f" strokeweight=".5pt">
                <v:path arrowok="t"/>
                <v:textbox style="layout-flow:vertical;mso-layout-flow-alt:bottom-to-top">
                  <w:txbxContent>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Australian smelt</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Bony herring</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Carp gudgeon</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Golden perch</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Freshwater catfish</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Murray cod</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M-D rainbowfish</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Silver perch</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Spangled perch</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Un-specked hardyhead</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 xml:space="preserve">Common carp </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Mosquitofish</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Goldfish</w:t>
                      </w:r>
                    </w:p>
                  </w:txbxContent>
                </v:textbox>
                <w10:wrap type="tight"/>
              </v:shape>
            </w:pict>
          </mc:Fallback>
        </mc:AlternateContent>
      </w:r>
      <w:r>
        <w:rPr>
          <w:noProof/>
          <w:lang w:eastAsia="en-AU"/>
        </w:rPr>
        <mc:AlternateContent>
          <mc:Choice Requires="wps">
            <w:drawing>
              <wp:anchor distT="0" distB="0" distL="114300" distR="114300" simplePos="0" relativeHeight="251682816" behindDoc="0" locked="0" layoutInCell="1" allowOverlap="1">
                <wp:simplePos x="0" y="0"/>
                <wp:positionH relativeFrom="column">
                  <wp:posOffset>422275</wp:posOffset>
                </wp:positionH>
                <wp:positionV relativeFrom="paragraph">
                  <wp:posOffset>2540</wp:posOffset>
                </wp:positionV>
                <wp:extent cx="2571750" cy="1323975"/>
                <wp:effectExtent l="0" t="0" r="0" b="9525"/>
                <wp:wrapTight wrapText="bothSides">
                  <wp:wrapPolygon edited="0">
                    <wp:start x="0" y="0"/>
                    <wp:lineTo x="0" y="21445"/>
                    <wp:lineTo x="21440" y="21445"/>
                    <wp:lineTo x="21440" y="0"/>
                    <wp:lineTo x="0" y="0"/>
                  </wp:wrapPolygon>
                </wp:wrapTight>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0" cy="1323975"/>
                        </a:xfrm>
                        <a:prstGeom prst="rect">
                          <a:avLst/>
                        </a:prstGeom>
                        <a:solidFill>
                          <a:sysClr val="window" lastClr="FFFFFF"/>
                        </a:solidFill>
                        <a:ln w="6350">
                          <a:noFill/>
                        </a:ln>
                        <a:effectLst/>
                      </wps:spPr>
                      <wps:txbx>
                        <w:txbxContent>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Australian smelt</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Bony herring</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Carp gudgeon</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Golden perch</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Freshwater catfish</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Murray cod</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M-D rainbowfish</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Silver perch</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Spangled perch</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Un-specked hardyhead</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 xml:space="preserve">Common carp </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Mosquitofish</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Goldfish</w:t>
                            </w:r>
                          </w:p>
                        </w:txbxContent>
                      </wps:txbx>
                      <wps:bodyPr rot="0" spcFirstLastPara="0"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left:0;text-align:left;margin-left:33.25pt;margin-top:.2pt;width:202.5pt;height:10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" fillcolor="window" stroked="f" strokeweight=".5pt">
                <v:path arrowok="t"/>
                <v:textbox style="layout-flow:vertical;mso-layout-flow-alt:bottom-to-top">
                  <w:txbxContent>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Australian smelt</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Bony herring</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Carp gudgeon</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Golden perch</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Freshwater catfish</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Murray cod</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M-D rainbowfish</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Silver perch</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Spangled perch</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Un-specked hardyhead</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 xml:space="preserve">Common carp </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Mosquitofish</w:t>
                      </w:r>
                    </w:p>
                    <w:p w:rsidR="00EA54D5" w:rsidRDefault="00EA54D5" w:rsidP="006909A2">
                      <w:pPr>
                        <w:pStyle w:val="NormalWeb"/>
                        <w:spacing w:before="60" w:beforeAutospacing="0" w:after="0" w:afterAutospacing="0"/>
                        <w:jc w:val="right"/>
                      </w:pPr>
                      <w:r w:rsidRPr="006909A2">
                        <w:rPr>
                          <w:rFonts w:ascii="Calibri" w:eastAsia="Calibri" w:hAnsi="Calibri"/>
                          <w:b/>
                          <w:bCs/>
                          <w:color w:val="000000"/>
                          <w:kern w:val="24"/>
                          <w:sz w:val="19"/>
                          <w:szCs w:val="19"/>
                        </w:rPr>
                        <w:t>Goldfish</w:t>
                      </w:r>
                    </w:p>
                  </w:txbxContent>
                </v:textbox>
                <w10:wrap type="tight"/>
              </v:shape>
            </w:pict>
          </mc:Fallback>
        </mc:AlternateContent>
      </w:r>
    </w:p>
    <w:p w:rsidR="006909A2" w:rsidRDefault="006909A2" w:rsidP="00DA6C28">
      <w:pPr>
        <w:pStyle w:val="Caption"/>
      </w:pPr>
    </w:p>
    <w:p w:rsidR="006909A2" w:rsidRDefault="006909A2" w:rsidP="00DA6C28">
      <w:pPr>
        <w:pStyle w:val="Caption"/>
      </w:pPr>
    </w:p>
    <w:p w:rsidR="006909A2" w:rsidRDefault="006909A2" w:rsidP="00DA6C28">
      <w:pPr>
        <w:pStyle w:val="Caption"/>
      </w:pPr>
    </w:p>
    <w:p w:rsidR="006909A2" w:rsidRDefault="006909A2" w:rsidP="00DA6C28">
      <w:pPr>
        <w:pStyle w:val="Caption"/>
      </w:pPr>
    </w:p>
    <w:p w:rsidR="006909A2" w:rsidRDefault="006909A2" w:rsidP="00DA6C28">
      <w:pPr>
        <w:pStyle w:val="Caption"/>
      </w:pPr>
    </w:p>
    <w:p w:rsidR="006909A2" w:rsidRDefault="006909A2" w:rsidP="00DA6C28">
      <w:pPr>
        <w:pStyle w:val="Caption"/>
      </w:pPr>
    </w:p>
    <w:p w:rsidR="001E44F6" w:rsidRDefault="00DA6C28" w:rsidP="00DA6C28">
      <w:pPr>
        <w:pStyle w:val="Caption"/>
      </w:pPr>
      <w:r>
        <w:t xml:space="preserve">Figure </w:t>
      </w:r>
      <w:fldSimple w:instr=" STYLEREF 6 \s ">
        <w:r w:rsidR="00673DAF">
          <w:rPr>
            <w:noProof/>
          </w:rPr>
          <w:t>I</w:t>
        </w:r>
      </w:fldSimple>
      <w:r w:rsidR="00673DAF">
        <w:noBreakHyphen/>
      </w:r>
      <w:fldSimple w:instr=" SEQ Figure \* ARABIC \s 6 ">
        <w:r w:rsidR="00673DAF">
          <w:rPr>
            <w:noProof/>
          </w:rPr>
          <w:t>5</w:t>
        </w:r>
      </w:fldSimple>
      <w:bookmarkEnd w:id="159"/>
      <w:r>
        <w:t xml:space="preserve"> </w:t>
      </w:r>
      <w:r w:rsidRPr="0030099A">
        <w:t xml:space="preserve">Average </w:t>
      </w:r>
      <w:r>
        <w:t>biomass</w:t>
      </w:r>
      <w:r w:rsidRPr="0030099A">
        <w:t xml:space="preserve"> ± S.E. </w:t>
      </w:r>
      <w:r>
        <w:t>(log transformed) for the 13</w:t>
      </w:r>
      <w:r w:rsidRPr="0030099A">
        <w:t xml:space="preserve"> fish species sampled in the Gingham </w:t>
      </w:r>
      <w:r w:rsidR="001C3C04">
        <w:t>watercourse</w:t>
      </w:r>
      <w:r w:rsidRPr="0030099A">
        <w:t xml:space="preserve">, Gwydir River, Mehi River and </w:t>
      </w:r>
      <w:r>
        <w:t>Moomin</w:t>
      </w:r>
      <w:r w:rsidRPr="0030099A">
        <w:t xml:space="preserve"> Creek</w:t>
      </w:r>
      <w:r>
        <w:t>.</w:t>
      </w:r>
    </w:p>
    <w:p w:rsidR="00423C6C" w:rsidRPr="0031581F" w:rsidRDefault="00E23B8D" w:rsidP="00673DAF">
      <w:pPr>
        <w:pStyle w:val="Heading8"/>
      </w:pPr>
      <w:r>
        <w:br w:type="page"/>
      </w:r>
      <w:r w:rsidR="00423C6C" w:rsidRPr="0031581F">
        <w:t xml:space="preserve">Length frequency </w:t>
      </w:r>
    </w:p>
    <w:p w:rsidR="00423C6C" w:rsidRPr="009524AD" w:rsidRDefault="00423C6C" w:rsidP="00DA6C28">
      <w:pPr>
        <w:rPr>
          <w:szCs w:val="20"/>
        </w:rPr>
      </w:pPr>
      <w:r>
        <w:t xml:space="preserve">As was the case in 2014-15, in 2015-16 the populations of carp gudgeon and </w:t>
      </w:r>
      <w:r w:rsidRPr="00991A6A">
        <w:t>Murray-Darling rainbowfish</w:t>
      </w:r>
      <w:r>
        <w:t xml:space="preserve"> in most zones tended to be unimodal but asymmetrical, with little evidence of distinct cohort structuring (</w:t>
      </w:r>
      <w:r w:rsidR="00B97B45">
        <w:fldChar w:fldCharType="begin"/>
      </w:r>
      <w:r w:rsidR="00B97B45">
        <w:instrText xml:space="preserve"> REF _Ref459889418 \h </w:instrText>
      </w:r>
      <w:r w:rsidR="00B97B45">
        <w:fldChar w:fldCharType="separate"/>
      </w:r>
      <w:r w:rsidR="005D5925">
        <w:t xml:space="preserve">Figure </w:t>
      </w:r>
      <w:r w:rsidR="005D5925">
        <w:rPr>
          <w:noProof/>
        </w:rPr>
        <w:t>G</w:t>
      </w:r>
      <w:r w:rsidR="005D5925">
        <w:noBreakHyphen/>
      </w:r>
      <w:r w:rsidR="005D5925">
        <w:rPr>
          <w:noProof/>
        </w:rPr>
        <w:t>6</w:t>
      </w:r>
      <w:r w:rsidR="00B97B45">
        <w:fldChar w:fldCharType="end"/>
      </w:r>
      <w:r>
        <w:t xml:space="preserve">). </w:t>
      </w:r>
      <w:r w:rsidR="00A97349">
        <w:t xml:space="preserve"> </w:t>
      </w:r>
      <w:r>
        <w:t>T</w:t>
      </w:r>
      <w:r w:rsidRPr="00991A6A">
        <w:t>here were</w:t>
      </w:r>
      <w:r>
        <w:t>, however,</w:t>
      </w:r>
      <w:r w:rsidRPr="00991A6A">
        <w:t xml:space="preserve"> significant differences in the length frequency of carp gudgeon between </w:t>
      </w:r>
      <w:r w:rsidR="008D10FD">
        <w:t>channels</w:t>
      </w:r>
      <w:r>
        <w:t xml:space="preserve"> </w:t>
      </w:r>
      <w:r w:rsidRPr="00991A6A">
        <w:t>where it was caught in sufficient numbers to allow comparisons (</w:t>
      </w:r>
      <w:r w:rsidR="00233D04">
        <w:fldChar w:fldCharType="begin"/>
      </w:r>
      <w:r w:rsidR="00233D04">
        <w:instrText xml:space="preserve"> REF _Ref458693638 \h </w:instrText>
      </w:r>
      <w:r w:rsidR="00233D04">
        <w:fldChar w:fldCharType="separate"/>
      </w:r>
      <w:r w:rsidR="005D5925">
        <w:t xml:space="preserve">Table </w:t>
      </w:r>
      <w:r w:rsidR="005D5925">
        <w:rPr>
          <w:noProof/>
        </w:rPr>
        <w:t>I</w:t>
      </w:r>
      <w:r w:rsidR="005D5925">
        <w:noBreakHyphen/>
      </w:r>
      <w:r w:rsidR="005D5925">
        <w:rPr>
          <w:noProof/>
        </w:rPr>
        <w:t>4</w:t>
      </w:r>
      <w:r w:rsidR="00233D04">
        <w:fldChar w:fldCharType="end"/>
      </w:r>
      <w:r w:rsidRPr="00991A6A">
        <w:t xml:space="preserve">). </w:t>
      </w:r>
      <w:r w:rsidR="00A97349">
        <w:t xml:space="preserve"> </w:t>
      </w:r>
      <w:r w:rsidRPr="00991A6A">
        <w:t xml:space="preserve">Differences were driven by a greater proportion of adults in the Mehi, a greater number of sub-adults across a </w:t>
      </w:r>
      <w:r>
        <w:t>wider</w:t>
      </w:r>
      <w:r w:rsidRPr="00991A6A">
        <w:t xml:space="preserve"> range of sizes in the Gingham, and a strong cohort of sub-adults in the 20-30 mm range in the Gwydir. </w:t>
      </w:r>
      <w:r w:rsidR="00A97349">
        <w:t xml:space="preserve"> </w:t>
      </w:r>
      <w:r w:rsidRPr="00991A6A">
        <w:t xml:space="preserve">Between years, the Gwydir was the only </w:t>
      </w:r>
      <w:r w:rsidR="008D10FD">
        <w:t>channel</w:t>
      </w:r>
      <w:r w:rsidRPr="00991A6A">
        <w:t xml:space="preserve"> where there were </w:t>
      </w:r>
      <w:r>
        <w:t xml:space="preserve">significant </w:t>
      </w:r>
      <w:r w:rsidRPr="00991A6A">
        <w:t>differences between the length frequencies of carp gudgeon (</w:t>
      </w:r>
      <w:r w:rsidR="00233D04">
        <w:fldChar w:fldCharType="begin"/>
      </w:r>
      <w:r w:rsidR="00233D04">
        <w:instrText xml:space="preserve"> REF _Ref458693624 \h </w:instrText>
      </w:r>
      <w:r w:rsidR="00233D04">
        <w:fldChar w:fldCharType="separate"/>
      </w:r>
      <w:r w:rsidR="005D5925">
        <w:t xml:space="preserve">Table </w:t>
      </w:r>
      <w:r w:rsidR="005D5925">
        <w:rPr>
          <w:noProof/>
        </w:rPr>
        <w:t>I</w:t>
      </w:r>
      <w:r w:rsidR="005D5925">
        <w:noBreakHyphen/>
      </w:r>
      <w:r w:rsidR="005D5925">
        <w:rPr>
          <w:noProof/>
        </w:rPr>
        <w:t>5</w:t>
      </w:r>
      <w:r w:rsidR="00233D04">
        <w:fldChar w:fldCharType="end"/>
      </w:r>
      <w:r w:rsidRPr="00991A6A">
        <w:t>).</w:t>
      </w:r>
      <w:r w:rsidR="00A97349">
        <w:t xml:space="preserve"> </w:t>
      </w:r>
      <w:r w:rsidRPr="00991A6A">
        <w:t xml:space="preserve"> </w:t>
      </w:r>
      <w:r>
        <w:t xml:space="preserve">Differences were again driven by the dominance of fish in the in 20-30 mm range in the 2015-16 sample. </w:t>
      </w:r>
      <w:r w:rsidR="00A97349">
        <w:t xml:space="preserve"> </w:t>
      </w:r>
      <w:r w:rsidRPr="00991A6A">
        <w:t>Because Australian smelt and Murray-Darling rainbowfish</w:t>
      </w:r>
      <w:r>
        <w:t xml:space="preserve"> were caught in such low numbers </w:t>
      </w:r>
      <w:r w:rsidRPr="00991A6A">
        <w:t>in the current round of sampling</w:t>
      </w:r>
      <w:r>
        <w:t xml:space="preserve">, it was not possible to undertake </w:t>
      </w:r>
      <w:r w:rsidRPr="00991A6A">
        <w:t xml:space="preserve">comparisons between </w:t>
      </w:r>
      <w:r w:rsidR="008D10FD">
        <w:t>channels</w:t>
      </w:r>
      <w:r w:rsidRPr="00991A6A">
        <w:t xml:space="preserve"> </w:t>
      </w:r>
      <w:r>
        <w:t xml:space="preserve">either </w:t>
      </w:r>
      <w:r w:rsidRPr="00991A6A">
        <w:t xml:space="preserve">within </w:t>
      </w:r>
      <w:r>
        <w:t>or</w:t>
      </w:r>
      <w:r w:rsidRPr="00991A6A">
        <w:t xml:space="preserve"> between years</w:t>
      </w:r>
      <w:r>
        <w:t xml:space="preserve"> (</w:t>
      </w:r>
      <w:r w:rsidR="00A97349">
        <w:fldChar w:fldCharType="begin"/>
      </w:r>
      <w:r w:rsidR="00A97349">
        <w:instrText xml:space="preserve"> REF _Ref459890570 \h </w:instrText>
      </w:r>
      <w:r w:rsidR="00A97349">
        <w:fldChar w:fldCharType="separate"/>
      </w:r>
      <w:r w:rsidR="005D5925">
        <w:t xml:space="preserve">Figure </w:t>
      </w:r>
      <w:r w:rsidR="005D5925">
        <w:rPr>
          <w:noProof/>
        </w:rPr>
        <w:t>I</w:t>
      </w:r>
      <w:r w:rsidR="005D5925">
        <w:noBreakHyphen/>
      </w:r>
      <w:r w:rsidR="005D5925">
        <w:rPr>
          <w:noProof/>
        </w:rPr>
        <w:t>6</w:t>
      </w:r>
      <w:r w:rsidR="00A97349">
        <w:fldChar w:fldCharType="end"/>
      </w:r>
      <w:r>
        <w:t xml:space="preserve">). </w:t>
      </w:r>
    </w:p>
    <w:p w:rsidR="00423C6C" w:rsidRDefault="00423C6C" w:rsidP="00DA6C28">
      <w:r w:rsidRPr="00631F15">
        <w:t xml:space="preserve">There were significant differences </w:t>
      </w:r>
      <w:r>
        <w:t xml:space="preserve">in the </w:t>
      </w:r>
      <w:r w:rsidRPr="00631F15">
        <w:t xml:space="preserve">length frequencies </w:t>
      </w:r>
      <w:r w:rsidR="008D10FD">
        <w:t xml:space="preserve">of fish </w:t>
      </w:r>
      <w:r w:rsidRPr="00631F15">
        <w:t xml:space="preserve">between the majority of </w:t>
      </w:r>
      <w:r w:rsidR="008D10FD">
        <w:t>channels</w:t>
      </w:r>
      <w:r w:rsidRPr="00631F15">
        <w:t xml:space="preserve"> among </w:t>
      </w:r>
      <w:r>
        <w:t xml:space="preserve">all three of </w:t>
      </w:r>
      <w:r w:rsidRPr="00631F15">
        <w:t xml:space="preserve">the large-bodied species </w:t>
      </w:r>
      <w:r>
        <w:t xml:space="preserve">sampled in the current round </w:t>
      </w:r>
      <w:r w:rsidRPr="00631F15">
        <w:t xml:space="preserve">(common carp, Murray cod, </w:t>
      </w:r>
      <w:r w:rsidR="00561C43">
        <w:t xml:space="preserve">and </w:t>
      </w:r>
      <w:r w:rsidRPr="00631F15">
        <w:t>bony herring) (</w:t>
      </w:r>
      <w:r w:rsidR="00233D04">
        <w:fldChar w:fldCharType="begin"/>
      </w:r>
      <w:r w:rsidR="00233D04">
        <w:instrText xml:space="preserve"> REF _Ref458692756 \h </w:instrText>
      </w:r>
      <w:r w:rsidR="00233D04">
        <w:fldChar w:fldCharType="separate"/>
      </w:r>
      <w:r w:rsidR="005D5925">
        <w:t xml:space="preserve">Figure </w:t>
      </w:r>
      <w:r w:rsidR="005D5925">
        <w:rPr>
          <w:noProof/>
        </w:rPr>
        <w:t>I</w:t>
      </w:r>
      <w:r w:rsidR="005D5925">
        <w:noBreakHyphen/>
      </w:r>
      <w:r w:rsidR="005D5925">
        <w:rPr>
          <w:noProof/>
        </w:rPr>
        <w:t>4</w:t>
      </w:r>
      <w:r w:rsidR="00233D04">
        <w:fldChar w:fldCharType="end"/>
      </w:r>
      <w:r w:rsidRPr="00631F15">
        <w:t>) (where tested).</w:t>
      </w:r>
      <w:r w:rsidR="00A97349">
        <w:t xml:space="preserve">  </w:t>
      </w:r>
      <w:r w:rsidRPr="00BB7ACE">
        <w:t xml:space="preserve">The only two exceptions </w:t>
      </w:r>
      <w:r>
        <w:t>were</w:t>
      </w:r>
      <w:r w:rsidRPr="00BB7ACE">
        <w:t xml:space="preserve"> common carp in the Gingham and Gwydir</w:t>
      </w:r>
      <w:r>
        <w:t>, where both populations were dominated by a gr</w:t>
      </w:r>
      <w:r w:rsidRPr="00E03090">
        <w:t xml:space="preserve">oup below 200 mm and </w:t>
      </w:r>
      <w:r>
        <w:t xml:space="preserve">a </w:t>
      </w:r>
      <w:r w:rsidRPr="00E03090">
        <w:t>group between 350 and 500</w:t>
      </w:r>
      <w:r w:rsidR="008D10FD">
        <w:t> </w:t>
      </w:r>
      <w:r w:rsidRPr="00E03090">
        <w:t xml:space="preserve">mm, and Murray cod in the Gwydir and Mehi where individuals were </w:t>
      </w:r>
      <w:r>
        <w:t>similarly</w:t>
      </w:r>
      <w:r w:rsidRPr="00E03090">
        <w:t xml:space="preserve"> distributed across a ran</w:t>
      </w:r>
      <w:r w:rsidR="008D10FD">
        <w:t>ge of sizes between 150 and 650 </w:t>
      </w:r>
      <w:r w:rsidRPr="00E03090">
        <w:t>mm (</w:t>
      </w:r>
      <w:r w:rsidR="00A97349">
        <w:fldChar w:fldCharType="begin"/>
      </w:r>
      <w:r w:rsidR="00A97349">
        <w:instrText xml:space="preserve"> REF _Ref459890600 \h </w:instrText>
      </w:r>
      <w:r w:rsidR="00A97349">
        <w:fldChar w:fldCharType="separate"/>
      </w:r>
      <w:r w:rsidR="005D5925">
        <w:t xml:space="preserve">Figure </w:t>
      </w:r>
      <w:r w:rsidR="005D5925">
        <w:rPr>
          <w:noProof/>
        </w:rPr>
        <w:t>I</w:t>
      </w:r>
      <w:r w:rsidR="005D5925">
        <w:noBreakHyphen/>
      </w:r>
      <w:r w:rsidR="005D5925">
        <w:rPr>
          <w:noProof/>
        </w:rPr>
        <w:t>7</w:t>
      </w:r>
      <w:r w:rsidR="00A97349">
        <w:fldChar w:fldCharType="end"/>
      </w:r>
      <w:r w:rsidR="00A97349">
        <w:t>)</w:t>
      </w:r>
      <w:r w:rsidRPr="00E03090">
        <w:t xml:space="preserve">. </w:t>
      </w:r>
      <w:r w:rsidR="00A97349">
        <w:t xml:space="preserve"> </w:t>
      </w:r>
      <w:r>
        <w:t>In the Mehi, the differences in com</w:t>
      </w:r>
      <w:r w:rsidRPr="00E03090">
        <w:t>mon carp population</w:t>
      </w:r>
      <w:r>
        <w:t>s</w:t>
      </w:r>
      <w:r w:rsidRPr="00E03090">
        <w:t xml:space="preserve"> </w:t>
      </w:r>
      <w:r>
        <w:t>lengths</w:t>
      </w:r>
      <w:r w:rsidR="008D10FD">
        <w:t xml:space="preserve"> were</w:t>
      </w:r>
      <w:r w:rsidRPr="00E03090">
        <w:t xml:space="preserve"> driven by the prevalence of larger adult</w:t>
      </w:r>
      <w:r>
        <w:t>s</w:t>
      </w:r>
      <w:r w:rsidRPr="00BF77C4">
        <w:t xml:space="preserve">, whilst </w:t>
      </w:r>
      <w:r>
        <w:t>the Moomi</w:t>
      </w:r>
      <w:r w:rsidRPr="00BF77C4">
        <w:t>n was the opposite, with almost all individuals juveniles below 150 mm</w:t>
      </w:r>
      <w:r>
        <w:t xml:space="preserve"> (</w:t>
      </w:r>
      <w:r w:rsidR="00A97349">
        <w:fldChar w:fldCharType="begin"/>
      </w:r>
      <w:r w:rsidR="00A97349">
        <w:instrText xml:space="preserve"> REF _Ref459890600 \h </w:instrText>
      </w:r>
      <w:r w:rsidR="00A97349">
        <w:fldChar w:fldCharType="separate"/>
      </w:r>
      <w:r w:rsidR="005D5925">
        <w:t xml:space="preserve">Figure </w:t>
      </w:r>
      <w:r w:rsidR="005D5925">
        <w:rPr>
          <w:noProof/>
        </w:rPr>
        <w:t>I</w:t>
      </w:r>
      <w:r w:rsidR="005D5925">
        <w:noBreakHyphen/>
      </w:r>
      <w:r w:rsidR="005D5925">
        <w:rPr>
          <w:noProof/>
        </w:rPr>
        <w:t>7</w:t>
      </w:r>
      <w:r w:rsidR="00A97349">
        <w:fldChar w:fldCharType="end"/>
      </w:r>
      <w:r w:rsidR="00A97349">
        <w:t xml:space="preserve"> </w:t>
      </w:r>
      <w:r w:rsidRPr="00BF77C4">
        <w:t>).</w:t>
      </w:r>
      <w:r w:rsidR="00A97349">
        <w:t xml:space="preserve"> </w:t>
      </w:r>
      <w:r w:rsidRPr="00BF77C4">
        <w:t xml:space="preserve"> Differences in bony herring populations among zones were similarly driven by the presence or absence of smaller individuals. In general, there were larger numbers of individuals &lt; one-year-old in both the Mehi and Moomin compared to the other two </w:t>
      </w:r>
      <w:r w:rsidR="008D10FD">
        <w:t>channels</w:t>
      </w:r>
      <w:r w:rsidRPr="00BF77C4">
        <w:t xml:space="preserve">. </w:t>
      </w:r>
      <w:r w:rsidR="00A97349">
        <w:t xml:space="preserve"> </w:t>
      </w:r>
      <w:r w:rsidRPr="00BF77C4">
        <w:t xml:space="preserve">Differences between the two </w:t>
      </w:r>
      <w:r w:rsidR="008D10FD">
        <w:t>channels</w:t>
      </w:r>
      <w:r w:rsidRPr="00BF77C4">
        <w:t xml:space="preserve"> were driven by the presence of individuals &gt; 120 mm in the Mehi</w:t>
      </w:r>
      <w:r>
        <w:t>,</w:t>
      </w:r>
      <w:r w:rsidRPr="00BF77C4">
        <w:t xml:space="preserve"> whilst in the Moomin there were none. In the Gingham, the bony herring population was somewhat different as the majority of the population was distributed between 80 and 230 mm, whilst in the Gwydir the majority of individuals were between 60 and 140 mm but there were also a reasonable number between 250-300 mm. </w:t>
      </w:r>
      <w:r w:rsidRPr="00087165">
        <w:t>As with 20</w:t>
      </w:r>
      <w:r>
        <w:t>14-</w:t>
      </w:r>
      <w:r w:rsidRPr="00087165">
        <w:t xml:space="preserve">15, among all three species </w:t>
      </w:r>
      <w:r>
        <w:t xml:space="preserve">and in most populations </w:t>
      </w:r>
      <w:r w:rsidRPr="00087165">
        <w:t>there was evidence of bi</w:t>
      </w:r>
      <w:r w:rsidR="008D10FD">
        <w:t>model</w:t>
      </w:r>
      <w:r w:rsidRPr="00087165">
        <w:t xml:space="preserve"> and </w:t>
      </w:r>
      <w:r>
        <w:t xml:space="preserve">to a lesser degree, </w:t>
      </w:r>
      <w:r w:rsidRPr="00087165">
        <w:t>multi</w:t>
      </w:r>
      <w:r w:rsidR="008D10FD">
        <w:t>model</w:t>
      </w:r>
      <w:r w:rsidRPr="00087165">
        <w:t xml:space="preserve"> structuring</w:t>
      </w:r>
      <w:r>
        <w:t xml:space="preserve"> (</w:t>
      </w:r>
      <w:r w:rsidR="00A97349">
        <w:fldChar w:fldCharType="begin"/>
      </w:r>
      <w:r w:rsidR="00A97349">
        <w:instrText xml:space="preserve"> REF _Ref459890600 \h </w:instrText>
      </w:r>
      <w:r w:rsidR="00A97349">
        <w:fldChar w:fldCharType="separate"/>
      </w:r>
      <w:r w:rsidR="005D5925">
        <w:t xml:space="preserve">Figure </w:t>
      </w:r>
      <w:r w:rsidR="005D5925">
        <w:rPr>
          <w:noProof/>
        </w:rPr>
        <w:t>I</w:t>
      </w:r>
      <w:r w:rsidR="005D5925">
        <w:noBreakHyphen/>
      </w:r>
      <w:r w:rsidR="005D5925">
        <w:rPr>
          <w:noProof/>
        </w:rPr>
        <w:t>7</w:t>
      </w:r>
      <w:r w:rsidR="00A97349">
        <w:fldChar w:fldCharType="end"/>
      </w:r>
      <w:r w:rsidR="00A97349">
        <w:t xml:space="preserve"> </w:t>
      </w:r>
      <w:r>
        <w:t>)</w:t>
      </w:r>
      <w:r w:rsidRPr="00087165">
        <w:t xml:space="preserve">. </w:t>
      </w:r>
    </w:p>
    <w:p w:rsidR="00423C6C" w:rsidRDefault="00423C6C" w:rsidP="00DA6C28">
      <w:r>
        <w:t xml:space="preserve">There were significant differences in the length frequencies between years within </w:t>
      </w:r>
      <w:r w:rsidR="00AD5D39">
        <w:t>channels</w:t>
      </w:r>
      <w:r>
        <w:t xml:space="preserve"> among all three large-bodied species (</w:t>
      </w:r>
      <w:r w:rsidR="00233D04">
        <w:fldChar w:fldCharType="begin"/>
      </w:r>
      <w:r w:rsidR="00233D04">
        <w:instrText xml:space="preserve"> REF _Ref458693624 \h </w:instrText>
      </w:r>
      <w:r w:rsidR="00233D04">
        <w:fldChar w:fldCharType="separate"/>
      </w:r>
      <w:r w:rsidR="005D5925">
        <w:t xml:space="preserve">Table </w:t>
      </w:r>
      <w:r w:rsidR="005D5925">
        <w:rPr>
          <w:noProof/>
        </w:rPr>
        <w:t>I</w:t>
      </w:r>
      <w:r w:rsidR="005D5925">
        <w:noBreakHyphen/>
      </w:r>
      <w:r w:rsidR="005D5925">
        <w:rPr>
          <w:noProof/>
        </w:rPr>
        <w:t>5</w:t>
      </w:r>
      <w:r w:rsidR="00233D04">
        <w:fldChar w:fldCharType="end"/>
      </w:r>
      <w:r>
        <w:t>). With common carp there were differences in both the Gingham and Mehi populations, driven mainly in both cases</w:t>
      </w:r>
      <w:r w:rsidRPr="00355615">
        <w:t xml:space="preserve"> </w:t>
      </w:r>
      <w:r>
        <w:t xml:space="preserve">by the presence of a larger number of sub one-year-olds in 2014-15. </w:t>
      </w:r>
      <w:r w:rsidR="00A97349">
        <w:t xml:space="preserve"> </w:t>
      </w:r>
      <w:r>
        <w:t>Similarly, differences in bony herring populations in the Gwydir were also a result of there being greater numbers of &lt; one-year-olds in 2014-15 compared to 2015-16.</w:t>
      </w:r>
      <w:r w:rsidR="00A97349">
        <w:t xml:space="preserve"> </w:t>
      </w:r>
      <w:r>
        <w:t xml:space="preserve"> </w:t>
      </w:r>
      <w:r w:rsidR="00AD5D39">
        <w:t>In contrast, differences</w:t>
      </w:r>
      <w:r>
        <w:t xml:space="preserve"> in the Moomin were due to there being much larger numbers of individuals above and virtually none below 100 mm, in 2014-15.</w:t>
      </w:r>
      <w:r w:rsidR="00A97349">
        <w:t xml:space="preserve"> </w:t>
      </w:r>
      <w:r>
        <w:t xml:space="preserve"> In both Murray cod populations, th</w:t>
      </w:r>
      <w:r w:rsidR="00AD5D39">
        <w:t xml:space="preserve">e differences were a result of </w:t>
      </w:r>
      <w:r>
        <w:t xml:space="preserve">a dominance of one or two size classes in both the Gwydir and Mehi in 2014-15.  </w:t>
      </w:r>
    </w:p>
    <w:p w:rsidR="00E23B8D" w:rsidRDefault="00233D04" w:rsidP="00673DAF">
      <w:pPr>
        <w:spacing w:after="0" w:line="240" w:lineRule="auto"/>
        <w:jc w:val="left"/>
      </w:pPr>
      <w:r>
        <w:br w:type="page"/>
      </w:r>
      <w:r w:rsidR="004176FF" w:rsidRPr="008F5E11">
        <w:rPr>
          <w:noProof/>
          <w:lang w:eastAsia="en-AU"/>
        </w:rPr>
        <w:drawing>
          <wp:inline distT="0" distB="0" distL="0" distR="0">
            <wp:extent cx="5829300" cy="7486650"/>
            <wp:effectExtent l="0" t="0" r="0" b="0"/>
            <wp:docPr id="9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4">
                      <a:extLst>
                        <a:ext uri="{28A0092B-C50C-407E-A947-70E740481C1C}">
                          <a14:useLocalDpi xmlns:a14="http://schemas.microsoft.com/office/drawing/2010/main"/>
                        </a:ext>
                      </a:extLst>
                    </a:blip>
                    <a:srcRect/>
                    <a:stretch>
                      <a:fillRect/>
                    </a:stretch>
                  </pic:blipFill>
                  <pic:spPr bwMode="auto">
                    <a:xfrm>
                      <a:off x="0" y="0"/>
                      <a:ext cx="5829300" cy="7486650"/>
                    </a:xfrm>
                    <a:prstGeom prst="rect">
                      <a:avLst/>
                    </a:prstGeom>
                    <a:noFill/>
                    <a:ln>
                      <a:noFill/>
                    </a:ln>
                  </pic:spPr>
                </pic:pic>
              </a:graphicData>
            </a:graphic>
          </wp:inline>
        </w:drawing>
      </w:r>
    </w:p>
    <w:p w:rsidR="00673DAF" w:rsidRDefault="00E23B8D" w:rsidP="00673DAF">
      <w:pPr>
        <w:pStyle w:val="Caption"/>
      </w:pPr>
      <w:bookmarkStart w:id="160" w:name="_Ref459890570"/>
      <w:r>
        <w:t xml:space="preserve">Figure </w:t>
      </w:r>
      <w:fldSimple w:instr=" STYLEREF 6 \s ">
        <w:r w:rsidR="00673DAF">
          <w:rPr>
            <w:noProof/>
          </w:rPr>
          <w:t>I</w:t>
        </w:r>
      </w:fldSimple>
      <w:r w:rsidR="00673DAF">
        <w:noBreakHyphen/>
      </w:r>
      <w:fldSimple w:instr=" SEQ Figure \* ARABIC \s 6 ">
        <w:r w:rsidR="00673DAF">
          <w:rPr>
            <w:noProof/>
          </w:rPr>
          <w:t>6</w:t>
        </w:r>
      </w:fldSimple>
      <w:bookmarkEnd w:id="160"/>
      <w:r>
        <w:t xml:space="preserve"> Length frequency distribution (proportion (%)) of small-bodied fish, Australian smelt, carp gudgeon, and Murray-Darling Rainbowfish sampled in the </w:t>
      </w:r>
      <w:r w:rsidRPr="0030099A">
        <w:t xml:space="preserve">Gingham </w:t>
      </w:r>
      <w:r>
        <w:t>watercourse</w:t>
      </w:r>
      <w:r w:rsidRPr="0030099A">
        <w:t xml:space="preserve">, Gwydir River, Mehi River and </w:t>
      </w:r>
      <w:r>
        <w:t>Moomin</w:t>
      </w:r>
      <w:r w:rsidRPr="0030099A">
        <w:t xml:space="preserve"> Creek</w:t>
      </w:r>
      <w:r>
        <w:t>.</w:t>
      </w:r>
      <w:r w:rsidRPr="00DC5679">
        <w:t xml:space="preserve"> </w:t>
      </w:r>
      <w:r>
        <w:t>NB</w:t>
      </w:r>
      <w:r>
        <w:rPr>
          <w:vertAlign w:val="superscript"/>
        </w:rPr>
        <w:t>#</w:t>
      </w:r>
      <w:r>
        <w:t xml:space="preserve"> Dashed line is approximate length at sexual maturity.</w:t>
      </w:r>
    </w:p>
    <w:p w:rsidR="00233D04" w:rsidRDefault="00E23B8D" w:rsidP="00673DAF">
      <w:pPr>
        <w:pStyle w:val="Caption"/>
      </w:pPr>
      <w:r>
        <w:br w:type="page"/>
      </w:r>
      <w:bookmarkStart w:id="161" w:name="_Ref458693638"/>
      <w:r w:rsidR="00233D04">
        <w:t xml:space="preserve">Table </w:t>
      </w:r>
      <w:fldSimple w:instr=" STYLEREF 6 \s ">
        <w:r w:rsidR="005D5925">
          <w:rPr>
            <w:noProof/>
          </w:rPr>
          <w:t>I</w:t>
        </w:r>
      </w:fldSimple>
      <w:r w:rsidR="005D4453">
        <w:noBreakHyphen/>
      </w:r>
      <w:fldSimple w:instr=" SEQ Table \* ARABIC \s 6 ">
        <w:r w:rsidR="005D5925">
          <w:rPr>
            <w:noProof/>
          </w:rPr>
          <w:t>4</w:t>
        </w:r>
      </w:fldSimple>
      <w:bookmarkEnd w:id="161"/>
      <w:r w:rsidR="00233D04" w:rsidRPr="00233D04">
        <w:t xml:space="preserve"> </w:t>
      </w:r>
      <w:r w:rsidR="00233D04" w:rsidRPr="00815404">
        <w:t>Kolmogorov-Smirnov</w:t>
      </w:r>
      <w:r w:rsidR="00233D04">
        <w:t xml:space="preserve"> test results of length frequency comparisons between the </w:t>
      </w:r>
      <w:r w:rsidR="00233D04" w:rsidRPr="0030099A">
        <w:t xml:space="preserve">Gingham </w:t>
      </w:r>
      <w:r w:rsidR="001C3C04">
        <w:t>watercourse</w:t>
      </w:r>
      <w:r w:rsidR="00233D04">
        <w:t xml:space="preserve"> (</w:t>
      </w:r>
      <w:r w:rsidR="00F00C5A">
        <w:t>zone</w:t>
      </w:r>
      <w:r w:rsidR="00233D04">
        <w:t xml:space="preserve"> 1)</w:t>
      </w:r>
      <w:r w:rsidR="00233D04" w:rsidRPr="0030099A">
        <w:t>, Gwydir River</w:t>
      </w:r>
      <w:r w:rsidR="00233D04">
        <w:t xml:space="preserve"> (</w:t>
      </w:r>
      <w:r w:rsidR="00F00C5A">
        <w:t>zone</w:t>
      </w:r>
      <w:r w:rsidR="00233D04">
        <w:t xml:space="preserve"> 2)</w:t>
      </w:r>
      <w:r w:rsidR="00233D04" w:rsidRPr="0030099A">
        <w:t xml:space="preserve">, Mehi River </w:t>
      </w:r>
      <w:r w:rsidR="00233D04">
        <w:t>(</w:t>
      </w:r>
      <w:r w:rsidR="00F00C5A">
        <w:t>zone</w:t>
      </w:r>
      <w:r w:rsidR="00233D04">
        <w:t xml:space="preserve"> 3) </w:t>
      </w:r>
      <w:r w:rsidR="00233D04" w:rsidRPr="0030099A">
        <w:t xml:space="preserve">and </w:t>
      </w:r>
      <w:r w:rsidR="00233D04">
        <w:t>Moomin</w:t>
      </w:r>
      <w:r w:rsidR="00233D04" w:rsidRPr="0030099A">
        <w:t xml:space="preserve"> Creek</w:t>
      </w:r>
      <w:r w:rsidR="00711EE3">
        <w:t xml:space="preserve"> (</w:t>
      </w:r>
      <w:r w:rsidR="00F00C5A">
        <w:t>zone</w:t>
      </w:r>
      <w:r w:rsidR="00711EE3">
        <w:t xml:space="preserve"> 4). </w:t>
      </w:r>
      <w:r w:rsidR="00233D04" w:rsidRPr="00E32895">
        <w:t>NB*</w:t>
      </w:r>
      <w:r w:rsidR="00233D04">
        <w:t xml:space="preserve"> Dark shading indicates significant difference &lt;0.05.</w:t>
      </w:r>
      <w:r w:rsidR="00AD5D39">
        <w:t xml:space="preserve"> </w:t>
      </w:r>
      <w:r w:rsidR="005D07C7">
        <w:t>Z represents the K-S model result, P is the confidence value for the result.</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879"/>
        <w:gridCol w:w="1045"/>
        <w:gridCol w:w="1047"/>
        <w:gridCol w:w="1047"/>
        <w:gridCol w:w="1045"/>
        <w:gridCol w:w="1047"/>
        <w:gridCol w:w="1047"/>
        <w:gridCol w:w="1043"/>
      </w:tblGrid>
      <w:tr w:rsidR="00711EE3" w:rsidRPr="00E23B8D" w:rsidTr="00CC18AA">
        <w:trPr>
          <w:trHeight w:hRule="exact" w:val="397"/>
        </w:trPr>
        <w:tc>
          <w:tcPr>
            <w:tcW w:w="5000" w:type="pct"/>
            <w:gridSpan w:val="8"/>
            <w:shd w:val="clear" w:color="auto" w:fill="D9D9D9"/>
          </w:tcPr>
          <w:p w:rsidR="00711EE3" w:rsidRPr="00CC18AA" w:rsidRDefault="00711EE3" w:rsidP="00CC18AA">
            <w:pPr>
              <w:spacing w:before="60"/>
              <w:jc w:val="center"/>
              <w:rPr>
                <w:rFonts w:cs="Arial"/>
                <w:bCs/>
                <w:szCs w:val="20"/>
                <w:lang w:val="en-US"/>
              </w:rPr>
            </w:pPr>
            <w:r w:rsidRPr="00CC18AA">
              <w:rPr>
                <w:rFonts w:cs="Arial"/>
                <w:bCs/>
                <w:szCs w:val="20"/>
                <w:lang w:val="en-US"/>
              </w:rPr>
              <w:t>Hydrological Zone</w:t>
            </w:r>
          </w:p>
        </w:tc>
      </w:tr>
      <w:tr w:rsidR="005F23F1" w:rsidRPr="00E23B8D" w:rsidTr="00CC18AA">
        <w:trPr>
          <w:trHeight w:hRule="exact" w:val="397"/>
        </w:trPr>
        <w:tc>
          <w:tcPr>
            <w:tcW w:w="1589" w:type="pct"/>
            <w:gridSpan w:val="2"/>
            <w:shd w:val="clear" w:color="auto" w:fill="auto"/>
          </w:tcPr>
          <w:p w:rsidR="00711EE3" w:rsidRPr="00CC18AA" w:rsidRDefault="00711EE3" w:rsidP="00CC18AA">
            <w:pPr>
              <w:spacing w:before="60"/>
              <w:jc w:val="center"/>
              <w:rPr>
                <w:rFonts w:cs="Arial"/>
                <w:bCs/>
                <w:i/>
                <w:szCs w:val="20"/>
                <w:lang w:val="en-US"/>
              </w:rPr>
            </w:pPr>
          </w:p>
        </w:tc>
        <w:tc>
          <w:tcPr>
            <w:tcW w:w="569" w:type="pct"/>
            <w:shd w:val="clear" w:color="auto" w:fill="auto"/>
          </w:tcPr>
          <w:p w:rsidR="00711EE3" w:rsidRPr="00CC18AA" w:rsidRDefault="00711EE3" w:rsidP="00CC18AA">
            <w:pPr>
              <w:spacing w:before="60"/>
              <w:jc w:val="center"/>
              <w:rPr>
                <w:rFonts w:cs="Arial"/>
                <w:szCs w:val="20"/>
                <w:lang w:val="en-US"/>
              </w:rPr>
            </w:pPr>
            <w:r w:rsidRPr="00CC18AA">
              <w:rPr>
                <w:rFonts w:cs="Arial"/>
                <w:szCs w:val="20"/>
                <w:lang w:val="en-US"/>
              </w:rPr>
              <w:t>1 V 2</w:t>
            </w:r>
          </w:p>
        </w:tc>
        <w:tc>
          <w:tcPr>
            <w:tcW w:w="569" w:type="pct"/>
            <w:shd w:val="clear" w:color="auto" w:fill="auto"/>
          </w:tcPr>
          <w:p w:rsidR="00711EE3" w:rsidRPr="00CC18AA" w:rsidRDefault="00711EE3" w:rsidP="00CC18AA">
            <w:pPr>
              <w:spacing w:before="60"/>
              <w:jc w:val="center"/>
              <w:rPr>
                <w:rFonts w:cs="Arial"/>
                <w:szCs w:val="20"/>
                <w:lang w:val="en-US"/>
              </w:rPr>
            </w:pPr>
            <w:r w:rsidRPr="00CC18AA">
              <w:rPr>
                <w:rFonts w:cs="Arial"/>
                <w:szCs w:val="20"/>
                <w:lang w:val="en-US"/>
              </w:rPr>
              <w:t>1 V 3</w:t>
            </w:r>
          </w:p>
        </w:tc>
        <w:tc>
          <w:tcPr>
            <w:tcW w:w="568" w:type="pct"/>
            <w:shd w:val="clear" w:color="auto" w:fill="auto"/>
          </w:tcPr>
          <w:p w:rsidR="00711EE3" w:rsidRPr="00CC18AA" w:rsidRDefault="00711EE3" w:rsidP="00CC18AA">
            <w:pPr>
              <w:spacing w:before="60"/>
              <w:jc w:val="center"/>
              <w:rPr>
                <w:rFonts w:cs="Arial"/>
                <w:szCs w:val="20"/>
                <w:lang w:val="en-US"/>
              </w:rPr>
            </w:pPr>
            <w:r w:rsidRPr="00CC18AA">
              <w:rPr>
                <w:rFonts w:cs="Arial"/>
                <w:szCs w:val="20"/>
                <w:lang w:val="en-US"/>
              </w:rPr>
              <w:t>1 V 4</w:t>
            </w:r>
          </w:p>
        </w:tc>
        <w:tc>
          <w:tcPr>
            <w:tcW w:w="569" w:type="pct"/>
            <w:shd w:val="clear" w:color="auto" w:fill="auto"/>
          </w:tcPr>
          <w:p w:rsidR="00711EE3" w:rsidRPr="00CC18AA" w:rsidRDefault="00711EE3" w:rsidP="00CC18AA">
            <w:pPr>
              <w:spacing w:before="60"/>
              <w:jc w:val="center"/>
              <w:rPr>
                <w:rFonts w:cs="Arial"/>
                <w:szCs w:val="20"/>
                <w:lang w:val="en-US"/>
              </w:rPr>
            </w:pPr>
            <w:r w:rsidRPr="00CC18AA">
              <w:rPr>
                <w:rFonts w:cs="Arial"/>
                <w:szCs w:val="20"/>
                <w:lang w:val="en-US"/>
              </w:rPr>
              <w:t>2 V 3</w:t>
            </w:r>
          </w:p>
        </w:tc>
        <w:tc>
          <w:tcPr>
            <w:tcW w:w="569" w:type="pct"/>
            <w:shd w:val="clear" w:color="auto" w:fill="auto"/>
          </w:tcPr>
          <w:p w:rsidR="00711EE3" w:rsidRPr="00CC18AA" w:rsidRDefault="00711EE3" w:rsidP="00CC18AA">
            <w:pPr>
              <w:spacing w:before="60"/>
              <w:jc w:val="center"/>
              <w:rPr>
                <w:rFonts w:cs="Arial"/>
                <w:szCs w:val="20"/>
                <w:lang w:val="en-US"/>
              </w:rPr>
            </w:pPr>
            <w:r w:rsidRPr="00CC18AA">
              <w:rPr>
                <w:rFonts w:cs="Arial"/>
                <w:szCs w:val="20"/>
                <w:lang w:val="en-US"/>
              </w:rPr>
              <w:t>2 V 4</w:t>
            </w:r>
          </w:p>
        </w:tc>
        <w:tc>
          <w:tcPr>
            <w:tcW w:w="569" w:type="pct"/>
            <w:shd w:val="clear" w:color="auto" w:fill="auto"/>
          </w:tcPr>
          <w:p w:rsidR="00711EE3" w:rsidRPr="00CC18AA" w:rsidRDefault="00711EE3" w:rsidP="00CC18AA">
            <w:pPr>
              <w:spacing w:before="60"/>
              <w:jc w:val="center"/>
              <w:rPr>
                <w:rFonts w:cs="Arial"/>
                <w:szCs w:val="20"/>
                <w:lang w:val="en-US"/>
              </w:rPr>
            </w:pPr>
            <w:r w:rsidRPr="00CC18AA">
              <w:rPr>
                <w:rFonts w:cs="Arial"/>
                <w:szCs w:val="20"/>
                <w:lang w:val="en-US"/>
              </w:rPr>
              <w:t>3 V 4</w:t>
            </w:r>
          </w:p>
        </w:tc>
      </w:tr>
      <w:tr w:rsidR="005F23F1" w:rsidRPr="00E23B8D" w:rsidTr="00CC18AA">
        <w:trPr>
          <w:trHeight w:hRule="exact" w:val="397"/>
        </w:trPr>
        <w:tc>
          <w:tcPr>
            <w:tcW w:w="1021" w:type="pct"/>
            <w:vMerge w:val="restart"/>
            <w:shd w:val="clear" w:color="auto" w:fill="auto"/>
            <w:vAlign w:val="center"/>
          </w:tcPr>
          <w:p w:rsidR="00233D04" w:rsidRPr="00CC18AA" w:rsidRDefault="00711EE3" w:rsidP="00CC18AA">
            <w:pPr>
              <w:spacing w:before="60"/>
              <w:jc w:val="left"/>
              <w:rPr>
                <w:rFonts w:cs="Arial"/>
                <w:bCs/>
                <w:szCs w:val="20"/>
                <w:lang w:val="en-US"/>
              </w:rPr>
            </w:pPr>
            <w:r w:rsidRPr="00CC18AA">
              <w:rPr>
                <w:rFonts w:cs="Arial"/>
                <w:bCs/>
                <w:szCs w:val="20"/>
                <w:lang w:val="en-US"/>
              </w:rPr>
              <w:t>c</w:t>
            </w:r>
            <w:r w:rsidR="00233D04" w:rsidRPr="00CC18AA">
              <w:rPr>
                <w:rFonts w:cs="Arial"/>
                <w:bCs/>
                <w:szCs w:val="20"/>
                <w:lang w:val="en-US"/>
              </w:rPr>
              <w:t>ommon carp</w:t>
            </w:r>
          </w:p>
        </w:tc>
        <w:tc>
          <w:tcPr>
            <w:tcW w:w="568" w:type="pct"/>
            <w:shd w:val="clear" w:color="auto" w:fill="auto"/>
          </w:tcPr>
          <w:p w:rsidR="00233D04" w:rsidRPr="00CC18AA" w:rsidRDefault="00233D04" w:rsidP="00CC18AA">
            <w:pPr>
              <w:spacing w:before="60"/>
              <w:jc w:val="center"/>
              <w:rPr>
                <w:rFonts w:cs="Arial"/>
                <w:i/>
                <w:szCs w:val="20"/>
                <w:lang w:val="en-US"/>
              </w:rPr>
            </w:pPr>
            <w:r w:rsidRPr="00CC18AA">
              <w:rPr>
                <w:rFonts w:cs="Arial"/>
                <w:i/>
                <w:szCs w:val="20"/>
                <w:lang w:val="en-US"/>
              </w:rPr>
              <w:t>Z</w:t>
            </w:r>
          </w:p>
        </w:tc>
        <w:tc>
          <w:tcPr>
            <w:tcW w:w="569" w:type="pct"/>
            <w:shd w:val="clear" w:color="auto" w:fill="auto"/>
          </w:tcPr>
          <w:p w:rsidR="00233D04" w:rsidRPr="00CC18AA" w:rsidRDefault="00233D04" w:rsidP="00CC18AA">
            <w:pPr>
              <w:spacing w:before="60"/>
              <w:jc w:val="center"/>
              <w:rPr>
                <w:rFonts w:cs="Arial"/>
                <w:szCs w:val="20"/>
                <w:lang w:val="en-US"/>
              </w:rPr>
            </w:pPr>
            <w:r w:rsidRPr="00CC18AA">
              <w:rPr>
                <w:rFonts w:cs="Arial"/>
                <w:szCs w:val="20"/>
                <w:lang w:val="en-US"/>
              </w:rPr>
              <w:t>0.944</w:t>
            </w:r>
          </w:p>
        </w:tc>
        <w:tc>
          <w:tcPr>
            <w:tcW w:w="569" w:type="pct"/>
            <w:shd w:val="clear" w:color="auto" w:fill="F2F2F2"/>
          </w:tcPr>
          <w:p w:rsidR="00233D04" w:rsidRPr="00CC18AA" w:rsidRDefault="00233D04" w:rsidP="00CC18AA">
            <w:pPr>
              <w:spacing w:before="60"/>
              <w:jc w:val="center"/>
              <w:rPr>
                <w:rFonts w:cs="Arial"/>
                <w:szCs w:val="20"/>
                <w:lang w:val="en-US"/>
              </w:rPr>
            </w:pPr>
            <w:r w:rsidRPr="00CC18AA">
              <w:rPr>
                <w:rFonts w:cs="Arial"/>
                <w:szCs w:val="20"/>
                <w:lang w:val="en-US"/>
              </w:rPr>
              <w:t>2.757</w:t>
            </w:r>
          </w:p>
        </w:tc>
        <w:tc>
          <w:tcPr>
            <w:tcW w:w="568" w:type="pct"/>
            <w:shd w:val="clear" w:color="auto" w:fill="F2F2F2"/>
          </w:tcPr>
          <w:p w:rsidR="00233D04" w:rsidRPr="00CC18AA" w:rsidRDefault="00233D04" w:rsidP="00CC18AA">
            <w:pPr>
              <w:spacing w:before="60"/>
              <w:jc w:val="center"/>
              <w:rPr>
                <w:rFonts w:cs="Arial"/>
                <w:szCs w:val="20"/>
                <w:lang w:val="en-US"/>
              </w:rPr>
            </w:pPr>
            <w:r w:rsidRPr="00CC18AA">
              <w:rPr>
                <w:rFonts w:cs="Arial"/>
                <w:szCs w:val="20"/>
                <w:lang w:val="en-US"/>
              </w:rPr>
              <w:t>6.295</w:t>
            </w:r>
          </w:p>
        </w:tc>
        <w:tc>
          <w:tcPr>
            <w:tcW w:w="569" w:type="pct"/>
            <w:shd w:val="clear" w:color="auto" w:fill="F2F2F2"/>
          </w:tcPr>
          <w:p w:rsidR="00233D04" w:rsidRPr="00CC18AA" w:rsidRDefault="00233D04" w:rsidP="00CC18AA">
            <w:pPr>
              <w:spacing w:before="60"/>
              <w:jc w:val="center"/>
              <w:rPr>
                <w:rFonts w:cs="Arial"/>
                <w:szCs w:val="20"/>
                <w:lang w:val="en-US"/>
              </w:rPr>
            </w:pPr>
            <w:r w:rsidRPr="00CC18AA">
              <w:rPr>
                <w:rFonts w:cs="Arial"/>
                <w:szCs w:val="20"/>
                <w:lang w:val="en-US"/>
              </w:rPr>
              <w:t>3.266</w:t>
            </w:r>
          </w:p>
        </w:tc>
        <w:tc>
          <w:tcPr>
            <w:tcW w:w="569" w:type="pct"/>
            <w:shd w:val="clear" w:color="auto" w:fill="F2F2F2"/>
          </w:tcPr>
          <w:p w:rsidR="00233D04" w:rsidRPr="00CC18AA" w:rsidRDefault="00233D04" w:rsidP="00CC18AA">
            <w:pPr>
              <w:spacing w:before="60"/>
              <w:jc w:val="center"/>
              <w:rPr>
                <w:rFonts w:cs="Arial"/>
                <w:szCs w:val="20"/>
                <w:lang w:val="en-US"/>
              </w:rPr>
            </w:pPr>
            <w:r w:rsidRPr="00CC18AA">
              <w:rPr>
                <w:rFonts w:cs="Arial"/>
                <w:szCs w:val="20"/>
                <w:lang w:val="en-US"/>
              </w:rPr>
              <w:t>6.244</w:t>
            </w:r>
          </w:p>
        </w:tc>
        <w:tc>
          <w:tcPr>
            <w:tcW w:w="569" w:type="pct"/>
            <w:shd w:val="clear" w:color="auto" w:fill="F2F2F2"/>
          </w:tcPr>
          <w:p w:rsidR="00233D04" w:rsidRPr="00CC18AA" w:rsidRDefault="00233D04" w:rsidP="00CC18AA">
            <w:pPr>
              <w:spacing w:before="60"/>
              <w:jc w:val="center"/>
              <w:rPr>
                <w:rFonts w:cs="Arial"/>
                <w:szCs w:val="20"/>
                <w:lang w:val="en-US"/>
              </w:rPr>
            </w:pPr>
            <w:r w:rsidRPr="00CC18AA">
              <w:rPr>
                <w:rFonts w:cs="Arial"/>
                <w:szCs w:val="20"/>
                <w:lang w:val="en-US"/>
              </w:rPr>
              <w:t>6.229</w:t>
            </w:r>
          </w:p>
        </w:tc>
      </w:tr>
      <w:tr w:rsidR="005F23F1" w:rsidRPr="00E23B8D" w:rsidTr="00CC18AA">
        <w:trPr>
          <w:trHeight w:hRule="exact" w:val="397"/>
        </w:trPr>
        <w:tc>
          <w:tcPr>
            <w:tcW w:w="1021" w:type="pct"/>
            <w:vMerge/>
            <w:shd w:val="clear" w:color="auto" w:fill="auto"/>
            <w:vAlign w:val="center"/>
          </w:tcPr>
          <w:p w:rsidR="00233D04" w:rsidRPr="00CC18AA" w:rsidRDefault="00233D04" w:rsidP="00CC18AA">
            <w:pPr>
              <w:spacing w:before="60"/>
              <w:jc w:val="left"/>
              <w:rPr>
                <w:rFonts w:cs="Arial"/>
                <w:bCs/>
                <w:szCs w:val="20"/>
                <w:lang w:val="en-US"/>
              </w:rPr>
            </w:pPr>
          </w:p>
        </w:tc>
        <w:tc>
          <w:tcPr>
            <w:tcW w:w="568" w:type="pct"/>
            <w:shd w:val="clear" w:color="auto" w:fill="auto"/>
          </w:tcPr>
          <w:p w:rsidR="00233D04" w:rsidRPr="00CC18AA" w:rsidRDefault="00233D04" w:rsidP="00CC18AA">
            <w:pPr>
              <w:spacing w:before="60"/>
              <w:jc w:val="center"/>
              <w:rPr>
                <w:rFonts w:cs="Arial"/>
                <w:i/>
                <w:szCs w:val="20"/>
                <w:lang w:val="en-US"/>
              </w:rPr>
            </w:pPr>
            <w:r w:rsidRPr="00CC18AA">
              <w:rPr>
                <w:rFonts w:cs="Arial"/>
                <w:i/>
                <w:szCs w:val="20"/>
                <w:lang w:val="en-US"/>
              </w:rPr>
              <w:t>P</w:t>
            </w:r>
          </w:p>
        </w:tc>
        <w:tc>
          <w:tcPr>
            <w:tcW w:w="569" w:type="pct"/>
            <w:shd w:val="clear" w:color="auto" w:fill="auto"/>
          </w:tcPr>
          <w:p w:rsidR="00233D04" w:rsidRPr="00CC18AA" w:rsidRDefault="00233D04" w:rsidP="00CC18AA">
            <w:pPr>
              <w:spacing w:before="60"/>
              <w:jc w:val="center"/>
              <w:rPr>
                <w:rFonts w:cs="Arial"/>
                <w:szCs w:val="20"/>
                <w:lang w:val="en-US"/>
              </w:rPr>
            </w:pPr>
            <w:r w:rsidRPr="00CC18AA">
              <w:rPr>
                <w:rFonts w:cs="Arial"/>
                <w:szCs w:val="20"/>
                <w:lang w:val="en-US"/>
              </w:rPr>
              <w:t>0.335</w:t>
            </w:r>
          </w:p>
        </w:tc>
        <w:tc>
          <w:tcPr>
            <w:tcW w:w="569" w:type="pct"/>
            <w:shd w:val="clear" w:color="auto" w:fill="F2F2F2"/>
          </w:tcPr>
          <w:p w:rsidR="00233D04" w:rsidRPr="00CC18AA" w:rsidRDefault="00233D04" w:rsidP="00CC18AA">
            <w:pPr>
              <w:spacing w:before="60"/>
              <w:jc w:val="center"/>
              <w:rPr>
                <w:rFonts w:cs="Arial"/>
                <w:szCs w:val="20"/>
                <w:lang w:val="en-US"/>
              </w:rPr>
            </w:pPr>
            <w:r w:rsidRPr="00CC18AA">
              <w:rPr>
                <w:rFonts w:cs="Arial"/>
                <w:szCs w:val="20"/>
                <w:lang w:val="en-US"/>
              </w:rPr>
              <w:t>&lt;0.001</w:t>
            </w:r>
          </w:p>
        </w:tc>
        <w:tc>
          <w:tcPr>
            <w:tcW w:w="568" w:type="pct"/>
            <w:shd w:val="clear" w:color="auto" w:fill="F2F2F2"/>
          </w:tcPr>
          <w:p w:rsidR="00233D04" w:rsidRPr="00CC18AA" w:rsidRDefault="00233D04" w:rsidP="00CC18AA">
            <w:pPr>
              <w:spacing w:before="60"/>
              <w:jc w:val="center"/>
              <w:rPr>
                <w:rFonts w:cs="Arial"/>
                <w:szCs w:val="20"/>
                <w:lang w:val="en-US"/>
              </w:rPr>
            </w:pPr>
            <w:r w:rsidRPr="00CC18AA">
              <w:rPr>
                <w:rFonts w:cs="Arial"/>
                <w:szCs w:val="20"/>
                <w:lang w:val="en-US"/>
              </w:rPr>
              <w:t>&lt;0.001</w:t>
            </w:r>
          </w:p>
        </w:tc>
        <w:tc>
          <w:tcPr>
            <w:tcW w:w="569" w:type="pct"/>
            <w:shd w:val="clear" w:color="auto" w:fill="F2F2F2"/>
          </w:tcPr>
          <w:p w:rsidR="00233D04" w:rsidRPr="00CC18AA" w:rsidRDefault="00233D04" w:rsidP="00CC18AA">
            <w:pPr>
              <w:spacing w:before="60"/>
              <w:jc w:val="center"/>
              <w:rPr>
                <w:rFonts w:cs="Arial"/>
                <w:szCs w:val="20"/>
                <w:lang w:val="en-US"/>
              </w:rPr>
            </w:pPr>
            <w:r w:rsidRPr="00CC18AA">
              <w:rPr>
                <w:rFonts w:cs="Arial"/>
                <w:szCs w:val="20"/>
                <w:lang w:val="en-US"/>
              </w:rPr>
              <w:t>&lt;0.001</w:t>
            </w:r>
          </w:p>
        </w:tc>
        <w:tc>
          <w:tcPr>
            <w:tcW w:w="569" w:type="pct"/>
            <w:shd w:val="clear" w:color="auto" w:fill="F2F2F2"/>
          </w:tcPr>
          <w:p w:rsidR="00233D04" w:rsidRPr="00CC18AA" w:rsidRDefault="00233D04" w:rsidP="00CC18AA">
            <w:pPr>
              <w:spacing w:before="60"/>
              <w:jc w:val="center"/>
              <w:rPr>
                <w:rFonts w:cs="Arial"/>
                <w:szCs w:val="20"/>
                <w:lang w:val="en-US"/>
              </w:rPr>
            </w:pPr>
            <w:r w:rsidRPr="00CC18AA">
              <w:rPr>
                <w:rFonts w:cs="Arial"/>
                <w:szCs w:val="20"/>
                <w:lang w:val="en-US"/>
              </w:rPr>
              <w:t>&lt;0.001</w:t>
            </w:r>
          </w:p>
        </w:tc>
        <w:tc>
          <w:tcPr>
            <w:tcW w:w="569" w:type="pct"/>
            <w:shd w:val="clear" w:color="auto" w:fill="F2F2F2"/>
          </w:tcPr>
          <w:p w:rsidR="00233D04" w:rsidRPr="00CC18AA" w:rsidRDefault="00233D04" w:rsidP="00CC18AA">
            <w:pPr>
              <w:spacing w:before="60"/>
              <w:jc w:val="center"/>
              <w:rPr>
                <w:rFonts w:cs="Arial"/>
                <w:szCs w:val="20"/>
                <w:lang w:val="en-US"/>
              </w:rPr>
            </w:pPr>
            <w:r w:rsidRPr="00CC18AA">
              <w:rPr>
                <w:rFonts w:cs="Arial"/>
                <w:szCs w:val="20"/>
                <w:lang w:val="en-US"/>
              </w:rPr>
              <w:t>&lt;0.001</w:t>
            </w:r>
          </w:p>
        </w:tc>
      </w:tr>
      <w:tr w:rsidR="005F23F1" w:rsidRPr="00E23B8D" w:rsidTr="00CC18AA">
        <w:trPr>
          <w:trHeight w:hRule="exact" w:val="397"/>
        </w:trPr>
        <w:tc>
          <w:tcPr>
            <w:tcW w:w="1021" w:type="pct"/>
            <w:vMerge w:val="restart"/>
            <w:shd w:val="clear" w:color="auto" w:fill="auto"/>
            <w:vAlign w:val="center"/>
          </w:tcPr>
          <w:p w:rsidR="00233D04" w:rsidRPr="00CC18AA" w:rsidRDefault="00233D04" w:rsidP="00CC18AA">
            <w:pPr>
              <w:spacing w:before="60"/>
              <w:jc w:val="left"/>
              <w:rPr>
                <w:rFonts w:cs="Arial"/>
                <w:bCs/>
                <w:szCs w:val="20"/>
                <w:lang w:val="en-US"/>
              </w:rPr>
            </w:pPr>
            <w:r w:rsidRPr="00CC18AA">
              <w:rPr>
                <w:rFonts w:cs="Arial"/>
                <w:bCs/>
                <w:szCs w:val="20"/>
                <w:lang w:val="en-US"/>
              </w:rPr>
              <w:t>Murray cod</w:t>
            </w:r>
          </w:p>
        </w:tc>
        <w:tc>
          <w:tcPr>
            <w:tcW w:w="568" w:type="pct"/>
            <w:shd w:val="clear" w:color="auto" w:fill="auto"/>
          </w:tcPr>
          <w:p w:rsidR="00233D04" w:rsidRPr="00CC18AA" w:rsidRDefault="00233D04" w:rsidP="00CC18AA">
            <w:pPr>
              <w:spacing w:before="60"/>
              <w:jc w:val="center"/>
              <w:rPr>
                <w:rFonts w:cs="Arial"/>
                <w:i/>
                <w:szCs w:val="20"/>
                <w:lang w:val="en-US"/>
              </w:rPr>
            </w:pPr>
            <w:r w:rsidRPr="00CC18AA">
              <w:rPr>
                <w:rFonts w:cs="Arial"/>
                <w:i/>
                <w:szCs w:val="20"/>
                <w:lang w:val="en-US"/>
              </w:rPr>
              <w:t>Z</w:t>
            </w:r>
          </w:p>
        </w:tc>
        <w:tc>
          <w:tcPr>
            <w:tcW w:w="569" w:type="pct"/>
            <w:shd w:val="clear" w:color="auto" w:fill="auto"/>
          </w:tcPr>
          <w:p w:rsidR="00233D04" w:rsidRPr="00CC18AA" w:rsidRDefault="00233D04" w:rsidP="00CC18AA">
            <w:pPr>
              <w:spacing w:before="60"/>
              <w:jc w:val="center"/>
              <w:rPr>
                <w:rFonts w:cs="Arial"/>
                <w:szCs w:val="20"/>
                <w:lang w:val="en-US"/>
              </w:rPr>
            </w:pPr>
            <w:r w:rsidRPr="00CC18AA">
              <w:rPr>
                <w:rFonts w:cs="Arial"/>
                <w:szCs w:val="20"/>
                <w:lang w:val="en-US"/>
              </w:rPr>
              <w:t>--</w:t>
            </w:r>
          </w:p>
        </w:tc>
        <w:tc>
          <w:tcPr>
            <w:tcW w:w="569" w:type="pct"/>
            <w:shd w:val="clear" w:color="auto" w:fill="auto"/>
          </w:tcPr>
          <w:p w:rsidR="00233D04" w:rsidRPr="00CC18AA" w:rsidRDefault="00233D04" w:rsidP="00CC18AA">
            <w:pPr>
              <w:spacing w:before="60"/>
              <w:jc w:val="center"/>
              <w:rPr>
                <w:rFonts w:cs="Arial"/>
                <w:szCs w:val="20"/>
                <w:lang w:val="en-US"/>
              </w:rPr>
            </w:pPr>
            <w:r w:rsidRPr="00CC18AA">
              <w:rPr>
                <w:rFonts w:cs="Arial"/>
                <w:szCs w:val="20"/>
                <w:lang w:val="en-US"/>
              </w:rPr>
              <w:t>--</w:t>
            </w:r>
          </w:p>
        </w:tc>
        <w:tc>
          <w:tcPr>
            <w:tcW w:w="568" w:type="pct"/>
            <w:shd w:val="clear" w:color="auto" w:fill="auto"/>
          </w:tcPr>
          <w:p w:rsidR="00233D04" w:rsidRPr="00CC18AA" w:rsidRDefault="00233D04" w:rsidP="00CC18AA">
            <w:pPr>
              <w:spacing w:before="60"/>
              <w:jc w:val="center"/>
              <w:rPr>
                <w:rFonts w:cs="Arial"/>
                <w:szCs w:val="20"/>
                <w:lang w:val="en-US"/>
              </w:rPr>
            </w:pPr>
            <w:r w:rsidRPr="00CC18AA">
              <w:rPr>
                <w:rFonts w:cs="Arial"/>
                <w:szCs w:val="20"/>
                <w:lang w:val="en-US"/>
              </w:rPr>
              <w:t>--</w:t>
            </w:r>
          </w:p>
        </w:tc>
        <w:tc>
          <w:tcPr>
            <w:tcW w:w="569" w:type="pct"/>
            <w:shd w:val="clear" w:color="auto" w:fill="auto"/>
          </w:tcPr>
          <w:p w:rsidR="00233D04" w:rsidRPr="00CC18AA" w:rsidRDefault="00233D04" w:rsidP="00CC18AA">
            <w:pPr>
              <w:spacing w:before="60"/>
              <w:jc w:val="center"/>
              <w:rPr>
                <w:rFonts w:cs="Arial"/>
                <w:szCs w:val="20"/>
                <w:lang w:val="en-US"/>
              </w:rPr>
            </w:pPr>
            <w:r w:rsidRPr="00CC18AA">
              <w:rPr>
                <w:rFonts w:cs="Arial"/>
                <w:szCs w:val="20"/>
                <w:lang w:val="en-US"/>
              </w:rPr>
              <w:t>0.792</w:t>
            </w:r>
          </w:p>
        </w:tc>
        <w:tc>
          <w:tcPr>
            <w:tcW w:w="569" w:type="pct"/>
            <w:shd w:val="clear" w:color="auto" w:fill="auto"/>
          </w:tcPr>
          <w:p w:rsidR="00233D04" w:rsidRPr="00CC18AA" w:rsidRDefault="00233D04" w:rsidP="00CC18AA">
            <w:pPr>
              <w:spacing w:before="60"/>
              <w:jc w:val="center"/>
              <w:rPr>
                <w:rFonts w:cs="Arial"/>
                <w:szCs w:val="20"/>
                <w:lang w:val="en-US"/>
              </w:rPr>
            </w:pPr>
            <w:r w:rsidRPr="00CC18AA">
              <w:rPr>
                <w:rFonts w:cs="Arial"/>
                <w:szCs w:val="20"/>
                <w:lang w:val="en-US"/>
              </w:rPr>
              <w:t>--</w:t>
            </w:r>
          </w:p>
        </w:tc>
        <w:tc>
          <w:tcPr>
            <w:tcW w:w="569" w:type="pct"/>
            <w:shd w:val="clear" w:color="auto" w:fill="auto"/>
          </w:tcPr>
          <w:p w:rsidR="00233D04" w:rsidRPr="00CC18AA" w:rsidRDefault="00233D04" w:rsidP="00CC18AA">
            <w:pPr>
              <w:spacing w:before="60"/>
              <w:jc w:val="center"/>
              <w:rPr>
                <w:rFonts w:cs="Arial"/>
                <w:szCs w:val="20"/>
                <w:lang w:val="en-US"/>
              </w:rPr>
            </w:pPr>
            <w:r w:rsidRPr="00CC18AA">
              <w:rPr>
                <w:rFonts w:cs="Arial"/>
                <w:szCs w:val="20"/>
                <w:lang w:val="en-US"/>
              </w:rPr>
              <w:t>--</w:t>
            </w:r>
          </w:p>
        </w:tc>
      </w:tr>
      <w:tr w:rsidR="005F23F1" w:rsidRPr="00E23B8D" w:rsidTr="00CC18AA">
        <w:trPr>
          <w:trHeight w:hRule="exact" w:val="397"/>
        </w:trPr>
        <w:tc>
          <w:tcPr>
            <w:tcW w:w="1021" w:type="pct"/>
            <w:vMerge/>
            <w:shd w:val="clear" w:color="auto" w:fill="auto"/>
            <w:vAlign w:val="center"/>
          </w:tcPr>
          <w:p w:rsidR="00233D04" w:rsidRPr="00CC18AA" w:rsidRDefault="00233D04" w:rsidP="00CC18AA">
            <w:pPr>
              <w:spacing w:before="60"/>
              <w:jc w:val="left"/>
              <w:rPr>
                <w:rFonts w:cs="Arial"/>
                <w:bCs/>
                <w:szCs w:val="20"/>
                <w:lang w:val="en-US"/>
              </w:rPr>
            </w:pPr>
          </w:p>
        </w:tc>
        <w:tc>
          <w:tcPr>
            <w:tcW w:w="568" w:type="pct"/>
            <w:shd w:val="clear" w:color="auto" w:fill="auto"/>
          </w:tcPr>
          <w:p w:rsidR="00233D04" w:rsidRPr="00CC18AA" w:rsidRDefault="00233D04" w:rsidP="00CC18AA">
            <w:pPr>
              <w:spacing w:before="60"/>
              <w:jc w:val="center"/>
              <w:rPr>
                <w:rFonts w:cs="Arial"/>
                <w:i/>
                <w:szCs w:val="20"/>
                <w:lang w:val="en-US"/>
              </w:rPr>
            </w:pPr>
            <w:r w:rsidRPr="00CC18AA">
              <w:rPr>
                <w:rFonts w:cs="Arial"/>
                <w:i/>
                <w:szCs w:val="20"/>
                <w:lang w:val="en-US"/>
              </w:rPr>
              <w:t>P</w:t>
            </w:r>
          </w:p>
        </w:tc>
        <w:tc>
          <w:tcPr>
            <w:tcW w:w="569" w:type="pct"/>
            <w:shd w:val="clear" w:color="auto" w:fill="auto"/>
          </w:tcPr>
          <w:p w:rsidR="00233D04" w:rsidRPr="00CC18AA" w:rsidRDefault="00233D04" w:rsidP="00CC18AA">
            <w:pPr>
              <w:spacing w:before="60"/>
              <w:jc w:val="center"/>
              <w:rPr>
                <w:rFonts w:cs="Arial"/>
                <w:szCs w:val="20"/>
                <w:lang w:val="en-US"/>
              </w:rPr>
            </w:pPr>
            <w:r w:rsidRPr="00CC18AA">
              <w:rPr>
                <w:rFonts w:cs="Arial"/>
                <w:szCs w:val="20"/>
                <w:lang w:val="en-US"/>
              </w:rPr>
              <w:t>--</w:t>
            </w:r>
          </w:p>
        </w:tc>
        <w:tc>
          <w:tcPr>
            <w:tcW w:w="569" w:type="pct"/>
            <w:shd w:val="clear" w:color="auto" w:fill="auto"/>
          </w:tcPr>
          <w:p w:rsidR="00233D04" w:rsidRPr="00CC18AA" w:rsidRDefault="00233D04" w:rsidP="00CC18AA">
            <w:pPr>
              <w:spacing w:before="60"/>
              <w:jc w:val="center"/>
              <w:rPr>
                <w:rFonts w:cs="Arial"/>
                <w:szCs w:val="20"/>
                <w:lang w:val="en-US"/>
              </w:rPr>
            </w:pPr>
            <w:r w:rsidRPr="00CC18AA">
              <w:rPr>
                <w:rFonts w:cs="Arial"/>
                <w:szCs w:val="20"/>
                <w:lang w:val="en-US"/>
              </w:rPr>
              <w:t>--</w:t>
            </w:r>
          </w:p>
        </w:tc>
        <w:tc>
          <w:tcPr>
            <w:tcW w:w="568" w:type="pct"/>
            <w:shd w:val="clear" w:color="auto" w:fill="auto"/>
          </w:tcPr>
          <w:p w:rsidR="00233D04" w:rsidRPr="00CC18AA" w:rsidRDefault="00233D04" w:rsidP="00CC18AA">
            <w:pPr>
              <w:spacing w:before="60"/>
              <w:jc w:val="center"/>
              <w:rPr>
                <w:rFonts w:cs="Arial"/>
                <w:szCs w:val="20"/>
                <w:lang w:val="en-US"/>
              </w:rPr>
            </w:pPr>
            <w:r w:rsidRPr="00CC18AA">
              <w:rPr>
                <w:rFonts w:cs="Arial"/>
                <w:szCs w:val="20"/>
                <w:lang w:val="en-US"/>
              </w:rPr>
              <w:t>--</w:t>
            </w:r>
          </w:p>
        </w:tc>
        <w:tc>
          <w:tcPr>
            <w:tcW w:w="569" w:type="pct"/>
            <w:shd w:val="clear" w:color="auto" w:fill="auto"/>
          </w:tcPr>
          <w:p w:rsidR="00233D04" w:rsidRPr="00CC18AA" w:rsidRDefault="00233D04" w:rsidP="00CC18AA">
            <w:pPr>
              <w:spacing w:before="60"/>
              <w:jc w:val="center"/>
              <w:rPr>
                <w:rFonts w:cs="Arial"/>
                <w:szCs w:val="20"/>
                <w:lang w:val="en-US"/>
              </w:rPr>
            </w:pPr>
            <w:r w:rsidRPr="00CC18AA">
              <w:rPr>
                <w:rFonts w:cs="Arial"/>
                <w:szCs w:val="20"/>
                <w:lang w:val="en-US"/>
              </w:rPr>
              <w:t>0.558</w:t>
            </w:r>
          </w:p>
        </w:tc>
        <w:tc>
          <w:tcPr>
            <w:tcW w:w="569" w:type="pct"/>
            <w:shd w:val="clear" w:color="auto" w:fill="auto"/>
          </w:tcPr>
          <w:p w:rsidR="00233D04" w:rsidRPr="00CC18AA" w:rsidRDefault="00233D04" w:rsidP="00CC18AA">
            <w:pPr>
              <w:spacing w:before="60"/>
              <w:jc w:val="center"/>
              <w:rPr>
                <w:rFonts w:cs="Arial"/>
                <w:szCs w:val="20"/>
                <w:lang w:val="en-US"/>
              </w:rPr>
            </w:pPr>
            <w:r w:rsidRPr="00CC18AA">
              <w:rPr>
                <w:rFonts w:cs="Arial"/>
                <w:szCs w:val="20"/>
                <w:lang w:val="en-US"/>
              </w:rPr>
              <w:t>--</w:t>
            </w:r>
          </w:p>
        </w:tc>
        <w:tc>
          <w:tcPr>
            <w:tcW w:w="569" w:type="pct"/>
            <w:shd w:val="clear" w:color="auto" w:fill="auto"/>
          </w:tcPr>
          <w:p w:rsidR="00233D04" w:rsidRPr="00CC18AA" w:rsidRDefault="00233D04" w:rsidP="00CC18AA">
            <w:pPr>
              <w:spacing w:before="60"/>
              <w:jc w:val="center"/>
              <w:rPr>
                <w:rFonts w:cs="Arial"/>
                <w:szCs w:val="20"/>
                <w:lang w:val="en-US"/>
              </w:rPr>
            </w:pPr>
            <w:r w:rsidRPr="00CC18AA">
              <w:rPr>
                <w:rFonts w:cs="Arial"/>
                <w:szCs w:val="20"/>
                <w:lang w:val="en-US"/>
              </w:rPr>
              <w:t>--</w:t>
            </w:r>
          </w:p>
        </w:tc>
      </w:tr>
      <w:tr w:rsidR="005F23F1" w:rsidRPr="00E23B8D" w:rsidTr="00CC18AA">
        <w:trPr>
          <w:trHeight w:hRule="exact" w:val="397"/>
        </w:trPr>
        <w:tc>
          <w:tcPr>
            <w:tcW w:w="1021" w:type="pct"/>
            <w:vMerge w:val="restart"/>
            <w:shd w:val="clear" w:color="auto" w:fill="auto"/>
            <w:vAlign w:val="center"/>
          </w:tcPr>
          <w:p w:rsidR="00233D04" w:rsidRPr="00CC18AA" w:rsidRDefault="00711EE3" w:rsidP="00CC18AA">
            <w:pPr>
              <w:spacing w:before="60"/>
              <w:jc w:val="left"/>
              <w:rPr>
                <w:rFonts w:cs="Arial"/>
                <w:bCs/>
                <w:szCs w:val="20"/>
                <w:lang w:val="en-US"/>
              </w:rPr>
            </w:pPr>
            <w:r w:rsidRPr="00CC18AA">
              <w:rPr>
                <w:rFonts w:cs="Arial"/>
                <w:bCs/>
                <w:szCs w:val="20"/>
                <w:lang w:val="en-US"/>
              </w:rPr>
              <w:t>b</w:t>
            </w:r>
            <w:r w:rsidR="00233D04" w:rsidRPr="00CC18AA">
              <w:rPr>
                <w:rFonts w:cs="Arial"/>
                <w:bCs/>
                <w:szCs w:val="20"/>
                <w:lang w:val="en-US"/>
              </w:rPr>
              <w:t>ony herring</w:t>
            </w:r>
          </w:p>
        </w:tc>
        <w:tc>
          <w:tcPr>
            <w:tcW w:w="568" w:type="pct"/>
            <w:shd w:val="clear" w:color="auto" w:fill="auto"/>
          </w:tcPr>
          <w:p w:rsidR="00233D04" w:rsidRPr="00CC18AA" w:rsidRDefault="00233D04" w:rsidP="00CC18AA">
            <w:pPr>
              <w:spacing w:before="60"/>
              <w:jc w:val="center"/>
              <w:rPr>
                <w:rFonts w:cs="Arial"/>
                <w:i/>
                <w:szCs w:val="20"/>
                <w:lang w:val="en-US"/>
              </w:rPr>
            </w:pPr>
            <w:r w:rsidRPr="00CC18AA">
              <w:rPr>
                <w:rFonts w:cs="Arial"/>
                <w:i/>
                <w:szCs w:val="20"/>
                <w:lang w:val="en-US"/>
              </w:rPr>
              <w:t>Z</w:t>
            </w:r>
          </w:p>
        </w:tc>
        <w:tc>
          <w:tcPr>
            <w:tcW w:w="569" w:type="pct"/>
            <w:shd w:val="clear" w:color="auto" w:fill="F2F2F2"/>
          </w:tcPr>
          <w:p w:rsidR="00233D04" w:rsidRPr="00CC18AA" w:rsidRDefault="00233D04" w:rsidP="00CC18AA">
            <w:pPr>
              <w:spacing w:before="60"/>
              <w:jc w:val="center"/>
              <w:rPr>
                <w:rFonts w:cs="Arial"/>
                <w:szCs w:val="20"/>
                <w:lang w:val="en-US"/>
              </w:rPr>
            </w:pPr>
            <w:r w:rsidRPr="00CC18AA">
              <w:rPr>
                <w:rFonts w:cs="Arial"/>
                <w:szCs w:val="20"/>
                <w:lang w:val="en-US"/>
              </w:rPr>
              <w:t>1.588</w:t>
            </w:r>
          </w:p>
        </w:tc>
        <w:tc>
          <w:tcPr>
            <w:tcW w:w="569" w:type="pct"/>
            <w:shd w:val="clear" w:color="auto" w:fill="F2F2F2"/>
          </w:tcPr>
          <w:p w:rsidR="00233D04" w:rsidRPr="00CC18AA" w:rsidRDefault="00233D04" w:rsidP="00CC18AA">
            <w:pPr>
              <w:spacing w:before="60"/>
              <w:jc w:val="center"/>
              <w:rPr>
                <w:rFonts w:cs="Arial"/>
                <w:szCs w:val="20"/>
                <w:lang w:val="en-US"/>
              </w:rPr>
            </w:pPr>
            <w:r w:rsidRPr="00CC18AA">
              <w:rPr>
                <w:rFonts w:cs="Arial"/>
                <w:szCs w:val="20"/>
                <w:lang w:val="en-US"/>
              </w:rPr>
              <w:t>3.562</w:t>
            </w:r>
          </w:p>
        </w:tc>
        <w:tc>
          <w:tcPr>
            <w:tcW w:w="568" w:type="pct"/>
            <w:shd w:val="clear" w:color="auto" w:fill="F2F2F2"/>
          </w:tcPr>
          <w:p w:rsidR="00233D04" w:rsidRPr="00CC18AA" w:rsidRDefault="00233D04" w:rsidP="00CC18AA">
            <w:pPr>
              <w:spacing w:before="60"/>
              <w:jc w:val="center"/>
              <w:rPr>
                <w:rFonts w:cs="Arial"/>
                <w:szCs w:val="20"/>
                <w:lang w:val="en-US"/>
              </w:rPr>
            </w:pPr>
            <w:r w:rsidRPr="00CC18AA">
              <w:rPr>
                <w:rFonts w:cs="Arial"/>
                <w:szCs w:val="20"/>
                <w:lang w:val="en-US"/>
              </w:rPr>
              <w:t>3.572</w:t>
            </w:r>
          </w:p>
        </w:tc>
        <w:tc>
          <w:tcPr>
            <w:tcW w:w="569" w:type="pct"/>
            <w:shd w:val="clear" w:color="auto" w:fill="F2F2F2"/>
          </w:tcPr>
          <w:p w:rsidR="00233D04" w:rsidRPr="00CC18AA" w:rsidRDefault="00233D04" w:rsidP="00CC18AA">
            <w:pPr>
              <w:spacing w:before="60"/>
              <w:jc w:val="center"/>
              <w:rPr>
                <w:rFonts w:cs="Arial"/>
                <w:szCs w:val="20"/>
                <w:lang w:val="en-US"/>
              </w:rPr>
            </w:pPr>
            <w:r w:rsidRPr="00CC18AA">
              <w:rPr>
                <w:rFonts w:cs="Arial"/>
                <w:szCs w:val="20"/>
                <w:lang w:val="en-US"/>
              </w:rPr>
              <w:t>2.703</w:t>
            </w:r>
          </w:p>
        </w:tc>
        <w:tc>
          <w:tcPr>
            <w:tcW w:w="569" w:type="pct"/>
            <w:shd w:val="clear" w:color="auto" w:fill="F2F2F2"/>
          </w:tcPr>
          <w:p w:rsidR="00233D04" w:rsidRPr="00CC18AA" w:rsidRDefault="00233D04" w:rsidP="00CC18AA">
            <w:pPr>
              <w:spacing w:before="60"/>
              <w:jc w:val="center"/>
              <w:rPr>
                <w:rFonts w:cs="Arial"/>
                <w:szCs w:val="20"/>
                <w:lang w:val="en-US"/>
              </w:rPr>
            </w:pPr>
            <w:r w:rsidRPr="00CC18AA">
              <w:rPr>
                <w:rFonts w:cs="Arial"/>
                <w:szCs w:val="20"/>
                <w:lang w:val="en-US"/>
              </w:rPr>
              <w:t>2.475</w:t>
            </w:r>
          </w:p>
        </w:tc>
        <w:tc>
          <w:tcPr>
            <w:tcW w:w="569" w:type="pct"/>
            <w:shd w:val="clear" w:color="auto" w:fill="F2F2F2"/>
          </w:tcPr>
          <w:p w:rsidR="00233D04" w:rsidRPr="00CC18AA" w:rsidRDefault="00233D04" w:rsidP="00CC18AA">
            <w:pPr>
              <w:spacing w:before="60"/>
              <w:jc w:val="center"/>
              <w:rPr>
                <w:rFonts w:cs="Arial"/>
                <w:szCs w:val="20"/>
                <w:lang w:val="en-US"/>
              </w:rPr>
            </w:pPr>
            <w:r w:rsidRPr="00CC18AA">
              <w:rPr>
                <w:rFonts w:cs="Arial"/>
                <w:szCs w:val="20"/>
                <w:lang w:val="en-US"/>
              </w:rPr>
              <w:t>2.003</w:t>
            </w:r>
          </w:p>
        </w:tc>
      </w:tr>
      <w:tr w:rsidR="005F23F1" w:rsidRPr="00E23B8D" w:rsidTr="00CC18AA">
        <w:trPr>
          <w:trHeight w:hRule="exact" w:val="397"/>
        </w:trPr>
        <w:tc>
          <w:tcPr>
            <w:tcW w:w="1021" w:type="pct"/>
            <w:vMerge/>
            <w:shd w:val="clear" w:color="auto" w:fill="auto"/>
            <w:vAlign w:val="center"/>
          </w:tcPr>
          <w:p w:rsidR="00233D04" w:rsidRPr="00CC18AA" w:rsidRDefault="00233D04" w:rsidP="00CC18AA">
            <w:pPr>
              <w:spacing w:before="60"/>
              <w:jc w:val="left"/>
              <w:rPr>
                <w:rFonts w:cs="Arial"/>
                <w:bCs/>
                <w:szCs w:val="20"/>
                <w:lang w:val="en-US"/>
              </w:rPr>
            </w:pPr>
          </w:p>
        </w:tc>
        <w:tc>
          <w:tcPr>
            <w:tcW w:w="568" w:type="pct"/>
            <w:shd w:val="clear" w:color="auto" w:fill="auto"/>
          </w:tcPr>
          <w:p w:rsidR="00233D04" w:rsidRPr="00CC18AA" w:rsidRDefault="00233D04" w:rsidP="00CC18AA">
            <w:pPr>
              <w:spacing w:before="60"/>
              <w:jc w:val="center"/>
              <w:rPr>
                <w:rFonts w:cs="Arial"/>
                <w:i/>
                <w:szCs w:val="20"/>
                <w:lang w:val="en-US"/>
              </w:rPr>
            </w:pPr>
            <w:r w:rsidRPr="00CC18AA">
              <w:rPr>
                <w:rFonts w:cs="Arial"/>
                <w:i/>
                <w:szCs w:val="20"/>
                <w:lang w:val="en-US"/>
              </w:rPr>
              <w:t>P</w:t>
            </w:r>
          </w:p>
        </w:tc>
        <w:tc>
          <w:tcPr>
            <w:tcW w:w="569" w:type="pct"/>
            <w:shd w:val="clear" w:color="auto" w:fill="F2F2F2"/>
          </w:tcPr>
          <w:p w:rsidR="00233D04" w:rsidRPr="00CC18AA" w:rsidRDefault="00233D04" w:rsidP="00CC18AA">
            <w:pPr>
              <w:spacing w:before="60"/>
              <w:jc w:val="center"/>
              <w:rPr>
                <w:rFonts w:cs="Arial"/>
                <w:szCs w:val="20"/>
                <w:lang w:val="en-US"/>
              </w:rPr>
            </w:pPr>
            <w:r w:rsidRPr="00CC18AA">
              <w:rPr>
                <w:rFonts w:cs="Arial"/>
                <w:szCs w:val="20"/>
                <w:lang w:val="en-US"/>
              </w:rPr>
              <w:t>0.013</w:t>
            </w:r>
          </w:p>
        </w:tc>
        <w:tc>
          <w:tcPr>
            <w:tcW w:w="569" w:type="pct"/>
            <w:shd w:val="clear" w:color="auto" w:fill="F2F2F2"/>
          </w:tcPr>
          <w:p w:rsidR="00233D04" w:rsidRPr="00CC18AA" w:rsidRDefault="00233D04" w:rsidP="00CC18AA">
            <w:pPr>
              <w:spacing w:before="60"/>
              <w:jc w:val="center"/>
              <w:rPr>
                <w:rFonts w:cs="Arial"/>
                <w:szCs w:val="20"/>
                <w:lang w:val="en-US"/>
              </w:rPr>
            </w:pPr>
            <w:r w:rsidRPr="00CC18AA">
              <w:rPr>
                <w:rFonts w:cs="Arial"/>
                <w:szCs w:val="20"/>
                <w:lang w:val="en-US"/>
              </w:rPr>
              <w:t>&lt;0.001</w:t>
            </w:r>
          </w:p>
        </w:tc>
        <w:tc>
          <w:tcPr>
            <w:tcW w:w="568" w:type="pct"/>
            <w:shd w:val="clear" w:color="auto" w:fill="F2F2F2"/>
          </w:tcPr>
          <w:p w:rsidR="00233D04" w:rsidRPr="00CC18AA" w:rsidRDefault="00233D04" w:rsidP="00CC18AA">
            <w:pPr>
              <w:spacing w:before="60"/>
              <w:jc w:val="center"/>
              <w:rPr>
                <w:rFonts w:cs="Arial"/>
                <w:szCs w:val="20"/>
                <w:lang w:val="en-US"/>
              </w:rPr>
            </w:pPr>
            <w:r w:rsidRPr="00CC18AA">
              <w:rPr>
                <w:rFonts w:cs="Arial"/>
                <w:szCs w:val="20"/>
                <w:lang w:val="en-US"/>
              </w:rPr>
              <w:t>&lt;0.001</w:t>
            </w:r>
          </w:p>
        </w:tc>
        <w:tc>
          <w:tcPr>
            <w:tcW w:w="569" w:type="pct"/>
            <w:shd w:val="clear" w:color="auto" w:fill="F2F2F2"/>
          </w:tcPr>
          <w:p w:rsidR="00233D04" w:rsidRPr="00CC18AA" w:rsidRDefault="00233D04" w:rsidP="00CC18AA">
            <w:pPr>
              <w:spacing w:before="60"/>
              <w:jc w:val="center"/>
              <w:rPr>
                <w:rFonts w:cs="Arial"/>
                <w:szCs w:val="20"/>
                <w:lang w:val="en-US"/>
              </w:rPr>
            </w:pPr>
            <w:r w:rsidRPr="00CC18AA">
              <w:rPr>
                <w:rFonts w:cs="Arial"/>
                <w:szCs w:val="20"/>
                <w:lang w:val="en-US"/>
              </w:rPr>
              <w:t>&lt;0.001</w:t>
            </w:r>
          </w:p>
        </w:tc>
        <w:tc>
          <w:tcPr>
            <w:tcW w:w="569" w:type="pct"/>
            <w:shd w:val="clear" w:color="auto" w:fill="F2F2F2"/>
          </w:tcPr>
          <w:p w:rsidR="00233D04" w:rsidRPr="00CC18AA" w:rsidRDefault="00233D04" w:rsidP="00CC18AA">
            <w:pPr>
              <w:spacing w:before="60"/>
              <w:jc w:val="center"/>
              <w:rPr>
                <w:rFonts w:cs="Arial"/>
                <w:szCs w:val="20"/>
                <w:lang w:val="en-US"/>
              </w:rPr>
            </w:pPr>
            <w:r w:rsidRPr="00CC18AA">
              <w:rPr>
                <w:rFonts w:cs="Arial"/>
                <w:szCs w:val="20"/>
                <w:lang w:val="en-US"/>
              </w:rPr>
              <w:t>&lt;0.001</w:t>
            </w:r>
          </w:p>
        </w:tc>
        <w:tc>
          <w:tcPr>
            <w:tcW w:w="569" w:type="pct"/>
            <w:shd w:val="clear" w:color="auto" w:fill="F2F2F2"/>
          </w:tcPr>
          <w:p w:rsidR="00233D04" w:rsidRPr="00CC18AA" w:rsidRDefault="00233D04" w:rsidP="00CC18AA">
            <w:pPr>
              <w:spacing w:before="60"/>
              <w:jc w:val="center"/>
              <w:rPr>
                <w:rFonts w:cs="Arial"/>
                <w:szCs w:val="20"/>
                <w:lang w:val="en-US"/>
              </w:rPr>
            </w:pPr>
            <w:r w:rsidRPr="00CC18AA">
              <w:rPr>
                <w:rFonts w:cs="Arial"/>
                <w:szCs w:val="20"/>
                <w:lang w:val="en-US"/>
              </w:rPr>
              <w:t>0.001</w:t>
            </w:r>
          </w:p>
        </w:tc>
      </w:tr>
      <w:tr w:rsidR="005F23F1" w:rsidRPr="00E23B8D" w:rsidTr="00CC18AA">
        <w:trPr>
          <w:trHeight w:hRule="exact" w:val="397"/>
        </w:trPr>
        <w:tc>
          <w:tcPr>
            <w:tcW w:w="1021" w:type="pct"/>
            <w:vMerge w:val="restart"/>
            <w:shd w:val="clear" w:color="auto" w:fill="auto"/>
            <w:vAlign w:val="center"/>
          </w:tcPr>
          <w:p w:rsidR="00233D04" w:rsidRPr="00CC18AA" w:rsidRDefault="00711EE3" w:rsidP="00CC18AA">
            <w:pPr>
              <w:spacing w:before="60"/>
              <w:jc w:val="left"/>
              <w:rPr>
                <w:rFonts w:cs="Arial"/>
                <w:bCs/>
                <w:szCs w:val="20"/>
                <w:lang w:val="en-US"/>
              </w:rPr>
            </w:pPr>
            <w:r w:rsidRPr="00CC18AA">
              <w:rPr>
                <w:rFonts w:cs="Arial"/>
                <w:bCs/>
                <w:szCs w:val="20"/>
                <w:lang w:val="en-US"/>
              </w:rPr>
              <w:t>c</w:t>
            </w:r>
            <w:r w:rsidR="00233D04" w:rsidRPr="00CC18AA">
              <w:rPr>
                <w:rFonts w:cs="Arial"/>
                <w:bCs/>
                <w:szCs w:val="20"/>
                <w:lang w:val="en-US"/>
              </w:rPr>
              <w:t>arp gudgeon</w:t>
            </w:r>
          </w:p>
        </w:tc>
        <w:tc>
          <w:tcPr>
            <w:tcW w:w="568" w:type="pct"/>
            <w:shd w:val="clear" w:color="auto" w:fill="auto"/>
          </w:tcPr>
          <w:p w:rsidR="00233D04" w:rsidRPr="00CC18AA" w:rsidRDefault="00233D04" w:rsidP="00CC18AA">
            <w:pPr>
              <w:spacing w:before="60"/>
              <w:jc w:val="center"/>
              <w:rPr>
                <w:rFonts w:cs="Arial"/>
                <w:i/>
                <w:szCs w:val="20"/>
                <w:lang w:val="en-US"/>
              </w:rPr>
            </w:pPr>
            <w:r w:rsidRPr="00CC18AA">
              <w:rPr>
                <w:rFonts w:cs="Arial"/>
                <w:i/>
                <w:szCs w:val="20"/>
                <w:lang w:val="en-US"/>
              </w:rPr>
              <w:t>Z</w:t>
            </w:r>
          </w:p>
        </w:tc>
        <w:tc>
          <w:tcPr>
            <w:tcW w:w="569" w:type="pct"/>
            <w:shd w:val="clear" w:color="auto" w:fill="F2F2F2"/>
          </w:tcPr>
          <w:p w:rsidR="00233D04" w:rsidRPr="00CC18AA" w:rsidRDefault="00233D04" w:rsidP="00CC18AA">
            <w:pPr>
              <w:spacing w:before="60"/>
              <w:jc w:val="center"/>
              <w:rPr>
                <w:rFonts w:cs="Arial"/>
                <w:szCs w:val="20"/>
                <w:lang w:val="en-US"/>
              </w:rPr>
            </w:pPr>
            <w:r w:rsidRPr="00CC18AA">
              <w:rPr>
                <w:rFonts w:cs="Arial"/>
                <w:szCs w:val="20"/>
                <w:lang w:val="en-US"/>
              </w:rPr>
              <w:t>1.520</w:t>
            </w:r>
          </w:p>
        </w:tc>
        <w:tc>
          <w:tcPr>
            <w:tcW w:w="569" w:type="pct"/>
            <w:shd w:val="clear" w:color="auto" w:fill="F2F2F2"/>
          </w:tcPr>
          <w:p w:rsidR="00233D04" w:rsidRPr="00CC18AA" w:rsidRDefault="00233D04" w:rsidP="00CC18AA">
            <w:pPr>
              <w:spacing w:before="60"/>
              <w:jc w:val="center"/>
              <w:rPr>
                <w:rFonts w:cs="Arial"/>
                <w:szCs w:val="20"/>
                <w:lang w:val="en-US"/>
              </w:rPr>
            </w:pPr>
            <w:r w:rsidRPr="00CC18AA">
              <w:rPr>
                <w:rFonts w:cs="Arial"/>
                <w:szCs w:val="20"/>
                <w:lang w:val="en-US"/>
              </w:rPr>
              <w:t>3.270</w:t>
            </w:r>
          </w:p>
        </w:tc>
        <w:tc>
          <w:tcPr>
            <w:tcW w:w="568" w:type="pct"/>
            <w:shd w:val="clear" w:color="auto" w:fill="auto"/>
          </w:tcPr>
          <w:p w:rsidR="00233D04" w:rsidRPr="00CC18AA" w:rsidRDefault="00233D04" w:rsidP="00CC18AA">
            <w:pPr>
              <w:spacing w:before="60"/>
              <w:jc w:val="center"/>
              <w:rPr>
                <w:rFonts w:cs="Arial"/>
                <w:szCs w:val="20"/>
                <w:lang w:val="en-US"/>
              </w:rPr>
            </w:pPr>
            <w:r w:rsidRPr="00CC18AA">
              <w:rPr>
                <w:rFonts w:cs="Arial"/>
                <w:szCs w:val="20"/>
                <w:lang w:val="en-US"/>
              </w:rPr>
              <w:t>--</w:t>
            </w:r>
          </w:p>
        </w:tc>
        <w:tc>
          <w:tcPr>
            <w:tcW w:w="569" w:type="pct"/>
            <w:shd w:val="clear" w:color="auto" w:fill="F2F2F2"/>
          </w:tcPr>
          <w:p w:rsidR="00233D04" w:rsidRPr="00CC18AA" w:rsidRDefault="00233D04" w:rsidP="00CC18AA">
            <w:pPr>
              <w:spacing w:before="60"/>
              <w:jc w:val="center"/>
              <w:rPr>
                <w:rFonts w:cs="Arial"/>
                <w:szCs w:val="20"/>
                <w:lang w:val="en-US"/>
              </w:rPr>
            </w:pPr>
            <w:r w:rsidRPr="00CC18AA">
              <w:rPr>
                <w:rFonts w:cs="Arial"/>
                <w:szCs w:val="20"/>
                <w:lang w:val="en-US"/>
              </w:rPr>
              <w:t>3.876</w:t>
            </w:r>
          </w:p>
        </w:tc>
        <w:tc>
          <w:tcPr>
            <w:tcW w:w="569" w:type="pct"/>
            <w:shd w:val="clear" w:color="auto" w:fill="auto"/>
          </w:tcPr>
          <w:p w:rsidR="00233D04" w:rsidRPr="00CC18AA" w:rsidRDefault="00233D04" w:rsidP="00CC18AA">
            <w:pPr>
              <w:spacing w:before="60"/>
              <w:jc w:val="center"/>
              <w:rPr>
                <w:rFonts w:cs="Arial"/>
                <w:szCs w:val="20"/>
                <w:lang w:val="en-US"/>
              </w:rPr>
            </w:pPr>
            <w:r w:rsidRPr="00CC18AA">
              <w:rPr>
                <w:rFonts w:cs="Arial"/>
                <w:szCs w:val="20"/>
                <w:lang w:val="en-US"/>
              </w:rPr>
              <w:t>--</w:t>
            </w:r>
          </w:p>
        </w:tc>
        <w:tc>
          <w:tcPr>
            <w:tcW w:w="569" w:type="pct"/>
            <w:shd w:val="clear" w:color="auto" w:fill="auto"/>
          </w:tcPr>
          <w:p w:rsidR="00233D04" w:rsidRPr="00CC18AA" w:rsidRDefault="00233D04" w:rsidP="00CC18AA">
            <w:pPr>
              <w:spacing w:before="60"/>
              <w:jc w:val="center"/>
              <w:rPr>
                <w:rFonts w:cs="Arial"/>
                <w:szCs w:val="20"/>
                <w:lang w:val="en-US"/>
              </w:rPr>
            </w:pPr>
            <w:r w:rsidRPr="00CC18AA">
              <w:rPr>
                <w:rFonts w:cs="Arial"/>
                <w:szCs w:val="20"/>
                <w:lang w:val="en-US"/>
              </w:rPr>
              <w:t>--</w:t>
            </w:r>
          </w:p>
        </w:tc>
      </w:tr>
      <w:tr w:rsidR="005F23F1" w:rsidRPr="00E23B8D" w:rsidTr="00CC18AA">
        <w:trPr>
          <w:trHeight w:hRule="exact" w:val="397"/>
        </w:trPr>
        <w:tc>
          <w:tcPr>
            <w:tcW w:w="1021" w:type="pct"/>
            <w:vMerge/>
            <w:shd w:val="clear" w:color="auto" w:fill="auto"/>
            <w:vAlign w:val="center"/>
          </w:tcPr>
          <w:p w:rsidR="00233D04" w:rsidRPr="00CC18AA" w:rsidRDefault="00233D04" w:rsidP="00CC18AA">
            <w:pPr>
              <w:spacing w:before="60"/>
              <w:jc w:val="left"/>
              <w:rPr>
                <w:rFonts w:cs="Arial"/>
                <w:bCs/>
                <w:szCs w:val="20"/>
                <w:lang w:val="en-US"/>
              </w:rPr>
            </w:pPr>
          </w:p>
        </w:tc>
        <w:tc>
          <w:tcPr>
            <w:tcW w:w="568" w:type="pct"/>
            <w:shd w:val="clear" w:color="auto" w:fill="auto"/>
          </w:tcPr>
          <w:p w:rsidR="00233D04" w:rsidRPr="00CC18AA" w:rsidRDefault="00233D04" w:rsidP="00CC18AA">
            <w:pPr>
              <w:spacing w:before="60"/>
              <w:jc w:val="center"/>
              <w:rPr>
                <w:rFonts w:cs="Arial"/>
                <w:i/>
                <w:szCs w:val="20"/>
                <w:lang w:val="en-US"/>
              </w:rPr>
            </w:pPr>
            <w:r w:rsidRPr="00CC18AA">
              <w:rPr>
                <w:rFonts w:cs="Arial"/>
                <w:i/>
                <w:szCs w:val="20"/>
                <w:lang w:val="en-US"/>
              </w:rPr>
              <w:t>P</w:t>
            </w:r>
          </w:p>
        </w:tc>
        <w:tc>
          <w:tcPr>
            <w:tcW w:w="569" w:type="pct"/>
            <w:shd w:val="clear" w:color="auto" w:fill="F2F2F2"/>
          </w:tcPr>
          <w:p w:rsidR="00233D04" w:rsidRPr="00CC18AA" w:rsidRDefault="00233D04" w:rsidP="00CC18AA">
            <w:pPr>
              <w:spacing w:before="60"/>
              <w:jc w:val="center"/>
              <w:rPr>
                <w:rFonts w:cs="Arial"/>
                <w:szCs w:val="20"/>
                <w:lang w:val="en-US"/>
              </w:rPr>
            </w:pPr>
            <w:r w:rsidRPr="00CC18AA">
              <w:rPr>
                <w:rFonts w:cs="Arial"/>
                <w:szCs w:val="20"/>
                <w:lang w:val="en-US"/>
              </w:rPr>
              <w:t>0.020</w:t>
            </w:r>
          </w:p>
        </w:tc>
        <w:tc>
          <w:tcPr>
            <w:tcW w:w="569" w:type="pct"/>
            <w:shd w:val="clear" w:color="auto" w:fill="F2F2F2"/>
          </w:tcPr>
          <w:p w:rsidR="00233D04" w:rsidRPr="00CC18AA" w:rsidRDefault="00233D04" w:rsidP="00CC18AA">
            <w:pPr>
              <w:spacing w:before="60"/>
              <w:jc w:val="center"/>
              <w:rPr>
                <w:rFonts w:cs="Arial"/>
                <w:szCs w:val="20"/>
                <w:lang w:val="en-US"/>
              </w:rPr>
            </w:pPr>
            <w:r w:rsidRPr="00CC18AA">
              <w:rPr>
                <w:rFonts w:cs="Arial"/>
                <w:szCs w:val="20"/>
                <w:lang w:val="en-US"/>
              </w:rPr>
              <w:t>&lt;0.001</w:t>
            </w:r>
          </w:p>
        </w:tc>
        <w:tc>
          <w:tcPr>
            <w:tcW w:w="568" w:type="pct"/>
            <w:shd w:val="clear" w:color="auto" w:fill="auto"/>
          </w:tcPr>
          <w:p w:rsidR="00233D04" w:rsidRPr="00CC18AA" w:rsidRDefault="00233D04" w:rsidP="00CC18AA">
            <w:pPr>
              <w:spacing w:before="60"/>
              <w:jc w:val="center"/>
              <w:rPr>
                <w:rFonts w:cs="Arial"/>
                <w:szCs w:val="20"/>
                <w:lang w:val="en-US"/>
              </w:rPr>
            </w:pPr>
            <w:r w:rsidRPr="00CC18AA">
              <w:rPr>
                <w:rFonts w:cs="Arial"/>
                <w:szCs w:val="20"/>
                <w:lang w:val="en-US"/>
              </w:rPr>
              <w:t>--</w:t>
            </w:r>
          </w:p>
        </w:tc>
        <w:tc>
          <w:tcPr>
            <w:tcW w:w="569" w:type="pct"/>
            <w:shd w:val="clear" w:color="auto" w:fill="F2F2F2"/>
          </w:tcPr>
          <w:p w:rsidR="00233D04" w:rsidRPr="00CC18AA" w:rsidRDefault="00233D04" w:rsidP="00CC18AA">
            <w:pPr>
              <w:spacing w:before="60"/>
              <w:jc w:val="center"/>
              <w:rPr>
                <w:rFonts w:cs="Arial"/>
                <w:szCs w:val="20"/>
                <w:lang w:val="en-US"/>
              </w:rPr>
            </w:pPr>
            <w:r w:rsidRPr="00CC18AA">
              <w:rPr>
                <w:rFonts w:cs="Arial"/>
                <w:szCs w:val="20"/>
                <w:lang w:val="en-US"/>
              </w:rPr>
              <w:t>&lt;0.001</w:t>
            </w:r>
          </w:p>
        </w:tc>
        <w:tc>
          <w:tcPr>
            <w:tcW w:w="569" w:type="pct"/>
            <w:shd w:val="clear" w:color="auto" w:fill="auto"/>
          </w:tcPr>
          <w:p w:rsidR="00233D04" w:rsidRPr="00CC18AA" w:rsidRDefault="00233D04" w:rsidP="00CC18AA">
            <w:pPr>
              <w:spacing w:before="60"/>
              <w:jc w:val="center"/>
              <w:rPr>
                <w:rFonts w:cs="Arial"/>
                <w:szCs w:val="20"/>
                <w:lang w:val="en-US"/>
              </w:rPr>
            </w:pPr>
            <w:r w:rsidRPr="00CC18AA">
              <w:rPr>
                <w:rFonts w:cs="Arial"/>
                <w:szCs w:val="20"/>
                <w:lang w:val="en-US"/>
              </w:rPr>
              <w:t>--</w:t>
            </w:r>
          </w:p>
        </w:tc>
        <w:tc>
          <w:tcPr>
            <w:tcW w:w="569" w:type="pct"/>
            <w:shd w:val="clear" w:color="auto" w:fill="auto"/>
          </w:tcPr>
          <w:p w:rsidR="00233D04" w:rsidRPr="00CC18AA" w:rsidRDefault="00233D04" w:rsidP="00CC18AA">
            <w:pPr>
              <w:spacing w:before="60"/>
              <w:jc w:val="center"/>
              <w:rPr>
                <w:rFonts w:cs="Arial"/>
                <w:szCs w:val="20"/>
                <w:lang w:val="en-US"/>
              </w:rPr>
            </w:pPr>
            <w:r w:rsidRPr="00CC18AA">
              <w:rPr>
                <w:rFonts w:cs="Arial"/>
                <w:szCs w:val="20"/>
                <w:lang w:val="en-US"/>
              </w:rPr>
              <w:t>--</w:t>
            </w:r>
          </w:p>
        </w:tc>
      </w:tr>
      <w:tr w:rsidR="005F23F1" w:rsidRPr="00E23B8D" w:rsidTr="00CC18AA">
        <w:trPr>
          <w:trHeight w:hRule="exact" w:val="397"/>
        </w:trPr>
        <w:tc>
          <w:tcPr>
            <w:tcW w:w="1021" w:type="pct"/>
            <w:vMerge w:val="restart"/>
            <w:shd w:val="clear" w:color="auto" w:fill="auto"/>
            <w:vAlign w:val="center"/>
          </w:tcPr>
          <w:p w:rsidR="00233D04" w:rsidRPr="00CC18AA" w:rsidRDefault="00711EE3" w:rsidP="00CC18AA">
            <w:pPr>
              <w:spacing w:before="60"/>
              <w:jc w:val="left"/>
              <w:rPr>
                <w:rFonts w:cs="Arial"/>
                <w:bCs/>
                <w:szCs w:val="20"/>
                <w:lang w:val="en-US"/>
              </w:rPr>
            </w:pPr>
            <w:r w:rsidRPr="00CC18AA">
              <w:rPr>
                <w:rFonts w:cs="Arial"/>
                <w:bCs/>
                <w:szCs w:val="20"/>
                <w:lang w:val="en-US"/>
              </w:rPr>
              <w:t>r</w:t>
            </w:r>
            <w:r w:rsidR="00233D04" w:rsidRPr="00CC18AA">
              <w:rPr>
                <w:rFonts w:cs="Arial"/>
                <w:bCs/>
                <w:szCs w:val="20"/>
                <w:lang w:val="en-US"/>
              </w:rPr>
              <w:t>ainbowfish</w:t>
            </w:r>
          </w:p>
        </w:tc>
        <w:tc>
          <w:tcPr>
            <w:tcW w:w="568" w:type="pct"/>
            <w:shd w:val="clear" w:color="auto" w:fill="auto"/>
          </w:tcPr>
          <w:p w:rsidR="00233D04" w:rsidRPr="00CC18AA" w:rsidRDefault="00233D04" w:rsidP="00CC18AA">
            <w:pPr>
              <w:spacing w:before="60"/>
              <w:jc w:val="center"/>
              <w:rPr>
                <w:rFonts w:cs="Arial"/>
                <w:i/>
                <w:szCs w:val="20"/>
                <w:lang w:val="en-US"/>
              </w:rPr>
            </w:pPr>
            <w:r w:rsidRPr="00CC18AA">
              <w:rPr>
                <w:rFonts w:cs="Arial"/>
                <w:i/>
                <w:szCs w:val="20"/>
                <w:lang w:val="en-US"/>
              </w:rPr>
              <w:t>Z</w:t>
            </w:r>
          </w:p>
        </w:tc>
        <w:tc>
          <w:tcPr>
            <w:tcW w:w="569" w:type="pct"/>
            <w:shd w:val="clear" w:color="auto" w:fill="auto"/>
          </w:tcPr>
          <w:p w:rsidR="00233D04" w:rsidRPr="00CC18AA" w:rsidRDefault="00233D04" w:rsidP="00CC18AA">
            <w:pPr>
              <w:spacing w:before="60"/>
              <w:jc w:val="center"/>
              <w:rPr>
                <w:rFonts w:cs="Arial"/>
                <w:szCs w:val="20"/>
                <w:lang w:val="en-US"/>
              </w:rPr>
            </w:pPr>
            <w:r w:rsidRPr="00CC18AA">
              <w:rPr>
                <w:rFonts w:cs="Arial"/>
                <w:szCs w:val="20"/>
                <w:lang w:val="en-US"/>
              </w:rPr>
              <w:t>--</w:t>
            </w:r>
          </w:p>
        </w:tc>
        <w:tc>
          <w:tcPr>
            <w:tcW w:w="569" w:type="pct"/>
            <w:shd w:val="clear" w:color="auto" w:fill="auto"/>
          </w:tcPr>
          <w:p w:rsidR="00233D04" w:rsidRPr="00CC18AA" w:rsidRDefault="00233D04" w:rsidP="00CC18AA">
            <w:pPr>
              <w:spacing w:before="60"/>
              <w:jc w:val="center"/>
              <w:rPr>
                <w:rFonts w:cs="Arial"/>
                <w:szCs w:val="20"/>
                <w:lang w:val="en-US"/>
              </w:rPr>
            </w:pPr>
            <w:r w:rsidRPr="00CC18AA">
              <w:rPr>
                <w:rFonts w:cs="Arial"/>
                <w:szCs w:val="20"/>
                <w:lang w:val="en-US"/>
              </w:rPr>
              <w:t>--</w:t>
            </w:r>
          </w:p>
        </w:tc>
        <w:tc>
          <w:tcPr>
            <w:tcW w:w="568" w:type="pct"/>
            <w:shd w:val="clear" w:color="auto" w:fill="auto"/>
          </w:tcPr>
          <w:p w:rsidR="00233D04" w:rsidRPr="00CC18AA" w:rsidRDefault="00233D04" w:rsidP="00CC18AA">
            <w:pPr>
              <w:spacing w:before="60"/>
              <w:jc w:val="center"/>
              <w:rPr>
                <w:rFonts w:cs="Arial"/>
                <w:szCs w:val="20"/>
                <w:lang w:val="en-US"/>
              </w:rPr>
            </w:pPr>
            <w:r w:rsidRPr="00CC18AA">
              <w:rPr>
                <w:rFonts w:cs="Arial"/>
                <w:szCs w:val="20"/>
                <w:lang w:val="en-US"/>
              </w:rPr>
              <w:t>--</w:t>
            </w:r>
          </w:p>
        </w:tc>
        <w:tc>
          <w:tcPr>
            <w:tcW w:w="569" w:type="pct"/>
            <w:shd w:val="clear" w:color="auto" w:fill="auto"/>
          </w:tcPr>
          <w:p w:rsidR="00233D04" w:rsidRPr="00CC18AA" w:rsidRDefault="00233D04" w:rsidP="00CC18AA">
            <w:pPr>
              <w:spacing w:before="60"/>
              <w:jc w:val="center"/>
              <w:rPr>
                <w:rFonts w:cs="Arial"/>
                <w:szCs w:val="20"/>
                <w:lang w:val="en-US"/>
              </w:rPr>
            </w:pPr>
            <w:r w:rsidRPr="00CC18AA">
              <w:rPr>
                <w:rFonts w:cs="Arial"/>
                <w:szCs w:val="20"/>
                <w:lang w:val="en-US"/>
              </w:rPr>
              <w:t>--</w:t>
            </w:r>
          </w:p>
        </w:tc>
        <w:tc>
          <w:tcPr>
            <w:tcW w:w="569" w:type="pct"/>
            <w:shd w:val="clear" w:color="auto" w:fill="auto"/>
          </w:tcPr>
          <w:p w:rsidR="00233D04" w:rsidRPr="00CC18AA" w:rsidRDefault="00233D04" w:rsidP="00CC18AA">
            <w:pPr>
              <w:spacing w:before="60"/>
              <w:jc w:val="center"/>
              <w:rPr>
                <w:rFonts w:cs="Arial"/>
                <w:szCs w:val="20"/>
                <w:lang w:val="en-US"/>
              </w:rPr>
            </w:pPr>
            <w:r w:rsidRPr="00CC18AA">
              <w:rPr>
                <w:rFonts w:cs="Arial"/>
                <w:szCs w:val="20"/>
                <w:lang w:val="en-US"/>
              </w:rPr>
              <w:t>--</w:t>
            </w:r>
          </w:p>
        </w:tc>
        <w:tc>
          <w:tcPr>
            <w:tcW w:w="569" w:type="pct"/>
            <w:shd w:val="clear" w:color="auto" w:fill="auto"/>
          </w:tcPr>
          <w:p w:rsidR="00233D04" w:rsidRPr="00CC18AA" w:rsidRDefault="00233D04" w:rsidP="00CC18AA">
            <w:pPr>
              <w:spacing w:before="60"/>
              <w:jc w:val="center"/>
              <w:rPr>
                <w:rFonts w:cs="Arial"/>
                <w:szCs w:val="20"/>
                <w:lang w:val="en-US"/>
              </w:rPr>
            </w:pPr>
            <w:r w:rsidRPr="00CC18AA">
              <w:rPr>
                <w:rFonts w:cs="Arial"/>
                <w:szCs w:val="20"/>
                <w:lang w:val="en-US"/>
              </w:rPr>
              <w:t>--</w:t>
            </w:r>
          </w:p>
        </w:tc>
      </w:tr>
      <w:tr w:rsidR="005F23F1" w:rsidRPr="00E23B8D" w:rsidTr="00CC18AA">
        <w:trPr>
          <w:trHeight w:hRule="exact" w:val="397"/>
        </w:trPr>
        <w:tc>
          <w:tcPr>
            <w:tcW w:w="1021" w:type="pct"/>
            <w:vMerge/>
            <w:shd w:val="clear" w:color="auto" w:fill="auto"/>
            <w:vAlign w:val="center"/>
          </w:tcPr>
          <w:p w:rsidR="00233D04" w:rsidRPr="00CC18AA" w:rsidRDefault="00233D04" w:rsidP="00CC18AA">
            <w:pPr>
              <w:spacing w:before="60"/>
              <w:jc w:val="left"/>
              <w:rPr>
                <w:rFonts w:cs="Arial"/>
                <w:bCs/>
                <w:szCs w:val="20"/>
                <w:lang w:val="en-US"/>
              </w:rPr>
            </w:pPr>
          </w:p>
        </w:tc>
        <w:tc>
          <w:tcPr>
            <w:tcW w:w="568" w:type="pct"/>
            <w:shd w:val="clear" w:color="auto" w:fill="auto"/>
          </w:tcPr>
          <w:p w:rsidR="00233D04" w:rsidRPr="00CC18AA" w:rsidRDefault="00233D04" w:rsidP="00CC18AA">
            <w:pPr>
              <w:spacing w:before="60"/>
              <w:jc w:val="center"/>
              <w:rPr>
                <w:rFonts w:cs="Arial"/>
                <w:i/>
                <w:szCs w:val="20"/>
                <w:lang w:val="en-US"/>
              </w:rPr>
            </w:pPr>
            <w:r w:rsidRPr="00CC18AA">
              <w:rPr>
                <w:rFonts w:cs="Arial"/>
                <w:i/>
                <w:szCs w:val="20"/>
                <w:lang w:val="en-US"/>
              </w:rPr>
              <w:t>P</w:t>
            </w:r>
          </w:p>
        </w:tc>
        <w:tc>
          <w:tcPr>
            <w:tcW w:w="569" w:type="pct"/>
            <w:shd w:val="clear" w:color="auto" w:fill="auto"/>
          </w:tcPr>
          <w:p w:rsidR="00233D04" w:rsidRPr="00CC18AA" w:rsidRDefault="00233D04" w:rsidP="00CC18AA">
            <w:pPr>
              <w:spacing w:before="60"/>
              <w:jc w:val="center"/>
              <w:rPr>
                <w:rFonts w:cs="Arial"/>
                <w:szCs w:val="20"/>
                <w:lang w:val="en-US"/>
              </w:rPr>
            </w:pPr>
            <w:r w:rsidRPr="00CC18AA">
              <w:rPr>
                <w:rFonts w:cs="Arial"/>
                <w:szCs w:val="20"/>
                <w:lang w:val="en-US"/>
              </w:rPr>
              <w:t>--</w:t>
            </w:r>
          </w:p>
        </w:tc>
        <w:tc>
          <w:tcPr>
            <w:tcW w:w="569" w:type="pct"/>
            <w:shd w:val="clear" w:color="auto" w:fill="auto"/>
          </w:tcPr>
          <w:p w:rsidR="00233D04" w:rsidRPr="00CC18AA" w:rsidRDefault="00233D04" w:rsidP="00CC18AA">
            <w:pPr>
              <w:spacing w:before="60"/>
              <w:jc w:val="center"/>
              <w:rPr>
                <w:rFonts w:cs="Arial"/>
                <w:szCs w:val="20"/>
                <w:lang w:val="en-US"/>
              </w:rPr>
            </w:pPr>
            <w:r w:rsidRPr="00CC18AA">
              <w:rPr>
                <w:rFonts w:cs="Arial"/>
                <w:szCs w:val="20"/>
                <w:lang w:val="en-US"/>
              </w:rPr>
              <w:t>--</w:t>
            </w:r>
          </w:p>
        </w:tc>
        <w:tc>
          <w:tcPr>
            <w:tcW w:w="568" w:type="pct"/>
            <w:shd w:val="clear" w:color="auto" w:fill="auto"/>
          </w:tcPr>
          <w:p w:rsidR="00233D04" w:rsidRPr="00CC18AA" w:rsidRDefault="00233D04" w:rsidP="00CC18AA">
            <w:pPr>
              <w:spacing w:before="60"/>
              <w:jc w:val="center"/>
              <w:rPr>
                <w:rFonts w:cs="Arial"/>
                <w:szCs w:val="20"/>
                <w:lang w:val="en-US"/>
              </w:rPr>
            </w:pPr>
            <w:r w:rsidRPr="00CC18AA">
              <w:rPr>
                <w:rFonts w:cs="Arial"/>
                <w:szCs w:val="20"/>
                <w:lang w:val="en-US"/>
              </w:rPr>
              <w:t>--</w:t>
            </w:r>
          </w:p>
        </w:tc>
        <w:tc>
          <w:tcPr>
            <w:tcW w:w="569" w:type="pct"/>
            <w:shd w:val="clear" w:color="auto" w:fill="auto"/>
          </w:tcPr>
          <w:p w:rsidR="00233D04" w:rsidRPr="00CC18AA" w:rsidRDefault="00233D04" w:rsidP="00CC18AA">
            <w:pPr>
              <w:spacing w:before="60"/>
              <w:jc w:val="center"/>
              <w:rPr>
                <w:rFonts w:cs="Arial"/>
                <w:szCs w:val="20"/>
                <w:lang w:val="en-US"/>
              </w:rPr>
            </w:pPr>
            <w:r w:rsidRPr="00CC18AA">
              <w:rPr>
                <w:rFonts w:cs="Arial"/>
                <w:szCs w:val="20"/>
                <w:lang w:val="en-US"/>
              </w:rPr>
              <w:t>--</w:t>
            </w:r>
          </w:p>
        </w:tc>
        <w:tc>
          <w:tcPr>
            <w:tcW w:w="569" w:type="pct"/>
            <w:shd w:val="clear" w:color="auto" w:fill="auto"/>
          </w:tcPr>
          <w:p w:rsidR="00233D04" w:rsidRPr="00CC18AA" w:rsidRDefault="00233D04" w:rsidP="00CC18AA">
            <w:pPr>
              <w:spacing w:before="60"/>
              <w:jc w:val="center"/>
              <w:rPr>
                <w:rFonts w:cs="Arial"/>
                <w:szCs w:val="20"/>
                <w:lang w:val="en-US"/>
              </w:rPr>
            </w:pPr>
            <w:r w:rsidRPr="00CC18AA">
              <w:rPr>
                <w:rFonts w:cs="Arial"/>
                <w:szCs w:val="20"/>
                <w:lang w:val="en-US"/>
              </w:rPr>
              <w:t>--</w:t>
            </w:r>
          </w:p>
        </w:tc>
        <w:tc>
          <w:tcPr>
            <w:tcW w:w="569" w:type="pct"/>
            <w:shd w:val="clear" w:color="auto" w:fill="auto"/>
          </w:tcPr>
          <w:p w:rsidR="00233D04" w:rsidRPr="00CC18AA" w:rsidRDefault="00233D04" w:rsidP="00CC18AA">
            <w:pPr>
              <w:spacing w:before="60"/>
              <w:jc w:val="center"/>
              <w:rPr>
                <w:rFonts w:cs="Arial"/>
                <w:szCs w:val="20"/>
                <w:lang w:val="en-US"/>
              </w:rPr>
            </w:pPr>
            <w:r w:rsidRPr="00CC18AA">
              <w:rPr>
                <w:rFonts w:cs="Arial"/>
                <w:szCs w:val="20"/>
                <w:lang w:val="en-US"/>
              </w:rPr>
              <w:t>--</w:t>
            </w:r>
          </w:p>
        </w:tc>
      </w:tr>
      <w:tr w:rsidR="005F23F1" w:rsidRPr="00E23B8D" w:rsidTr="00CC18AA">
        <w:trPr>
          <w:trHeight w:hRule="exact" w:val="397"/>
        </w:trPr>
        <w:tc>
          <w:tcPr>
            <w:tcW w:w="1021" w:type="pct"/>
            <w:vMerge w:val="restart"/>
            <w:shd w:val="clear" w:color="auto" w:fill="auto"/>
            <w:vAlign w:val="center"/>
          </w:tcPr>
          <w:p w:rsidR="00233D04" w:rsidRPr="00CC18AA" w:rsidRDefault="00233D04" w:rsidP="00CC18AA">
            <w:pPr>
              <w:spacing w:before="60"/>
              <w:jc w:val="left"/>
              <w:rPr>
                <w:rFonts w:cs="Arial"/>
                <w:bCs/>
                <w:szCs w:val="20"/>
                <w:lang w:val="en-US"/>
              </w:rPr>
            </w:pPr>
            <w:r w:rsidRPr="00CC18AA">
              <w:rPr>
                <w:rFonts w:cs="Arial"/>
                <w:bCs/>
                <w:szCs w:val="20"/>
                <w:lang w:val="en-US"/>
              </w:rPr>
              <w:t>Australian smelt</w:t>
            </w:r>
          </w:p>
        </w:tc>
        <w:tc>
          <w:tcPr>
            <w:tcW w:w="568" w:type="pct"/>
            <w:shd w:val="clear" w:color="auto" w:fill="auto"/>
          </w:tcPr>
          <w:p w:rsidR="00233D04" w:rsidRPr="00CC18AA" w:rsidRDefault="00233D04" w:rsidP="00CC18AA">
            <w:pPr>
              <w:spacing w:before="60"/>
              <w:jc w:val="center"/>
              <w:rPr>
                <w:rFonts w:cs="Arial"/>
                <w:i/>
                <w:szCs w:val="20"/>
                <w:lang w:val="en-US"/>
              </w:rPr>
            </w:pPr>
            <w:r w:rsidRPr="00CC18AA">
              <w:rPr>
                <w:rFonts w:cs="Arial"/>
                <w:i/>
                <w:szCs w:val="20"/>
                <w:lang w:val="en-US"/>
              </w:rPr>
              <w:t>Z</w:t>
            </w:r>
          </w:p>
        </w:tc>
        <w:tc>
          <w:tcPr>
            <w:tcW w:w="569" w:type="pct"/>
            <w:shd w:val="clear" w:color="auto" w:fill="auto"/>
          </w:tcPr>
          <w:p w:rsidR="00233D04" w:rsidRPr="00CC18AA" w:rsidRDefault="00233D04" w:rsidP="00CC18AA">
            <w:pPr>
              <w:spacing w:before="60"/>
              <w:jc w:val="center"/>
              <w:rPr>
                <w:rFonts w:cs="Arial"/>
                <w:szCs w:val="20"/>
                <w:lang w:val="en-US"/>
              </w:rPr>
            </w:pPr>
            <w:r w:rsidRPr="00CC18AA">
              <w:rPr>
                <w:rFonts w:cs="Arial"/>
                <w:szCs w:val="20"/>
                <w:lang w:val="en-US"/>
              </w:rPr>
              <w:t>--</w:t>
            </w:r>
          </w:p>
        </w:tc>
        <w:tc>
          <w:tcPr>
            <w:tcW w:w="569" w:type="pct"/>
            <w:shd w:val="clear" w:color="auto" w:fill="auto"/>
          </w:tcPr>
          <w:p w:rsidR="00233D04" w:rsidRPr="00CC18AA" w:rsidRDefault="00233D04" w:rsidP="00CC18AA">
            <w:pPr>
              <w:spacing w:before="60"/>
              <w:jc w:val="center"/>
              <w:rPr>
                <w:rFonts w:cs="Arial"/>
                <w:szCs w:val="20"/>
                <w:lang w:val="en-US"/>
              </w:rPr>
            </w:pPr>
            <w:r w:rsidRPr="00CC18AA">
              <w:rPr>
                <w:rFonts w:cs="Arial"/>
                <w:szCs w:val="20"/>
                <w:lang w:val="en-US"/>
              </w:rPr>
              <w:t>--</w:t>
            </w:r>
          </w:p>
        </w:tc>
        <w:tc>
          <w:tcPr>
            <w:tcW w:w="568" w:type="pct"/>
            <w:shd w:val="clear" w:color="auto" w:fill="auto"/>
          </w:tcPr>
          <w:p w:rsidR="00233D04" w:rsidRPr="00CC18AA" w:rsidRDefault="00233D04" w:rsidP="00CC18AA">
            <w:pPr>
              <w:spacing w:before="60"/>
              <w:jc w:val="center"/>
              <w:rPr>
                <w:rFonts w:cs="Arial"/>
                <w:szCs w:val="20"/>
                <w:lang w:val="en-US"/>
              </w:rPr>
            </w:pPr>
            <w:r w:rsidRPr="00CC18AA">
              <w:rPr>
                <w:rFonts w:cs="Arial"/>
                <w:szCs w:val="20"/>
                <w:lang w:val="en-US"/>
              </w:rPr>
              <w:t>--</w:t>
            </w:r>
          </w:p>
        </w:tc>
        <w:tc>
          <w:tcPr>
            <w:tcW w:w="569" w:type="pct"/>
            <w:shd w:val="clear" w:color="auto" w:fill="auto"/>
          </w:tcPr>
          <w:p w:rsidR="00233D04" w:rsidRPr="00CC18AA" w:rsidRDefault="00233D04" w:rsidP="00CC18AA">
            <w:pPr>
              <w:spacing w:before="60"/>
              <w:jc w:val="center"/>
              <w:rPr>
                <w:rFonts w:cs="Arial"/>
                <w:szCs w:val="20"/>
                <w:lang w:val="en-US"/>
              </w:rPr>
            </w:pPr>
            <w:r w:rsidRPr="00CC18AA">
              <w:rPr>
                <w:rFonts w:cs="Arial"/>
                <w:szCs w:val="20"/>
                <w:lang w:val="en-US"/>
              </w:rPr>
              <w:t>--</w:t>
            </w:r>
          </w:p>
        </w:tc>
        <w:tc>
          <w:tcPr>
            <w:tcW w:w="569" w:type="pct"/>
            <w:shd w:val="clear" w:color="auto" w:fill="auto"/>
          </w:tcPr>
          <w:p w:rsidR="00233D04" w:rsidRPr="00CC18AA" w:rsidRDefault="00233D04" w:rsidP="00CC18AA">
            <w:pPr>
              <w:spacing w:before="60"/>
              <w:jc w:val="center"/>
              <w:rPr>
                <w:rFonts w:cs="Arial"/>
                <w:szCs w:val="20"/>
                <w:lang w:val="en-US"/>
              </w:rPr>
            </w:pPr>
            <w:r w:rsidRPr="00CC18AA">
              <w:rPr>
                <w:rFonts w:cs="Arial"/>
                <w:szCs w:val="20"/>
                <w:lang w:val="en-US"/>
              </w:rPr>
              <w:t>--</w:t>
            </w:r>
          </w:p>
        </w:tc>
        <w:tc>
          <w:tcPr>
            <w:tcW w:w="569" w:type="pct"/>
            <w:shd w:val="clear" w:color="auto" w:fill="auto"/>
          </w:tcPr>
          <w:p w:rsidR="00233D04" w:rsidRPr="00CC18AA" w:rsidRDefault="00233D04" w:rsidP="00CC18AA">
            <w:pPr>
              <w:spacing w:before="60"/>
              <w:jc w:val="center"/>
              <w:rPr>
                <w:rFonts w:cs="Arial"/>
                <w:szCs w:val="20"/>
                <w:lang w:val="en-US"/>
              </w:rPr>
            </w:pPr>
            <w:r w:rsidRPr="00CC18AA">
              <w:rPr>
                <w:rFonts w:cs="Arial"/>
                <w:szCs w:val="20"/>
                <w:lang w:val="en-US"/>
              </w:rPr>
              <w:t>--</w:t>
            </w:r>
          </w:p>
        </w:tc>
      </w:tr>
      <w:tr w:rsidR="005F23F1" w:rsidRPr="00E23B8D" w:rsidTr="00CC18AA">
        <w:trPr>
          <w:trHeight w:hRule="exact" w:val="397"/>
        </w:trPr>
        <w:tc>
          <w:tcPr>
            <w:tcW w:w="1021" w:type="pct"/>
            <w:vMerge/>
            <w:shd w:val="clear" w:color="auto" w:fill="auto"/>
          </w:tcPr>
          <w:p w:rsidR="00233D04" w:rsidRPr="00CC18AA" w:rsidRDefault="00233D04" w:rsidP="00CC18AA">
            <w:pPr>
              <w:spacing w:before="60"/>
              <w:jc w:val="center"/>
              <w:rPr>
                <w:rFonts w:cs="Arial"/>
                <w:bCs/>
                <w:szCs w:val="20"/>
                <w:lang w:val="en-US"/>
              </w:rPr>
            </w:pPr>
          </w:p>
        </w:tc>
        <w:tc>
          <w:tcPr>
            <w:tcW w:w="568" w:type="pct"/>
            <w:shd w:val="clear" w:color="auto" w:fill="auto"/>
          </w:tcPr>
          <w:p w:rsidR="00233D04" w:rsidRPr="00CC18AA" w:rsidRDefault="00233D04" w:rsidP="00CC18AA">
            <w:pPr>
              <w:spacing w:before="60"/>
              <w:jc w:val="center"/>
              <w:rPr>
                <w:rFonts w:cs="Arial"/>
                <w:i/>
                <w:szCs w:val="20"/>
                <w:lang w:val="en-US"/>
              </w:rPr>
            </w:pPr>
            <w:r w:rsidRPr="00CC18AA">
              <w:rPr>
                <w:rFonts w:cs="Arial"/>
                <w:i/>
                <w:szCs w:val="20"/>
                <w:lang w:val="en-US"/>
              </w:rPr>
              <w:t>P</w:t>
            </w:r>
          </w:p>
        </w:tc>
        <w:tc>
          <w:tcPr>
            <w:tcW w:w="569" w:type="pct"/>
            <w:shd w:val="clear" w:color="auto" w:fill="auto"/>
          </w:tcPr>
          <w:p w:rsidR="00233D04" w:rsidRPr="00CC18AA" w:rsidRDefault="00233D04" w:rsidP="00CC18AA">
            <w:pPr>
              <w:spacing w:before="60"/>
              <w:jc w:val="center"/>
              <w:rPr>
                <w:rFonts w:cs="Arial"/>
                <w:szCs w:val="20"/>
                <w:lang w:val="en-US"/>
              </w:rPr>
            </w:pPr>
            <w:r w:rsidRPr="00CC18AA">
              <w:rPr>
                <w:rFonts w:cs="Arial"/>
                <w:szCs w:val="20"/>
                <w:lang w:val="en-US"/>
              </w:rPr>
              <w:t>--</w:t>
            </w:r>
          </w:p>
        </w:tc>
        <w:tc>
          <w:tcPr>
            <w:tcW w:w="569" w:type="pct"/>
            <w:shd w:val="clear" w:color="auto" w:fill="auto"/>
          </w:tcPr>
          <w:p w:rsidR="00233D04" w:rsidRPr="00CC18AA" w:rsidRDefault="00233D04" w:rsidP="00CC18AA">
            <w:pPr>
              <w:spacing w:before="60"/>
              <w:jc w:val="center"/>
              <w:rPr>
                <w:rFonts w:cs="Arial"/>
                <w:szCs w:val="20"/>
                <w:lang w:val="en-US"/>
              </w:rPr>
            </w:pPr>
            <w:r w:rsidRPr="00CC18AA">
              <w:rPr>
                <w:rFonts w:cs="Arial"/>
                <w:szCs w:val="20"/>
                <w:lang w:val="en-US"/>
              </w:rPr>
              <w:t>--</w:t>
            </w:r>
          </w:p>
        </w:tc>
        <w:tc>
          <w:tcPr>
            <w:tcW w:w="568" w:type="pct"/>
            <w:shd w:val="clear" w:color="auto" w:fill="auto"/>
          </w:tcPr>
          <w:p w:rsidR="00233D04" w:rsidRPr="00CC18AA" w:rsidRDefault="00233D04" w:rsidP="00CC18AA">
            <w:pPr>
              <w:spacing w:before="60"/>
              <w:jc w:val="center"/>
              <w:rPr>
                <w:rFonts w:cs="Arial"/>
                <w:szCs w:val="20"/>
                <w:lang w:val="en-US"/>
              </w:rPr>
            </w:pPr>
            <w:r w:rsidRPr="00CC18AA">
              <w:rPr>
                <w:rFonts w:cs="Arial"/>
                <w:szCs w:val="20"/>
                <w:lang w:val="en-US"/>
              </w:rPr>
              <w:t>--</w:t>
            </w:r>
          </w:p>
        </w:tc>
        <w:tc>
          <w:tcPr>
            <w:tcW w:w="569" w:type="pct"/>
            <w:shd w:val="clear" w:color="auto" w:fill="auto"/>
          </w:tcPr>
          <w:p w:rsidR="00233D04" w:rsidRPr="00CC18AA" w:rsidRDefault="00233D04" w:rsidP="00CC18AA">
            <w:pPr>
              <w:spacing w:before="60"/>
              <w:jc w:val="center"/>
              <w:rPr>
                <w:rFonts w:cs="Arial"/>
                <w:szCs w:val="20"/>
                <w:lang w:val="en-US"/>
              </w:rPr>
            </w:pPr>
            <w:r w:rsidRPr="00CC18AA">
              <w:rPr>
                <w:rFonts w:cs="Arial"/>
                <w:szCs w:val="20"/>
                <w:lang w:val="en-US"/>
              </w:rPr>
              <w:t>--</w:t>
            </w:r>
          </w:p>
        </w:tc>
        <w:tc>
          <w:tcPr>
            <w:tcW w:w="569" w:type="pct"/>
            <w:shd w:val="clear" w:color="auto" w:fill="auto"/>
          </w:tcPr>
          <w:p w:rsidR="00233D04" w:rsidRPr="00CC18AA" w:rsidRDefault="00233D04" w:rsidP="00CC18AA">
            <w:pPr>
              <w:spacing w:before="60"/>
              <w:jc w:val="center"/>
              <w:rPr>
                <w:rFonts w:cs="Arial"/>
                <w:szCs w:val="20"/>
                <w:lang w:val="en-US"/>
              </w:rPr>
            </w:pPr>
            <w:r w:rsidRPr="00CC18AA">
              <w:rPr>
                <w:rFonts w:cs="Arial"/>
                <w:szCs w:val="20"/>
                <w:lang w:val="en-US"/>
              </w:rPr>
              <w:t>--</w:t>
            </w:r>
          </w:p>
        </w:tc>
        <w:tc>
          <w:tcPr>
            <w:tcW w:w="569" w:type="pct"/>
            <w:shd w:val="clear" w:color="auto" w:fill="auto"/>
          </w:tcPr>
          <w:p w:rsidR="00233D04" w:rsidRPr="00CC18AA" w:rsidRDefault="00233D04" w:rsidP="00CC18AA">
            <w:pPr>
              <w:spacing w:before="60"/>
              <w:jc w:val="center"/>
              <w:rPr>
                <w:rFonts w:cs="Arial"/>
                <w:szCs w:val="20"/>
                <w:lang w:val="en-US"/>
              </w:rPr>
            </w:pPr>
            <w:r w:rsidRPr="00CC18AA">
              <w:rPr>
                <w:rFonts w:cs="Arial"/>
                <w:szCs w:val="20"/>
                <w:lang w:val="en-US"/>
              </w:rPr>
              <w:t>--</w:t>
            </w:r>
          </w:p>
        </w:tc>
      </w:tr>
    </w:tbl>
    <w:p w:rsidR="00233D04" w:rsidRDefault="00233D04" w:rsidP="00233D04">
      <w:pPr>
        <w:spacing w:after="0" w:line="240" w:lineRule="auto"/>
        <w:ind w:left="720" w:hanging="720"/>
        <w:rPr>
          <w:b/>
        </w:rPr>
      </w:pPr>
    </w:p>
    <w:p w:rsidR="00233D04" w:rsidRDefault="00233D04" w:rsidP="00233D04">
      <w:pPr>
        <w:pStyle w:val="Caption"/>
        <w:keepNext/>
      </w:pPr>
      <w:bookmarkStart w:id="162" w:name="_Ref458693624"/>
      <w:r>
        <w:t xml:space="preserve">Table </w:t>
      </w:r>
      <w:fldSimple w:instr=" STYLEREF 6 \s ">
        <w:r w:rsidR="005D5925">
          <w:rPr>
            <w:noProof/>
          </w:rPr>
          <w:t>I</w:t>
        </w:r>
      </w:fldSimple>
      <w:r w:rsidR="005D4453">
        <w:noBreakHyphen/>
      </w:r>
      <w:fldSimple w:instr=" SEQ Table \* ARABIC \s 6 ">
        <w:r w:rsidR="005D5925">
          <w:rPr>
            <w:noProof/>
          </w:rPr>
          <w:t>5</w:t>
        </w:r>
      </w:fldSimple>
      <w:bookmarkEnd w:id="162"/>
      <w:r>
        <w:t xml:space="preserve"> </w:t>
      </w:r>
      <w:r w:rsidRPr="00815404">
        <w:t>Kolmogorov-Smirnov</w:t>
      </w:r>
      <w:r>
        <w:t xml:space="preserve"> test results of length frequency comparisons of fish within hydrological zones (G</w:t>
      </w:r>
      <w:r w:rsidRPr="0030099A">
        <w:t>ingham Watercourse, Gwydir River, Mehi River</w:t>
      </w:r>
      <w:r>
        <w:t xml:space="preserve"> </w:t>
      </w:r>
      <w:r w:rsidRPr="0030099A">
        <w:t xml:space="preserve">and </w:t>
      </w:r>
      <w:r>
        <w:t>Moomin</w:t>
      </w:r>
      <w:r w:rsidRPr="0030099A">
        <w:t xml:space="preserve"> Creek</w:t>
      </w:r>
      <w:r>
        <w:t xml:space="preserve">). </w:t>
      </w:r>
      <w:r w:rsidRPr="00E32895">
        <w:t>NB*</w:t>
      </w:r>
      <w:r>
        <w:t xml:space="preserve"> Dark shading indicates significant difference &lt;0.05.</w:t>
      </w:r>
      <w:r w:rsidR="005D07C7">
        <w:t xml:space="preserve"> Z represents the K-S model result, P is the confidence value for the result.</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878"/>
        <w:gridCol w:w="1044"/>
        <w:gridCol w:w="1570"/>
        <w:gridCol w:w="1570"/>
        <w:gridCol w:w="1570"/>
        <w:gridCol w:w="1568"/>
      </w:tblGrid>
      <w:tr w:rsidR="00711EE3" w:rsidRPr="00E23B8D" w:rsidTr="00CC18AA">
        <w:trPr>
          <w:trHeight w:hRule="exact" w:val="397"/>
        </w:trPr>
        <w:tc>
          <w:tcPr>
            <w:tcW w:w="5000" w:type="pct"/>
            <w:gridSpan w:val="6"/>
            <w:shd w:val="clear" w:color="auto" w:fill="D9D9D9"/>
            <w:vAlign w:val="center"/>
          </w:tcPr>
          <w:p w:rsidR="00711EE3" w:rsidRPr="00CC18AA" w:rsidRDefault="00711EE3" w:rsidP="00CC18AA">
            <w:pPr>
              <w:spacing w:before="60"/>
              <w:jc w:val="center"/>
              <w:rPr>
                <w:rFonts w:cs="Arial"/>
                <w:bCs/>
                <w:szCs w:val="20"/>
                <w:lang w:val="en-US"/>
              </w:rPr>
            </w:pPr>
            <w:r w:rsidRPr="00CC18AA">
              <w:rPr>
                <w:rFonts w:cs="Arial"/>
                <w:bCs/>
                <w:szCs w:val="20"/>
                <w:lang w:val="en-US"/>
              </w:rPr>
              <w:t>Hydrological Zone</w:t>
            </w:r>
          </w:p>
        </w:tc>
      </w:tr>
      <w:tr w:rsidR="005F23F1" w:rsidRPr="00E23B8D" w:rsidTr="00CC18AA">
        <w:trPr>
          <w:trHeight w:hRule="exact" w:val="397"/>
        </w:trPr>
        <w:tc>
          <w:tcPr>
            <w:tcW w:w="1589" w:type="pct"/>
            <w:gridSpan w:val="2"/>
            <w:shd w:val="clear" w:color="auto" w:fill="auto"/>
            <w:vAlign w:val="center"/>
          </w:tcPr>
          <w:p w:rsidR="00711EE3" w:rsidRPr="00CC18AA" w:rsidRDefault="00711EE3" w:rsidP="00CC18AA">
            <w:pPr>
              <w:spacing w:before="60"/>
              <w:jc w:val="center"/>
              <w:rPr>
                <w:rFonts w:cs="Arial"/>
                <w:bCs/>
                <w:i/>
                <w:szCs w:val="20"/>
                <w:lang w:val="en-US"/>
              </w:rPr>
            </w:pPr>
          </w:p>
        </w:tc>
        <w:tc>
          <w:tcPr>
            <w:tcW w:w="853" w:type="pct"/>
            <w:shd w:val="clear" w:color="auto" w:fill="auto"/>
            <w:vAlign w:val="center"/>
          </w:tcPr>
          <w:p w:rsidR="00711EE3" w:rsidRPr="00CC18AA" w:rsidRDefault="00711EE3" w:rsidP="00CC18AA">
            <w:pPr>
              <w:spacing w:before="60"/>
              <w:jc w:val="center"/>
              <w:rPr>
                <w:rFonts w:cs="Arial"/>
                <w:szCs w:val="20"/>
                <w:lang w:val="en-US"/>
              </w:rPr>
            </w:pPr>
            <w:r w:rsidRPr="00CC18AA">
              <w:rPr>
                <w:rFonts w:cs="Arial"/>
                <w:szCs w:val="20"/>
                <w:lang w:val="en-US"/>
              </w:rPr>
              <w:t>Gingham</w:t>
            </w:r>
          </w:p>
        </w:tc>
        <w:tc>
          <w:tcPr>
            <w:tcW w:w="853" w:type="pct"/>
            <w:shd w:val="clear" w:color="auto" w:fill="auto"/>
            <w:vAlign w:val="center"/>
          </w:tcPr>
          <w:p w:rsidR="00711EE3" w:rsidRPr="00CC18AA" w:rsidRDefault="00711EE3" w:rsidP="00CC18AA">
            <w:pPr>
              <w:spacing w:before="60"/>
              <w:jc w:val="center"/>
              <w:rPr>
                <w:rFonts w:cs="Arial"/>
                <w:szCs w:val="20"/>
                <w:lang w:val="en-US"/>
              </w:rPr>
            </w:pPr>
            <w:r w:rsidRPr="00CC18AA">
              <w:rPr>
                <w:rFonts w:cs="Arial"/>
                <w:szCs w:val="20"/>
                <w:lang w:val="en-US"/>
              </w:rPr>
              <w:t>Gwydir</w:t>
            </w:r>
          </w:p>
          <w:p w:rsidR="00711EE3" w:rsidRPr="00CC18AA" w:rsidRDefault="00711EE3" w:rsidP="00CC18AA">
            <w:pPr>
              <w:spacing w:before="60"/>
              <w:jc w:val="center"/>
              <w:rPr>
                <w:rFonts w:cs="Arial"/>
                <w:szCs w:val="20"/>
                <w:lang w:val="en-US"/>
              </w:rPr>
            </w:pPr>
            <w:r w:rsidRPr="00CC18AA">
              <w:rPr>
                <w:rFonts w:cs="Arial"/>
                <w:szCs w:val="20"/>
                <w:lang w:val="en-US"/>
              </w:rPr>
              <w:t>2 V 3</w:t>
            </w:r>
          </w:p>
        </w:tc>
        <w:tc>
          <w:tcPr>
            <w:tcW w:w="853" w:type="pct"/>
            <w:shd w:val="clear" w:color="auto" w:fill="auto"/>
            <w:vAlign w:val="center"/>
          </w:tcPr>
          <w:p w:rsidR="00711EE3" w:rsidRPr="00CC18AA" w:rsidRDefault="00711EE3" w:rsidP="00CC18AA">
            <w:pPr>
              <w:spacing w:before="60"/>
              <w:jc w:val="center"/>
              <w:rPr>
                <w:rFonts w:cs="Arial"/>
                <w:szCs w:val="20"/>
                <w:lang w:val="en-US"/>
              </w:rPr>
            </w:pPr>
            <w:r w:rsidRPr="00CC18AA">
              <w:rPr>
                <w:rFonts w:cs="Arial"/>
                <w:szCs w:val="20"/>
                <w:lang w:val="en-US"/>
              </w:rPr>
              <w:t>Mehi</w:t>
            </w:r>
          </w:p>
        </w:tc>
        <w:tc>
          <w:tcPr>
            <w:tcW w:w="853" w:type="pct"/>
            <w:shd w:val="clear" w:color="auto" w:fill="auto"/>
            <w:vAlign w:val="center"/>
          </w:tcPr>
          <w:p w:rsidR="00711EE3" w:rsidRPr="00CC18AA" w:rsidRDefault="00711EE3" w:rsidP="00CC18AA">
            <w:pPr>
              <w:spacing w:before="60"/>
              <w:jc w:val="center"/>
              <w:rPr>
                <w:rFonts w:cs="Arial"/>
                <w:szCs w:val="20"/>
                <w:lang w:val="en-US"/>
              </w:rPr>
            </w:pPr>
            <w:r w:rsidRPr="00CC18AA">
              <w:rPr>
                <w:rFonts w:cs="Arial"/>
                <w:szCs w:val="20"/>
                <w:lang w:val="en-US"/>
              </w:rPr>
              <w:t>Moomin</w:t>
            </w:r>
          </w:p>
        </w:tc>
      </w:tr>
      <w:tr w:rsidR="005F23F1" w:rsidRPr="00E23B8D" w:rsidTr="00CC18AA">
        <w:trPr>
          <w:trHeight w:hRule="exact" w:val="397"/>
        </w:trPr>
        <w:tc>
          <w:tcPr>
            <w:tcW w:w="1021" w:type="pct"/>
            <w:vMerge w:val="restart"/>
            <w:shd w:val="clear" w:color="auto" w:fill="auto"/>
            <w:vAlign w:val="center"/>
          </w:tcPr>
          <w:p w:rsidR="00233D04" w:rsidRPr="00CC18AA" w:rsidRDefault="00711EE3" w:rsidP="00CC18AA">
            <w:pPr>
              <w:spacing w:before="60"/>
              <w:jc w:val="left"/>
              <w:rPr>
                <w:rFonts w:cs="Arial"/>
                <w:bCs/>
                <w:szCs w:val="20"/>
                <w:lang w:val="en-US"/>
              </w:rPr>
            </w:pPr>
            <w:r w:rsidRPr="00CC18AA">
              <w:rPr>
                <w:rFonts w:cs="Arial"/>
                <w:bCs/>
                <w:szCs w:val="20"/>
                <w:lang w:val="en-US"/>
              </w:rPr>
              <w:t>c</w:t>
            </w:r>
            <w:r w:rsidR="00233D04" w:rsidRPr="00CC18AA">
              <w:rPr>
                <w:rFonts w:cs="Arial"/>
                <w:bCs/>
                <w:szCs w:val="20"/>
                <w:lang w:val="en-US"/>
              </w:rPr>
              <w:t>ommon carp</w:t>
            </w:r>
          </w:p>
        </w:tc>
        <w:tc>
          <w:tcPr>
            <w:tcW w:w="568" w:type="pct"/>
            <w:shd w:val="clear" w:color="auto" w:fill="auto"/>
            <w:vAlign w:val="center"/>
          </w:tcPr>
          <w:p w:rsidR="00233D04" w:rsidRPr="00CC18AA" w:rsidRDefault="00233D04" w:rsidP="00CC18AA">
            <w:pPr>
              <w:spacing w:before="60"/>
              <w:jc w:val="center"/>
              <w:rPr>
                <w:rFonts w:cs="Arial"/>
                <w:i/>
                <w:szCs w:val="20"/>
                <w:lang w:val="en-US"/>
              </w:rPr>
            </w:pPr>
            <w:r w:rsidRPr="00CC18AA">
              <w:rPr>
                <w:rFonts w:cs="Arial"/>
                <w:i/>
                <w:szCs w:val="20"/>
                <w:lang w:val="en-US"/>
              </w:rPr>
              <w:t>Z</w:t>
            </w:r>
          </w:p>
        </w:tc>
        <w:tc>
          <w:tcPr>
            <w:tcW w:w="853" w:type="pct"/>
            <w:shd w:val="clear" w:color="auto" w:fill="F2F2F2"/>
            <w:vAlign w:val="center"/>
          </w:tcPr>
          <w:p w:rsidR="00233D04" w:rsidRPr="00CC18AA" w:rsidRDefault="00233D04" w:rsidP="00CC18AA">
            <w:pPr>
              <w:spacing w:before="60"/>
              <w:jc w:val="center"/>
              <w:rPr>
                <w:rFonts w:cs="Arial"/>
                <w:szCs w:val="20"/>
                <w:lang w:val="en-US"/>
              </w:rPr>
            </w:pPr>
            <w:r w:rsidRPr="00CC18AA">
              <w:rPr>
                <w:rFonts w:cs="Arial"/>
                <w:szCs w:val="20"/>
                <w:lang w:val="en-US"/>
              </w:rPr>
              <w:t>4.495</w:t>
            </w:r>
          </w:p>
        </w:tc>
        <w:tc>
          <w:tcPr>
            <w:tcW w:w="853" w:type="pct"/>
            <w:shd w:val="clear" w:color="auto" w:fill="auto"/>
            <w:vAlign w:val="center"/>
          </w:tcPr>
          <w:p w:rsidR="00233D04" w:rsidRPr="00CC18AA" w:rsidRDefault="00233D04" w:rsidP="00CC18AA">
            <w:pPr>
              <w:spacing w:before="60"/>
              <w:jc w:val="center"/>
              <w:rPr>
                <w:rFonts w:cs="Arial"/>
                <w:szCs w:val="20"/>
                <w:lang w:val="en-US"/>
              </w:rPr>
            </w:pPr>
            <w:r w:rsidRPr="00CC18AA">
              <w:rPr>
                <w:rFonts w:cs="Arial"/>
                <w:szCs w:val="20"/>
                <w:lang w:val="en-US"/>
              </w:rPr>
              <w:t>1.014</w:t>
            </w:r>
          </w:p>
        </w:tc>
        <w:tc>
          <w:tcPr>
            <w:tcW w:w="853" w:type="pct"/>
            <w:shd w:val="clear" w:color="auto" w:fill="F2F2F2"/>
            <w:vAlign w:val="center"/>
          </w:tcPr>
          <w:p w:rsidR="00233D04" w:rsidRPr="00CC18AA" w:rsidRDefault="00233D04" w:rsidP="00CC18AA">
            <w:pPr>
              <w:spacing w:before="60"/>
              <w:jc w:val="center"/>
              <w:rPr>
                <w:rFonts w:cs="Arial"/>
                <w:szCs w:val="20"/>
                <w:lang w:val="en-US"/>
              </w:rPr>
            </w:pPr>
            <w:r w:rsidRPr="00CC18AA">
              <w:rPr>
                <w:rFonts w:cs="Arial"/>
                <w:szCs w:val="20"/>
                <w:lang w:val="en-US"/>
              </w:rPr>
              <w:t>1.960</w:t>
            </w:r>
          </w:p>
        </w:tc>
        <w:tc>
          <w:tcPr>
            <w:tcW w:w="853" w:type="pct"/>
            <w:shd w:val="clear" w:color="auto" w:fill="auto"/>
            <w:vAlign w:val="center"/>
          </w:tcPr>
          <w:p w:rsidR="00233D04" w:rsidRPr="00CC18AA" w:rsidRDefault="00233D04" w:rsidP="00CC18AA">
            <w:pPr>
              <w:spacing w:before="60"/>
              <w:jc w:val="center"/>
              <w:rPr>
                <w:rFonts w:cs="Arial"/>
                <w:szCs w:val="20"/>
                <w:lang w:val="en-US"/>
              </w:rPr>
            </w:pPr>
            <w:r w:rsidRPr="00CC18AA">
              <w:rPr>
                <w:rFonts w:cs="Arial"/>
                <w:szCs w:val="20"/>
                <w:lang w:val="en-US"/>
              </w:rPr>
              <w:t>1.352</w:t>
            </w:r>
          </w:p>
        </w:tc>
      </w:tr>
      <w:tr w:rsidR="005F23F1" w:rsidRPr="00E23B8D" w:rsidTr="00CC18AA">
        <w:trPr>
          <w:trHeight w:hRule="exact" w:val="397"/>
        </w:trPr>
        <w:tc>
          <w:tcPr>
            <w:tcW w:w="1021" w:type="pct"/>
            <w:vMerge/>
            <w:shd w:val="clear" w:color="auto" w:fill="auto"/>
            <w:vAlign w:val="center"/>
          </w:tcPr>
          <w:p w:rsidR="00233D04" w:rsidRPr="00CC18AA" w:rsidRDefault="00233D04" w:rsidP="00CC18AA">
            <w:pPr>
              <w:spacing w:before="60"/>
              <w:jc w:val="left"/>
              <w:rPr>
                <w:rFonts w:cs="Arial"/>
                <w:bCs/>
                <w:szCs w:val="20"/>
                <w:lang w:val="en-US"/>
              </w:rPr>
            </w:pPr>
          </w:p>
        </w:tc>
        <w:tc>
          <w:tcPr>
            <w:tcW w:w="568" w:type="pct"/>
            <w:shd w:val="clear" w:color="auto" w:fill="auto"/>
            <w:vAlign w:val="center"/>
          </w:tcPr>
          <w:p w:rsidR="00233D04" w:rsidRPr="00CC18AA" w:rsidRDefault="00233D04" w:rsidP="00CC18AA">
            <w:pPr>
              <w:spacing w:before="60"/>
              <w:jc w:val="center"/>
              <w:rPr>
                <w:rFonts w:cs="Arial"/>
                <w:i/>
                <w:szCs w:val="20"/>
                <w:lang w:val="en-US"/>
              </w:rPr>
            </w:pPr>
            <w:r w:rsidRPr="00CC18AA">
              <w:rPr>
                <w:rFonts w:cs="Arial"/>
                <w:i/>
                <w:szCs w:val="20"/>
                <w:lang w:val="en-US"/>
              </w:rPr>
              <w:t>P</w:t>
            </w:r>
          </w:p>
        </w:tc>
        <w:tc>
          <w:tcPr>
            <w:tcW w:w="853" w:type="pct"/>
            <w:shd w:val="clear" w:color="auto" w:fill="F2F2F2"/>
            <w:vAlign w:val="center"/>
          </w:tcPr>
          <w:p w:rsidR="00233D04" w:rsidRPr="00CC18AA" w:rsidRDefault="00233D04" w:rsidP="00CC18AA">
            <w:pPr>
              <w:spacing w:before="60"/>
              <w:jc w:val="center"/>
              <w:rPr>
                <w:rFonts w:cs="Arial"/>
                <w:szCs w:val="20"/>
                <w:lang w:val="en-US"/>
              </w:rPr>
            </w:pPr>
            <w:r w:rsidRPr="00CC18AA">
              <w:rPr>
                <w:rFonts w:cs="Arial"/>
                <w:szCs w:val="20"/>
                <w:lang w:val="en-US"/>
              </w:rPr>
              <w:t>&lt;0.001</w:t>
            </w:r>
          </w:p>
        </w:tc>
        <w:tc>
          <w:tcPr>
            <w:tcW w:w="853" w:type="pct"/>
            <w:shd w:val="clear" w:color="auto" w:fill="auto"/>
            <w:vAlign w:val="center"/>
          </w:tcPr>
          <w:p w:rsidR="00233D04" w:rsidRPr="00CC18AA" w:rsidRDefault="00233D04" w:rsidP="00CC18AA">
            <w:pPr>
              <w:spacing w:before="60"/>
              <w:jc w:val="center"/>
              <w:rPr>
                <w:rFonts w:cs="Arial"/>
                <w:szCs w:val="20"/>
                <w:lang w:val="en-US"/>
              </w:rPr>
            </w:pPr>
            <w:r w:rsidRPr="00CC18AA">
              <w:rPr>
                <w:rFonts w:cs="Arial"/>
                <w:szCs w:val="20"/>
                <w:lang w:val="en-US"/>
              </w:rPr>
              <w:t>0.255</w:t>
            </w:r>
          </w:p>
        </w:tc>
        <w:tc>
          <w:tcPr>
            <w:tcW w:w="853" w:type="pct"/>
            <w:shd w:val="clear" w:color="auto" w:fill="F2F2F2"/>
            <w:vAlign w:val="center"/>
          </w:tcPr>
          <w:p w:rsidR="00233D04" w:rsidRPr="00CC18AA" w:rsidRDefault="00233D04" w:rsidP="00CC18AA">
            <w:pPr>
              <w:spacing w:before="60"/>
              <w:jc w:val="center"/>
              <w:rPr>
                <w:rFonts w:cs="Arial"/>
                <w:szCs w:val="20"/>
                <w:lang w:val="en-US"/>
              </w:rPr>
            </w:pPr>
            <w:r w:rsidRPr="00CC18AA">
              <w:rPr>
                <w:rFonts w:cs="Arial"/>
                <w:szCs w:val="20"/>
                <w:lang w:val="en-US"/>
              </w:rPr>
              <w:t>0.001</w:t>
            </w:r>
          </w:p>
        </w:tc>
        <w:tc>
          <w:tcPr>
            <w:tcW w:w="853" w:type="pct"/>
            <w:shd w:val="clear" w:color="auto" w:fill="auto"/>
            <w:vAlign w:val="center"/>
          </w:tcPr>
          <w:p w:rsidR="00233D04" w:rsidRPr="00CC18AA" w:rsidRDefault="00233D04" w:rsidP="00CC18AA">
            <w:pPr>
              <w:spacing w:before="60"/>
              <w:jc w:val="center"/>
              <w:rPr>
                <w:rFonts w:cs="Arial"/>
                <w:szCs w:val="20"/>
                <w:lang w:val="en-US"/>
              </w:rPr>
            </w:pPr>
            <w:r w:rsidRPr="00CC18AA">
              <w:rPr>
                <w:rFonts w:cs="Arial"/>
                <w:szCs w:val="20"/>
                <w:lang w:val="en-US"/>
              </w:rPr>
              <w:t>0.052</w:t>
            </w:r>
          </w:p>
        </w:tc>
      </w:tr>
      <w:tr w:rsidR="005F23F1" w:rsidRPr="00E23B8D" w:rsidTr="00CC18AA">
        <w:trPr>
          <w:trHeight w:hRule="exact" w:val="397"/>
        </w:trPr>
        <w:tc>
          <w:tcPr>
            <w:tcW w:w="1021" w:type="pct"/>
            <w:vMerge w:val="restart"/>
            <w:shd w:val="clear" w:color="auto" w:fill="auto"/>
            <w:vAlign w:val="center"/>
          </w:tcPr>
          <w:p w:rsidR="00233D04" w:rsidRPr="00CC18AA" w:rsidRDefault="00233D04" w:rsidP="00CC18AA">
            <w:pPr>
              <w:spacing w:before="60"/>
              <w:jc w:val="left"/>
              <w:rPr>
                <w:rFonts w:cs="Arial"/>
                <w:bCs/>
                <w:szCs w:val="20"/>
                <w:lang w:val="en-US"/>
              </w:rPr>
            </w:pPr>
            <w:r w:rsidRPr="00CC18AA">
              <w:rPr>
                <w:rFonts w:cs="Arial"/>
                <w:bCs/>
                <w:szCs w:val="20"/>
                <w:lang w:val="en-US"/>
              </w:rPr>
              <w:t>Murray cod</w:t>
            </w:r>
          </w:p>
        </w:tc>
        <w:tc>
          <w:tcPr>
            <w:tcW w:w="568" w:type="pct"/>
            <w:shd w:val="clear" w:color="auto" w:fill="auto"/>
            <w:vAlign w:val="center"/>
          </w:tcPr>
          <w:p w:rsidR="00233D04" w:rsidRPr="00CC18AA" w:rsidRDefault="00233D04" w:rsidP="00CC18AA">
            <w:pPr>
              <w:spacing w:before="60"/>
              <w:jc w:val="center"/>
              <w:rPr>
                <w:rFonts w:cs="Arial"/>
                <w:i/>
                <w:szCs w:val="20"/>
                <w:lang w:val="en-US"/>
              </w:rPr>
            </w:pPr>
            <w:r w:rsidRPr="00CC18AA">
              <w:rPr>
                <w:rFonts w:cs="Arial"/>
                <w:i/>
                <w:szCs w:val="20"/>
                <w:lang w:val="en-US"/>
              </w:rPr>
              <w:t>Z</w:t>
            </w:r>
          </w:p>
        </w:tc>
        <w:tc>
          <w:tcPr>
            <w:tcW w:w="853" w:type="pct"/>
            <w:shd w:val="clear" w:color="auto" w:fill="auto"/>
            <w:vAlign w:val="center"/>
          </w:tcPr>
          <w:p w:rsidR="00233D04" w:rsidRPr="00CC18AA" w:rsidRDefault="00233D04" w:rsidP="00CC18AA">
            <w:pPr>
              <w:spacing w:before="60"/>
              <w:jc w:val="center"/>
              <w:rPr>
                <w:rFonts w:cs="Arial"/>
                <w:szCs w:val="20"/>
                <w:lang w:val="en-US"/>
              </w:rPr>
            </w:pPr>
            <w:r w:rsidRPr="00CC18AA">
              <w:rPr>
                <w:rFonts w:cs="Arial"/>
                <w:szCs w:val="20"/>
                <w:lang w:val="en-US"/>
              </w:rPr>
              <w:t>--</w:t>
            </w:r>
          </w:p>
        </w:tc>
        <w:tc>
          <w:tcPr>
            <w:tcW w:w="853" w:type="pct"/>
            <w:shd w:val="clear" w:color="auto" w:fill="F2F2F2"/>
            <w:vAlign w:val="center"/>
          </w:tcPr>
          <w:p w:rsidR="00233D04" w:rsidRPr="00CC18AA" w:rsidRDefault="00233D04" w:rsidP="00CC18AA">
            <w:pPr>
              <w:spacing w:before="60"/>
              <w:jc w:val="center"/>
              <w:rPr>
                <w:rFonts w:cs="Arial"/>
                <w:szCs w:val="20"/>
                <w:lang w:val="en-US"/>
              </w:rPr>
            </w:pPr>
            <w:r w:rsidRPr="00CC18AA">
              <w:rPr>
                <w:rFonts w:cs="Arial"/>
                <w:szCs w:val="20"/>
                <w:lang w:val="en-US"/>
              </w:rPr>
              <w:t>2.121</w:t>
            </w:r>
          </w:p>
        </w:tc>
        <w:tc>
          <w:tcPr>
            <w:tcW w:w="853" w:type="pct"/>
            <w:shd w:val="clear" w:color="auto" w:fill="F2F2F2"/>
            <w:vAlign w:val="center"/>
          </w:tcPr>
          <w:p w:rsidR="00233D04" w:rsidRPr="00CC18AA" w:rsidRDefault="00233D04" w:rsidP="00CC18AA">
            <w:pPr>
              <w:spacing w:before="60"/>
              <w:jc w:val="center"/>
              <w:rPr>
                <w:rFonts w:cs="Arial"/>
                <w:szCs w:val="20"/>
                <w:lang w:val="en-US"/>
              </w:rPr>
            </w:pPr>
            <w:r w:rsidRPr="00CC18AA">
              <w:rPr>
                <w:rFonts w:cs="Arial"/>
                <w:szCs w:val="20"/>
                <w:lang w:val="en-US"/>
              </w:rPr>
              <w:t>1.446</w:t>
            </w:r>
          </w:p>
        </w:tc>
        <w:tc>
          <w:tcPr>
            <w:tcW w:w="853" w:type="pct"/>
            <w:shd w:val="clear" w:color="auto" w:fill="auto"/>
            <w:vAlign w:val="center"/>
          </w:tcPr>
          <w:p w:rsidR="00233D04" w:rsidRPr="00CC18AA" w:rsidRDefault="00233D04" w:rsidP="00CC18AA">
            <w:pPr>
              <w:spacing w:before="60"/>
              <w:jc w:val="center"/>
              <w:rPr>
                <w:rFonts w:cs="Arial"/>
                <w:szCs w:val="20"/>
                <w:lang w:val="en-US"/>
              </w:rPr>
            </w:pPr>
            <w:r w:rsidRPr="00CC18AA">
              <w:rPr>
                <w:rFonts w:cs="Arial"/>
                <w:szCs w:val="20"/>
                <w:lang w:val="en-US"/>
              </w:rPr>
              <w:t>--</w:t>
            </w:r>
          </w:p>
        </w:tc>
      </w:tr>
      <w:tr w:rsidR="005F23F1" w:rsidRPr="00E23B8D" w:rsidTr="00CC18AA">
        <w:trPr>
          <w:trHeight w:hRule="exact" w:val="397"/>
        </w:trPr>
        <w:tc>
          <w:tcPr>
            <w:tcW w:w="1021" w:type="pct"/>
            <w:vMerge/>
            <w:shd w:val="clear" w:color="auto" w:fill="auto"/>
            <w:vAlign w:val="center"/>
          </w:tcPr>
          <w:p w:rsidR="00233D04" w:rsidRPr="00CC18AA" w:rsidRDefault="00233D04" w:rsidP="00CC18AA">
            <w:pPr>
              <w:spacing w:before="60"/>
              <w:jc w:val="left"/>
              <w:rPr>
                <w:rFonts w:cs="Arial"/>
                <w:bCs/>
                <w:szCs w:val="20"/>
                <w:lang w:val="en-US"/>
              </w:rPr>
            </w:pPr>
          </w:p>
        </w:tc>
        <w:tc>
          <w:tcPr>
            <w:tcW w:w="568" w:type="pct"/>
            <w:shd w:val="clear" w:color="auto" w:fill="auto"/>
            <w:vAlign w:val="center"/>
          </w:tcPr>
          <w:p w:rsidR="00233D04" w:rsidRPr="00CC18AA" w:rsidRDefault="00233D04" w:rsidP="00CC18AA">
            <w:pPr>
              <w:spacing w:before="60"/>
              <w:jc w:val="center"/>
              <w:rPr>
                <w:rFonts w:cs="Arial"/>
                <w:i/>
                <w:szCs w:val="20"/>
                <w:lang w:val="en-US"/>
              </w:rPr>
            </w:pPr>
            <w:r w:rsidRPr="00CC18AA">
              <w:rPr>
                <w:rFonts w:cs="Arial"/>
                <w:i/>
                <w:szCs w:val="20"/>
                <w:lang w:val="en-US"/>
              </w:rPr>
              <w:t>P</w:t>
            </w:r>
          </w:p>
        </w:tc>
        <w:tc>
          <w:tcPr>
            <w:tcW w:w="853" w:type="pct"/>
            <w:shd w:val="clear" w:color="auto" w:fill="auto"/>
            <w:vAlign w:val="center"/>
          </w:tcPr>
          <w:p w:rsidR="00233D04" w:rsidRPr="00CC18AA" w:rsidRDefault="00233D04" w:rsidP="00CC18AA">
            <w:pPr>
              <w:spacing w:before="60"/>
              <w:jc w:val="center"/>
              <w:rPr>
                <w:rFonts w:cs="Arial"/>
                <w:szCs w:val="20"/>
                <w:lang w:val="en-US"/>
              </w:rPr>
            </w:pPr>
            <w:r w:rsidRPr="00CC18AA">
              <w:rPr>
                <w:rFonts w:cs="Arial"/>
                <w:szCs w:val="20"/>
                <w:lang w:val="en-US"/>
              </w:rPr>
              <w:t>--</w:t>
            </w:r>
          </w:p>
        </w:tc>
        <w:tc>
          <w:tcPr>
            <w:tcW w:w="853" w:type="pct"/>
            <w:shd w:val="clear" w:color="auto" w:fill="F2F2F2"/>
            <w:vAlign w:val="center"/>
          </w:tcPr>
          <w:p w:rsidR="00233D04" w:rsidRPr="00CC18AA" w:rsidRDefault="00233D04" w:rsidP="00CC18AA">
            <w:pPr>
              <w:spacing w:before="60"/>
              <w:jc w:val="center"/>
              <w:rPr>
                <w:rFonts w:cs="Arial"/>
                <w:szCs w:val="20"/>
                <w:lang w:val="en-US"/>
              </w:rPr>
            </w:pPr>
            <w:r w:rsidRPr="00CC18AA">
              <w:rPr>
                <w:rFonts w:cs="Arial"/>
                <w:szCs w:val="20"/>
                <w:lang w:val="en-US"/>
              </w:rPr>
              <w:t>&lt;0.001</w:t>
            </w:r>
          </w:p>
        </w:tc>
        <w:tc>
          <w:tcPr>
            <w:tcW w:w="853" w:type="pct"/>
            <w:shd w:val="clear" w:color="auto" w:fill="F2F2F2"/>
            <w:vAlign w:val="center"/>
          </w:tcPr>
          <w:p w:rsidR="00233D04" w:rsidRPr="00CC18AA" w:rsidRDefault="00233D04" w:rsidP="00CC18AA">
            <w:pPr>
              <w:spacing w:before="60"/>
              <w:jc w:val="center"/>
              <w:rPr>
                <w:rFonts w:cs="Arial"/>
                <w:szCs w:val="20"/>
                <w:lang w:val="en-US"/>
              </w:rPr>
            </w:pPr>
            <w:r w:rsidRPr="00CC18AA">
              <w:rPr>
                <w:rFonts w:cs="Arial"/>
                <w:szCs w:val="20"/>
                <w:lang w:val="en-US"/>
              </w:rPr>
              <w:t>0.031</w:t>
            </w:r>
          </w:p>
        </w:tc>
        <w:tc>
          <w:tcPr>
            <w:tcW w:w="853" w:type="pct"/>
            <w:shd w:val="clear" w:color="auto" w:fill="auto"/>
            <w:vAlign w:val="center"/>
          </w:tcPr>
          <w:p w:rsidR="00233D04" w:rsidRPr="00CC18AA" w:rsidRDefault="00233D04" w:rsidP="00CC18AA">
            <w:pPr>
              <w:spacing w:before="60"/>
              <w:jc w:val="center"/>
              <w:rPr>
                <w:rFonts w:cs="Arial"/>
                <w:szCs w:val="20"/>
                <w:lang w:val="en-US"/>
              </w:rPr>
            </w:pPr>
            <w:r w:rsidRPr="00CC18AA">
              <w:rPr>
                <w:rFonts w:cs="Arial"/>
                <w:szCs w:val="20"/>
                <w:lang w:val="en-US"/>
              </w:rPr>
              <w:t>--</w:t>
            </w:r>
          </w:p>
        </w:tc>
      </w:tr>
      <w:tr w:rsidR="005F23F1" w:rsidRPr="00E23B8D" w:rsidTr="00CC18AA">
        <w:trPr>
          <w:trHeight w:hRule="exact" w:val="397"/>
        </w:trPr>
        <w:tc>
          <w:tcPr>
            <w:tcW w:w="1021" w:type="pct"/>
            <w:vMerge w:val="restart"/>
            <w:shd w:val="clear" w:color="auto" w:fill="auto"/>
            <w:vAlign w:val="center"/>
          </w:tcPr>
          <w:p w:rsidR="00233D04" w:rsidRPr="00CC18AA" w:rsidRDefault="00711EE3" w:rsidP="00CC18AA">
            <w:pPr>
              <w:spacing w:before="60"/>
              <w:jc w:val="left"/>
              <w:rPr>
                <w:rFonts w:cs="Arial"/>
                <w:bCs/>
                <w:szCs w:val="20"/>
                <w:lang w:val="en-US"/>
              </w:rPr>
            </w:pPr>
            <w:r w:rsidRPr="00CC18AA">
              <w:rPr>
                <w:rFonts w:cs="Arial"/>
                <w:bCs/>
                <w:szCs w:val="20"/>
                <w:lang w:val="en-US"/>
              </w:rPr>
              <w:t>b</w:t>
            </w:r>
            <w:r w:rsidR="00233D04" w:rsidRPr="00CC18AA">
              <w:rPr>
                <w:rFonts w:cs="Arial"/>
                <w:bCs/>
                <w:szCs w:val="20"/>
                <w:lang w:val="en-US"/>
              </w:rPr>
              <w:t>ony herring</w:t>
            </w:r>
          </w:p>
        </w:tc>
        <w:tc>
          <w:tcPr>
            <w:tcW w:w="568" w:type="pct"/>
            <w:shd w:val="clear" w:color="auto" w:fill="auto"/>
            <w:vAlign w:val="center"/>
          </w:tcPr>
          <w:p w:rsidR="00233D04" w:rsidRPr="00CC18AA" w:rsidRDefault="00233D04" w:rsidP="00CC18AA">
            <w:pPr>
              <w:spacing w:before="60"/>
              <w:jc w:val="center"/>
              <w:rPr>
                <w:rFonts w:cs="Arial"/>
                <w:i/>
                <w:szCs w:val="20"/>
                <w:lang w:val="en-US"/>
              </w:rPr>
            </w:pPr>
            <w:r w:rsidRPr="00CC18AA">
              <w:rPr>
                <w:rFonts w:cs="Arial"/>
                <w:i/>
                <w:szCs w:val="20"/>
                <w:lang w:val="en-US"/>
              </w:rPr>
              <w:t>Z</w:t>
            </w:r>
          </w:p>
        </w:tc>
        <w:tc>
          <w:tcPr>
            <w:tcW w:w="853" w:type="pct"/>
            <w:shd w:val="clear" w:color="auto" w:fill="auto"/>
            <w:vAlign w:val="center"/>
          </w:tcPr>
          <w:p w:rsidR="00233D04" w:rsidRPr="00CC18AA" w:rsidRDefault="00233D04" w:rsidP="00CC18AA">
            <w:pPr>
              <w:spacing w:before="60"/>
              <w:jc w:val="center"/>
              <w:rPr>
                <w:rFonts w:cs="Arial"/>
                <w:szCs w:val="20"/>
                <w:lang w:val="en-US"/>
              </w:rPr>
            </w:pPr>
            <w:r w:rsidRPr="00CC18AA">
              <w:rPr>
                <w:rFonts w:cs="Arial"/>
                <w:szCs w:val="20"/>
                <w:lang w:val="en-US"/>
              </w:rPr>
              <w:t>1.033</w:t>
            </w:r>
          </w:p>
        </w:tc>
        <w:tc>
          <w:tcPr>
            <w:tcW w:w="853" w:type="pct"/>
            <w:shd w:val="clear" w:color="auto" w:fill="F2F2F2"/>
            <w:vAlign w:val="center"/>
          </w:tcPr>
          <w:p w:rsidR="00233D04" w:rsidRPr="00CC18AA" w:rsidRDefault="00233D04" w:rsidP="00CC18AA">
            <w:pPr>
              <w:spacing w:before="60"/>
              <w:jc w:val="center"/>
              <w:rPr>
                <w:rFonts w:cs="Arial"/>
                <w:szCs w:val="20"/>
                <w:lang w:val="en-US"/>
              </w:rPr>
            </w:pPr>
            <w:r w:rsidRPr="00CC18AA">
              <w:rPr>
                <w:rFonts w:cs="Arial"/>
                <w:szCs w:val="20"/>
                <w:lang w:val="en-US"/>
              </w:rPr>
              <w:t>2.637</w:t>
            </w:r>
          </w:p>
        </w:tc>
        <w:tc>
          <w:tcPr>
            <w:tcW w:w="853" w:type="pct"/>
            <w:shd w:val="clear" w:color="auto" w:fill="auto"/>
            <w:vAlign w:val="center"/>
          </w:tcPr>
          <w:p w:rsidR="00233D04" w:rsidRPr="00CC18AA" w:rsidRDefault="00233D04" w:rsidP="00CC18AA">
            <w:pPr>
              <w:spacing w:before="60"/>
              <w:jc w:val="center"/>
              <w:rPr>
                <w:rFonts w:cs="Arial"/>
                <w:szCs w:val="20"/>
                <w:lang w:val="en-US"/>
              </w:rPr>
            </w:pPr>
            <w:r w:rsidRPr="00CC18AA">
              <w:rPr>
                <w:rFonts w:cs="Arial"/>
                <w:szCs w:val="20"/>
                <w:lang w:val="en-US"/>
              </w:rPr>
              <w:t>0.534</w:t>
            </w:r>
          </w:p>
        </w:tc>
        <w:tc>
          <w:tcPr>
            <w:tcW w:w="853" w:type="pct"/>
            <w:shd w:val="clear" w:color="auto" w:fill="F2F2F2"/>
            <w:vAlign w:val="center"/>
          </w:tcPr>
          <w:p w:rsidR="00233D04" w:rsidRPr="00CC18AA" w:rsidRDefault="00233D04" w:rsidP="00CC18AA">
            <w:pPr>
              <w:spacing w:before="60"/>
              <w:jc w:val="center"/>
              <w:rPr>
                <w:rFonts w:cs="Arial"/>
                <w:szCs w:val="20"/>
                <w:lang w:val="en-US"/>
              </w:rPr>
            </w:pPr>
            <w:r w:rsidRPr="00CC18AA">
              <w:rPr>
                <w:rFonts w:cs="Arial"/>
                <w:szCs w:val="20"/>
                <w:lang w:val="en-US"/>
              </w:rPr>
              <w:t>4.300</w:t>
            </w:r>
          </w:p>
        </w:tc>
      </w:tr>
      <w:tr w:rsidR="005F23F1" w:rsidRPr="00E23B8D" w:rsidTr="00CC18AA">
        <w:trPr>
          <w:trHeight w:hRule="exact" w:val="397"/>
        </w:trPr>
        <w:tc>
          <w:tcPr>
            <w:tcW w:w="1021" w:type="pct"/>
            <w:vMerge/>
            <w:shd w:val="clear" w:color="auto" w:fill="auto"/>
            <w:vAlign w:val="center"/>
          </w:tcPr>
          <w:p w:rsidR="00233D04" w:rsidRPr="00CC18AA" w:rsidRDefault="00233D04" w:rsidP="00CC18AA">
            <w:pPr>
              <w:spacing w:before="60"/>
              <w:jc w:val="left"/>
              <w:rPr>
                <w:rFonts w:cs="Arial"/>
                <w:bCs/>
                <w:szCs w:val="20"/>
                <w:lang w:val="en-US"/>
              </w:rPr>
            </w:pPr>
          </w:p>
        </w:tc>
        <w:tc>
          <w:tcPr>
            <w:tcW w:w="568" w:type="pct"/>
            <w:shd w:val="clear" w:color="auto" w:fill="auto"/>
            <w:vAlign w:val="center"/>
          </w:tcPr>
          <w:p w:rsidR="00233D04" w:rsidRPr="00CC18AA" w:rsidRDefault="00233D04" w:rsidP="00CC18AA">
            <w:pPr>
              <w:spacing w:before="60"/>
              <w:jc w:val="center"/>
              <w:rPr>
                <w:rFonts w:cs="Arial"/>
                <w:i/>
                <w:szCs w:val="20"/>
                <w:lang w:val="en-US"/>
              </w:rPr>
            </w:pPr>
            <w:r w:rsidRPr="00CC18AA">
              <w:rPr>
                <w:rFonts w:cs="Arial"/>
                <w:i/>
                <w:szCs w:val="20"/>
                <w:lang w:val="en-US"/>
              </w:rPr>
              <w:t>P</w:t>
            </w:r>
          </w:p>
        </w:tc>
        <w:tc>
          <w:tcPr>
            <w:tcW w:w="853" w:type="pct"/>
            <w:shd w:val="clear" w:color="auto" w:fill="auto"/>
            <w:vAlign w:val="center"/>
          </w:tcPr>
          <w:p w:rsidR="00233D04" w:rsidRPr="00CC18AA" w:rsidRDefault="00233D04" w:rsidP="00CC18AA">
            <w:pPr>
              <w:spacing w:before="60"/>
              <w:jc w:val="center"/>
              <w:rPr>
                <w:rFonts w:cs="Arial"/>
                <w:szCs w:val="20"/>
                <w:lang w:val="en-US"/>
              </w:rPr>
            </w:pPr>
            <w:r w:rsidRPr="00CC18AA">
              <w:rPr>
                <w:rFonts w:cs="Arial"/>
                <w:szCs w:val="20"/>
                <w:lang w:val="en-US"/>
              </w:rPr>
              <w:t>0.236</w:t>
            </w:r>
          </w:p>
        </w:tc>
        <w:tc>
          <w:tcPr>
            <w:tcW w:w="853" w:type="pct"/>
            <w:shd w:val="clear" w:color="auto" w:fill="F2F2F2"/>
            <w:vAlign w:val="center"/>
          </w:tcPr>
          <w:p w:rsidR="00233D04" w:rsidRPr="00CC18AA" w:rsidRDefault="00233D04" w:rsidP="00CC18AA">
            <w:pPr>
              <w:spacing w:before="60"/>
              <w:jc w:val="center"/>
              <w:rPr>
                <w:rFonts w:cs="Arial"/>
                <w:szCs w:val="20"/>
                <w:lang w:val="en-US"/>
              </w:rPr>
            </w:pPr>
            <w:r w:rsidRPr="00CC18AA">
              <w:rPr>
                <w:rFonts w:cs="Arial"/>
                <w:szCs w:val="20"/>
                <w:lang w:val="en-US"/>
              </w:rPr>
              <w:t>&lt;0.001</w:t>
            </w:r>
          </w:p>
        </w:tc>
        <w:tc>
          <w:tcPr>
            <w:tcW w:w="853" w:type="pct"/>
            <w:shd w:val="clear" w:color="auto" w:fill="auto"/>
            <w:vAlign w:val="center"/>
          </w:tcPr>
          <w:p w:rsidR="00233D04" w:rsidRPr="00CC18AA" w:rsidRDefault="00233D04" w:rsidP="00CC18AA">
            <w:pPr>
              <w:spacing w:before="60"/>
              <w:jc w:val="center"/>
              <w:rPr>
                <w:rFonts w:cs="Arial"/>
                <w:szCs w:val="20"/>
                <w:lang w:val="en-US"/>
              </w:rPr>
            </w:pPr>
            <w:r w:rsidRPr="00CC18AA">
              <w:rPr>
                <w:rFonts w:cs="Arial"/>
                <w:szCs w:val="20"/>
                <w:lang w:val="en-US"/>
              </w:rPr>
              <w:t>0.938</w:t>
            </w:r>
          </w:p>
        </w:tc>
        <w:tc>
          <w:tcPr>
            <w:tcW w:w="853" w:type="pct"/>
            <w:shd w:val="clear" w:color="auto" w:fill="F2F2F2"/>
            <w:vAlign w:val="center"/>
          </w:tcPr>
          <w:p w:rsidR="00233D04" w:rsidRPr="00CC18AA" w:rsidRDefault="00233D04" w:rsidP="00CC18AA">
            <w:pPr>
              <w:spacing w:before="60"/>
              <w:jc w:val="center"/>
              <w:rPr>
                <w:rFonts w:cs="Arial"/>
                <w:szCs w:val="20"/>
                <w:lang w:val="en-US"/>
              </w:rPr>
            </w:pPr>
            <w:r w:rsidRPr="00CC18AA">
              <w:rPr>
                <w:rFonts w:cs="Arial"/>
                <w:szCs w:val="20"/>
                <w:lang w:val="en-US"/>
              </w:rPr>
              <w:t>&lt;0.001</w:t>
            </w:r>
          </w:p>
        </w:tc>
      </w:tr>
      <w:tr w:rsidR="005F23F1" w:rsidRPr="00E23B8D" w:rsidTr="00CC18AA">
        <w:trPr>
          <w:trHeight w:hRule="exact" w:val="397"/>
        </w:trPr>
        <w:tc>
          <w:tcPr>
            <w:tcW w:w="1021" w:type="pct"/>
            <w:vMerge w:val="restart"/>
            <w:shd w:val="clear" w:color="auto" w:fill="auto"/>
            <w:vAlign w:val="center"/>
          </w:tcPr>
          <w:p w:rsidR="00233D04" w:rsidRPr="00CC18AA" w:rsidRDefault="00711EE3" w:rsidP="00CC18AA">
            <w:pPr>
              <w:spacing w:before="60"/>
              <w:jc w:val="left"/>
              <w:rPr>
                <w:rFonts w:cs="Arial"/>
                <w:bCs/>
                <w:szCs w:val="20"/>
                <w:lang w:val="en-US"/>
              </w:rPr>
            </w:pPr>
            <w:r w:rsidRPr="00CC18AA">
              <w:rPr>
                <w:rFonts w:cs="Arial"/>
                <w:bCs/>
                <w:szCs w:val="20"/>
                <w:lang w:val="en-US"/>
              </w:rPr>
              <w:t>c</w:t>
            </w:r>
            <w:r w:rsidR="00233D04" w:rsidRPr="00CC18AA">
              <w:rPr>
                <w:rFonts w:cs="Arial"/>
                <w:bCs/>
                <w:szCs w:val="20"/>
                <w:lang w:val="en-US"/>
              </w:rPr>
              <w:t>arp gudgeon</w:t>
            </w:r>
          </w:p>
        </w:tc>
        <w:tc>
          <w:tcPr>
            <w:tcW w:w="568" w:type="pct"/>
            <w:shd w:val="clear" w:color="auto" w:fill="auto"/>
            <w:vAlign w:val="center"/>
          </w:tcPr>
          <w:p w:rsidR="00233D04" w:rsidRPr="00CC18AA" w:rsidRDefault="00233D04" w:rsidP="00CC18AA">
            <w:pPr>
              <w:spacing w:before="60"/>
              <w:jc w:val="center"/>
              <w:rPr>
                <w:rFonts w:cs="Arial"/>
                <w:i/>
                <w:szCs w:val="20"/>
                <w:lang w:val="en-US"/>
              </w:rPr>
            </w:pPr>
            <w:r w:rsidRPr="00CC18AA">
              <w:rPr>
                <w:rFonts w:cs="Arial"/>
                <w:i/>
                <w:szCs w:val="20"/>
                <w:lang w:val="en-US"/>
              </w:rPr>
              <w:t>Z</w:t>
            </w:r>
          </w:p>
        </w:tc>
        <w:tc>
          <w:tcPr>
            <w:tcW w:w="853" w:type="pct"/>
            <w:shd w:val="clear" w:color="auto" w:fill="auto"/>
            <w:vAlign w:val="center"/>
          </w:tcPr>
          <w:p w:rsidR="00233D04" w:rsidRPr="00CC18AA" w:rsidRDefault="00233D04" w:rsidP="00CC18AA">
            <w:pPr>
              <w:spacing w:before="60"/>
              <w:jc w:val="center"/>
              <w:rPr>
                <w:rFonts w:cs="Arial"/>
                <w:szCs w:val="20"/>
                <w:lang w:val="en-US"/>
              </w:rPr>
            </w:pPr>
            <w:r w:rsidRPr="00CC18AA">
              <w:rPr>
                <w:rFonts w:cs="Arial"/>
                <w:szCs w:val="20"/>
                <w:lang w:val="en-US"/>
              </w:rPr>
              <w:t>0.995</w:t>
            </w:r>
          </w:p>
        </w:tc>
        <w:tc>
          <w:tcPr>
            <w:tcW w:w="853" w:type="pct"/>
            <w:shd w:val="clear" w:color="auto" w:fill="F2F2F2"/>
            <w:vAlign w:val="center"/>
          </w:tcPr>
          <w:p w:rsidR="00233D04" w:rsidRPr="00CC18AA" w:rsidRDefault="00233D04" w:rsidP="00CC18AA">
            <w:pPr>
              <w:spacing w:before="60"/>
              <w:jc w:val="center"/>
              <w:rPr>
                <w:rFonts w:cs="Arial"/>
                <w:szCs w:val="20"/>
                <w:lang w:val="en-US"/>
              </w:rPr>
            </w:pPr>
            <w:r w:rsidRPr="00CC18AA">
              <w:rPr>
                <w:rFonts w:cs="Arial"/>
                <w:szCs w:val="20"/>
                <w:lang w:val="en-US"/>
              </w:rPr>
              <w:t>1.619</w:t>
            </w:r>
          </w:p>
        </w:tc>
        <w:tc>
          <w:tcPr>
            <w:tcW w:w="853" w:type="pct"/>
            <w:shd w:val="clear" w:color="auto" w:fill="auto"/>
            <w:vAlign w:val="center"/>
          </w:tcPr>
          <w:p w:rsidR="00233D04" w:rsidRPr="00CC18AA" w:rsidRDefault="00233D04" w:rsidP="00CC18AA">
            <w:pPr>
              <w:spacing w:before="60"/>
              <w:jc w:val="center"/>
              <w:rPr>
                <w:rFonts w:cs="Arial"/>
                <w:szCs w:val="20"/>
                <w:lang w:val="en-US"/>
              </w:rPr>
            </w:pPr>
            <w:r w:rsidRPr="00CC18AA">
              <w:rPr>
                <w:rFonts w:cs="Arial"/>
                <w:szCs w:val="20"/>
                <w:lang w:val="en-US"/>
              </w:rPr>
              <w:t>0.354</w:t>
            </w:r>
          </w:p>
        </w:tc>
        <w:tc>
          <w:tcPr>
            <w:tcW w:w="853" w:type="pct"/>
            <w:shd w:val="clear" w:color="auto" w:fill="auto"/>
            <w:vAlign w:val="center"/>
          </w:tcPr>
          <w:p w:rsidR="00233D04" w:rsidRPr="00CC18AA" w:rsidRDefault="00233D04" w:rsidP="00CC18AA">
            <w:pPr>
              <w:spacing w:before="60"/>
              <w:jc w:val="center"/>
              <w:rPr>
                <w:rFonts w:cs="Arial"/>
                <w:szCs w:val="20"/>
                <w:lang w:val="en-US"/>
              </w:rPr>
            </w:pPr>
            <w:r w:rsidRPr="00CC18AA">
              <w:rPr>
                <w:rFonts w:cs="Arial"/>
                <w:szCs w:val="20"/>
                <w:lang w:val="en-US"/>
              </w:rPr>
              <w:t>--</w:t>
            </w:r>
          </w:p>
        </w:tc>
      </w:tr>
      <w:tr w:rsidR="005F23F1" w:rsidRPr="00E23B8D" w:rsidTr="00CC18AA">
        <w:trPr>
          <w:trHeight w:hRule="exact" w:val="397"/>
        </w:trPr>
        <w:tc>
          <w:tcPr>
            <w:tcW w:w="1021" w:type="pct"/>
            <w:vMerge/>
            <w:shd w:val="clear" w:color="auto" w:fill="auto"/>
            <w:vAlign w:val="center"/>
          </w:tcPr>
          <w:p w:rsidR="00233D04" w:rsidRPr="00CC18AA" w:rsidRDefault="00233D04" w:rsidP="00CC18AA">
            <w:pPr>
              <w:spacing w:before="60"/>
              <w:jc w:val="left"/>
              <w:rPr>
                <w:rFonts w:cs="Arial"/>
                <w:bCs/>
                <w:szCs w:val="20"/>
                <w:lang w:val="en-US"/>
              </w:rPr>
            </w:pPr>
          </w:p>
        </w:tc>
        <w:tc>
          <w:tcPr>
            <w:tcW w:w="568" w:type="pct"/>
            <w:shd w:val="clear" w:color="auto" w:fill="auto"/>
            <w:vAlign w:val="center"/>
          </w:tcPr>
          <w:p w:rsidR="00233D04" w:rsidRPr="00CC18AA" w:rsidRDefault="00233D04" w:rsidP="00CC18AA">
            <w:pPr>
              <w:spacing w:before="60"/>
              <w:jc w:val="center"/>
              <w:rPr>
                <w:rFonts w:cs="Arial"/>
                <w:i/>
                <w:szCs w:val="20"/>
                <w:lang w:val="en-US"/>
              </w:rPr>
            </w:pPr>
            <w:r w:rsidRPr="00CC18AA">
              <w:rPr>
                <w:rFonts w:cs="Arial"/>
                <w:i/>
                <w:szCs w:val="20"/>
                <w:lang w:val="en-US"/>
              </w:rPr>
              <w:t>P</w:t>
            </w:r>
          </w:p>
        </w:tc>
        <w:tc>
          <w:tcPr>
            <w:tcW w:w="853" w:type="pct"/>
            <w:shd w:val="clear" w:color="auto" w:fill="auto"/>
            <w:vAlign w:val="center"/>
          </w:tcPr>
          <w:p w:rsidR="00233D04" w:rsidRPr="00CC18AA" w:rsidRDefault="00233D04" w:rsidP="00CC18AA">
            <w:pPr>
              <w:spacing w:before="60"/>
              <w:jc w:val="center"/>
              <w:rPr>
                <w:rFonts w:cs="Arial"/>
                <w:szCs w:val="20"/>
                <w:lang w:val="en-US"/>
              </w:rPr>
            </w:pPr>
            <w:r w:rsidRPr="00CC18AA">
              <w:rPr>
                <w:rFonts w:cs="Arial"/>
                <w:szCs w:val="20"/>
                <w:lang w:val="en-US"/>
              </w:rPr>
              <w:t>0.275</w:t>
            </w:r>
          </w:p>
        </w:tc>
        <w:tc>
          <w:tcPr>
            <w:tcW w:w="853" w:type="pct"/>
            <w:shd w:val="clear" w:color="auto" w:fill="F2F2F2"/>
            <w:vAlign w:val="center"/>
          </w:tcPr>
          <w:p w:rsidR="00233D04" w:rsidRPr="00CC18AA" w:rsidRDefault="00233D04" w:rsidP="00CC18AA">
            <w:pPr>
              <w:spacing w:before="60"/>
              <w:jc w:val="center"/>
              <w:rPr>
                <w:rFonts w:cs="Arial"/>
                <w:szCs w:val="20"/>
                <w:lang w:val="en-US"/>
              </w:rPr>
            </w:pPr>
            <w:r w:rsidRPr="00CC18AA">
              <w:rPr>
                <w:rFonts w:cs="Arial"/>
                <w:szCs w:val="20"/>
                <w:lang w:val="en-US"/>
              </w:rPr>
              <w:t>0.011</w:t>
            </w:r>
          </w:p>
        </w:tc>
        <w:tc>
          <w:tcPr>
            <w:tcW w:w="853" w:type="pct"/>
            <w:shd w:val="clear" w:color="auto" w:fill="auto"/>
            <w:vAlign w:val="center"/>
          </w:tcPr>
          <w:p w:rsidR="00233D04" w:rsidRPr="00CC18AA" w:rsidRDefault="00233D04" w:rsidP="00CC18AA">
            <w:pPr>
              <w:spacing w:before="60"/>
              <w:jc w:val="center"/>
              <w:rPr>
                <w:rFonts w:cs="Arial"/>
                <w:szCs w:val="20"/>
                <w:lang w:val="en-US"/>
              </w:rPr>
            </w:pPr>
            <w:r w:rsidRPr="00CC18AA">
              <w:rPr>
                <w:rFonts w:cs="Arial"/>
                <w:szCs w:val="20"/>
                <w:lang w:val="en-US"/>
              </w:rPr>
              <w:t>1.000</w:t>
            </w:r>
          </w:p>
        </w:tc>
        <w:tc>
          <w:tcPr>
            <w:tcW w:w="853" w:type="pct"/>
            <w:shd w:val="clear" w:color="auto" w:fill="auto"/>
            <w:vAlign w:val="center"/>
          </w:tcPr>
          <w:p w:rsidR="00233D04" w:rsidRPr="00CC18AA" w:rsidRDefault="00233D04" w:rsidP="00CC18AA">
            <w:pPr>
              <w:spacing w:before="60"/>
              <w:jc w:val="center"/>
              <w:rPr>
                <w:rFonts w:cs="Arial"/>
                <w:szCs w:val="20"/>
                <w:lang w:val="en-US"/>
              </w:rPr>
            </w:pPr>
            <w:r w:rsidRPr="00CC18AA">
              <w:rPr>
                <w:rFonts w:cs="Arial"/>
                <w:szCs w:val="20"/>
                <w:lang w:val="en-US"/>
              </w:rPr>
              <w:t>--</w:t>
            </w:r>
          </w:p>
        </w:tc>
      </w:tr>
      <w:tr w:rsidR="005F23F1" w:rsidRPr="00E23B8D" w:rsidTr="00CC18AA">
        <w:trPr>
          <w:trHeight w:hRule="exact" w:val="397"/>
        </w:trPr>
        <w:tc>
          <w:tcPr>
            <w:tcW w:w="1021" w:type="pct"/>
            <w:vMerge w:val="restart"/>
            <w:shd w:val="clear" w:color="auto" w:fill="auto"/>
            <w:vAlign w:val="center"/>
          </w:tcPr>
          <w:p w:rsidR="00233D04" w:rsidRPr="00CC18AA" w:rsidRDefault="00711EE3" w:rsidP="00CC18AA">
            <w:pPr>
              <w:spacing w:before="60"/>
              <w:jc w:val="left"/>
              <w:rPr>
                <w:rFonts w:cs="Arial"/>
                <w:bCs/>
                <w:szCs w:val="20"/>
                <w:lang w:val="en-US"/>
              </w:rPr>
            </w:pPr>
            <w:r w:rsidRPr="00CC18AA">
              <w:rPr>
                <w:rFonts w:cs="Arial"/>
                <w:bCs/>
                <w:szCs w:val="20"/>
                <w:lang w:val="en-US"/>
              </w:rPr>
              <w:t>r</w:t>
            </w:r>
            <w:r w:rsidR="00233D04" w:rsidRPr="00CC18AA">
              <w:rPr>
                <w:rFonts w:cs="Arial"/>
                <w:bCs/>
                <w:szCs w:val="20"/>
                <w:lang w:val="en-US"/>
              </w:rPr>
              <w:t>ainbowfish</w:t>
            </w:r>
          </w:p>
        </w:tc>
        <w:tc>
          <w:tcPr>
            <w:tcW w:w="568" w:type="pct"/>
            <w:shd w:val="clear" w:color="auto" w:fill="auto"/>
            <w:vAlign w:val="center"/>
          </w:tcPr>
          <w:p w:rsidR="00233D04" w:rsidRPr="00CC18AA" w:rsidRDefault="00233D04" w:rsidP="00CC18AA">
            <w:pPr>
              <w:spacing w:before="60"/>
              <w:jc w:val="center"/>
              <w:rPr>
                <w:rFonts w:cs="Arial"/>
                <w:i/>
                <w:szCs w:val="20"/>
                <w:lang w:val="en-US"/>
              </w:rPr>
            </w:pPr>
            <w:r w:rsidRPr="00CC18AA">
              <w:rPr>
                <w:rFonts w:cs="Arial"/>
                <w:i/>
                <w:szCs w:val="20"/>
                <w:lang w:val="en-US"/>
              </w:rPr>
              <w:t>Z</w:t>
            </w:r>
          </w:p>
        </w:tc>
        <w:tc>
          <w:tcPr>
            <w:tcW w:w="853" w:type="pct"/>
            <w:shd w:val="clear" w:color="auto" w:fill="auto"/>
            <w:vAlign w:val="center"/>
          </w:tcPr>
          <w:p w:rsidR="00233D04" w:rsidRPr="00CC18AA" w:rsidRDefault="00233D04" w:rsidP="00CC18AA">
            <w:pPr>
              <w:spacing w:before="60"/>
              <w:jc w:val="center"/>
              <w:rPr>
                <w:rFonts w:cs="Arial"/>
                <w:szCs w:val="20"/>
                <w:lang w:val="en-US"/>
              </w:rPr>
            </w:pPr>
            <w:r w:rsidRPr="00CC18AA">
              <w:rPr>
                <w:rFonts w:cs="Arial"/>
                <w:szCs w:val="20"/>
                <w:lang w:val="en-US"/>
              </w:rPr>
              <w:t>--</w:t>
            </w:r>
          </w:p>
        </w:tc>
        <w:tc>
          <w:tcPr>
            <w:tcW w:w="853" w:type="pct"/>
            <w:shd w:val="clear" w:color="auto" w:fill="auto"/>
            <w:vAlign w:val="center"/>
          </w:tcPr>
          <w:p w:rsidR="00233D04" w:rsidRPr="00CC18AA" w:rsidRDefault="00233D04" w:rsidP="00CC18AA">
            <w:pPr>
              <w:spacing w:before="60"/>
              <w:jc w:val="center"/>
              <w:rPr>
                <w:rFonts w:cs="Arial"/>
                <w:szCs w:val="20"/>
                <w:lang w:val="en-US"/>
              </w:rPr>
            </w:pPr>
            <w:r w:rsidRPr="00CC18AA">
              <w:rPr>
                <w:rFonts w:cs="Arial"/>
                <w:szCs w:val="20"/>
                <w:lang w:val="en-US"/>
              </w:rPr>
              <w:t>--</w:t>
            </w:r>
          </w:p>
        </w:tc>
        <w:tc>
          <w:tcPr>
            <w:tcW w:w="853" w:type="pct"/>
            <w:shd w:val="clear" w:color="auto" w:fill="auto"/>
            <w:vAlign w:val="center"/>
          </w:tcPr>
          <w:p w:rsidR="00233D04" w:rsidRPr="00CC18AA" w:rsidRDefault="00233D04" w:rsidP="00CC18AA">
            <w:pPr>
              <w:spacing w:before="60"/>
              <w:jc w:val="center"/>
              <w:rPr>
                <w:rFonts w:cs="Arial"/>
                <w:szCs w:val="20"/>
                <w:lang w:val="en-US"/>
              </w:rPr>
            </w:pPr>
            <w:r w:rsidRPr="00CC18AA">
              <w:rPr>
                <w:rFonts w:cs="Arial"/>
                <w:szCs w:val="20"/>
                <w:lang w:val="en-US"/>
              </w:rPr>
              <w:t>--</w:t>
            </w:r>
          </w:p>
        </w:tc>
        <w:tc>
          <w:tcPr>
            <w:tcW w:w="853" w:type="pct"/>
            <w:shd w:val="clear" w:color="auto" w:fill="auto"/>
            <w:vAlign w:val="center"/>
          </w:tcPr>
          <w:p w:rsidR="00233D04" w:rsidRPr="00CC18AA" w:rsidRDefault="00233D04" w:rsidP="00CC18AA">
            <w:pPr>
              <w:spacing w:before="60"/>
              <w:jc w:val="center"/>
              <w:rPr>
                <w:rFonts w:cs="Arial"/>
                <w:szCs w:val="20"/>
                <w:lang w:val="en-US"/>
              </w:rPr>
            </w:pPr>
            <w:r w:rsidRPr="00CC18AA">
              <w:rPr>
                <w:rFonts w:cs="Arial"/>
                <w:szCs w:val="20"/>
                <w:lang w:val="en-US"/>
              </w:rPr>
              <w:t>--</w:t>
            </w:r>
          </w:p>
        </w:tc>
      </w:tr>
      <w:tr w:rsidR="005F23F1" w:rsidRPr="00E23B8D" w:rsidTr="00CC18AA">
        <w:trPr>
          <w:trHeight w:hRule="exact" w:val="397"/>
        </w:trPr>
        <w:tc>
          <w:tcPr>
            <w:tcW w:w="1021" w:type="pct"/>
            <w:vMerge/>
            <w:shd w:val="clear" w:color="auto" w:fill="auto"/>
            <w:vAlign w:val="center"/>
          </w:tcPr>
          <w:p w:rsidR="00233D04" w:rsidRPr="00CC18AA" w:rsidRDefault="00233D04" w:rsidP="00CC18AA">
            <w:pPr>
              <w:spacing w:before="60"/>
              <w:jc w:val="left"/>
              <w:rPr>
                <w:rFonts w:cs="Arial"/>
                <w:bCs/>
                <w:szCs w:val="20"/>
                <w:lang w:val="en-US"/>
              </w:rPr>
            </w:pPr>
          </w:p>
        </w:tc>
        <w:tc>
          <w:tcPr>
            <w:tcW w:w="568" w:type="pct"/>
            <w:shd w:val="clear" w:color="auto" w:fill="auto"/>
            <w:vAlign w:val="center"/>
          </w:tcPr>
          <w:p w:rsidR="00233D04" w:rsidRPr="00CC18AA" w:rsidRDefault="00233D04" w:rsidP="00CC18AA">
            <w:pPr>
              <w:spacing w:before="60"/>
              <w:jc w:val="center"/>
              <w:rPr>
                <w:rFonts w:cs="Arial"/>
                <w:i/>
                <w:szCs w:val="20"/>
                <w:lang w:val="en-US"/>
              </w:rPr>
            </w:pPr>
            <w:r w:rsidRPr="00CC18AA">
              <w:rPr>
                <w:rFonts w:cs="Arial"/>
                <w:i/>
                <w:szCs w:val="20"/>
                <w:lang w:val="en-US"/>
              </w:rPr>
              <w:t>P</w:t>
            </w:r>
          </w:p>
        </w:tc>
        <w:tc>
          <w:tcPr>
            <w:tcW w:w="853" w:type="pct"/>
            <w:shd w:val="clear" w:color="auto" w:fill="auto"/>
            <w:vAlign w:val="center"/>
          </w:tcPr>
          <w:p w:rsidR="00233D04" w:rsidRPr="00CC18AA" w:rsidRDefault="00233D04" w:rsidP="00CC18AA">
            <w:pPr>
              <w:spacing w:before="60"/>
              <w:jc w:val="center"/>
              <w:rPr>
                <w:rFonts w:cs="Arial"/>
                <w:szCs w:val="20"/>
                <w:lang w:val="en-US"/>
              </w:rPr>
            </w:pPr>
            <w:r w:rsidRPr="00CC18AA">
              <w:rPr>
                <w:rFonts w:cs="Arial"/>
                <w:szCs w:val="20"/>
                <w:lang w:val="en-US"/>
              </w:rPr>
              <w:t>--</w:t>
            </w:r>
          </w:p>
        </w:tc>
        <w:tc>
          <w:tcPr>
            <w:tcW w:w="853" w:type="pct"/>
            <w:shd w:val="clear" w:color="auto" w:fill="auto"/>
            <w:vAlign w:val="center"/>
          </w:tcPr>
          <w:p w:rsidR="00233D04" w:rsidRPr="00CC18AA" w:rsidRDefault="00233D04" w:rsidP="00CC18AA">
            <w:pPr>
              <w:spacing w:before="60"/>
              <w:jc w:val="center"/>
              <w:rPr>
                <w:rFonts w:cs="Arial"/>
                <w:szCs w:val="20"/>
                <w:lang w:val="en-US"/>
              </w:rPr>
            </w:pPr>
            <w:r w:rsidRPr="00CC18AA">
              <w:rPr>
                <w:rFonts w:cs="Arial"/>
                <w:szCs w:val="20"/>
                <w:lang w:val="en-US"/>
              </w:rPr>
              <w:t>--</w:t>
            </w:r>
          </w:p>
        </w:tc>
        <w:tc>
          <w:tcPr>
            <w:tcW w:w="853" w:type="pct"/>
            <w:shd w:val="clear" w:color="auto" w:fill="auto"/>
            <w:vAlign w:val="center"/>
          </w:tcPr>
          <w:p w:rsidR="00233D04" w:rsidRPr="00CC18AA" w:rsidRDefault="00233D04" w:rsidP="00CC18AA">
            <w:pPr>
              <w:spacing w:before="60"/>
              <w:jc w:val="center"/>
              <w:rPr>
                <w:rFonts w:cs="Arial"/>
                <w:szCs w:val="20"/>
                <w:lang w:val="en-US"/>
              </w:rPr>
            </w:pPr>
            <w:r w:rsidRPr="00CC18AA">
              <w:rPr>
                <w:rFonts w:cs="Arial"/>
                <w:szCs w:val="20"/>
                <w:lang w:val="en-US"/>
              </w:rPr>
              <w:t>--</w:t>
            </w:r>
          </w:p>
        </w:tc>
        <w:tc>
          <w:tcPr>
            <w:tcW w:w="853" w:type="pct"/>
            <w:shd w:val="clear" w:color="auto" w:fill="auto"/>
            <w:vAlign w:val="center"/>
          </w:tcPr>
          <w:p w:rsidR="00233D04" w:rsidRPr="00CC18AA" w:rsidRDefault="00233D04" w:rsidP="00CC18AA">
            <w:pPr>
              <w:spacing w:before="60"/>
              <w:jc w:val="center"/>
              <w:rPr>
                <w:rFonts w:cs="Arial"/>
                <w:szCs w:val="20"/>
                <w:lang w:val="en-US"/>
              </w:rPr>
            </w:pPr>
            <w:r w:rsidRPr="00CC18AA">
              <w:rPr>
                <w:rFonts w:cs="Arial"/>
                <w:szCs w:val="20"/>
                <w:lang w:val="en-US"/>
              </w:rPr>
              <w:t>--</w:t>
            </w:r>
          </w:p>
        </w:tc>
      </w:tr>
      <w:tr w:rsidR="005F23F1" w:rsidRPr="00E23B8D" w:rsidTr="00CC18AA">
        <w:trPr>
          <w:trHeight w:hRule="exact" w:val="397"/>
        </w:trPr>
        <w:tc>
          <w:tcPr>
            <w:tcW w:w="1021" w:type="pct"/>
            <w:vMerge w:val="restart"/>
            <w:shd w:val="clear" w:color="auto" w:fill="auto"/>
            <w:vAlign w:val="center"/>
          </w:tcPr>
          <w:p w:rsidR="00233D04" w:rsidRPr="00CC18AA" w:rsidRDefault="00233D04" w:rsidP="00CC18AA">
            <w:pPr>
              <w:spacing w:before="60"/>
              <w:jc w:val="left"/>
              <w:rPr>
                <w:rFonts w:cs="Arial"/>
                <w:bCs/>
                <w:szCs w:val="20"/>
                <w:lang w:val="en-US"/>
              </w:rPr>
            </w:pPr>
            <w:r w:rsidRPr="00CC18AA">
              <w:rPr>
                <w:rFonts w:cs="Arial"/>
                <w:bCs/>
                <w:szCs w:val="20"/>
                <w:lang w:val="en-US"/>
              </w:rPr>
              <w:t>Australian smelt</w:t>
            </w:r>
          </w:p>
        </w:tc>
        <w:tc>
          <w:tcPr>
            <w:tcW w:w="568" w:type="pct"/>
            <w:shd w:val="clear" w:color="auto" w:fill="auto"/>
            <w:vAlign w:val="center"/>
          </w:tcPr>
          <w:p w:rsidR="00233D04" w:rsidRPr="00CC18AA" w:rsidRDefault="00233D04" w:rsidP="00CC18AA">
            <w:pPr>
              <w:spacing w:before="60"/>
              <w:jc w:val="center"/>
              <w:rPr>
                <w:rFonts w:cs="Arial"/>
                <w:i/>
                <w:szCs w:val="20"/>
                <w:lang w:val="en-US"/>
              </w:rPr>
            </w:pPr>
            <w:r w:rsidRPr="00CC18AA">
              <w:rPr>
                <w:rFonts w:cs="Arial"/>
                <w:i/>
                <w:szCs w:val="20"/>
                <w:lang w:val="en-US"/>
              </w:rPr>
              <w:t>Z</w:t>
            </w:r>
          </w:p>
        </w:tc>
        <w:tc>
          <w:tcPr>
            <w:tcW w:w="853" w:type="pct"/>
            <w:shd w:val="clear" w:color="auto" w:fill="auto"/>
            <w:vAlign w:val="center"/>
          </w:tcPr>
          <w:p w:rsidR="00233D04" w:rsidRPr="00CC18AA" w:rsidRDefault="00233D04" w:rsidP="00CC18AA">
            <w:pPr>
              <w:spacing w:before="60"/>
              <w:jc w:val="center"/>
              <w:rPr>
                <w:rFonts w:cs="Arial"/>
                <w:szCs w:val="20"/>
                <w:lang w:val="en-US"/>
              </w:rPr>
            </w:pPr>
            <w:r w:rsidRPr="00CC18AA">
              <w:rPr>
                <w:rFonts w:cs="Arial"/>
                <w:szCs w:val="20"/>
                <w:lang w:val="en-US"/>
              </w:rPr>
              <w:t>--</w:t>
            </w:r>
          </w:p>
        </w:tc>
        <w:tc>
          <w:tcPr>
            <w:tcW w:w="853" w:type="pct"/>
            <w:shd w:val="clear" w:color="auto" w:fill="auto"/>
            <w:vAlign w:val="center"/>
          </w:tcPr>
          <w:p w:rsidR="00233D04" w:rsidRPr="00CC18AA" w:rsidRDefault="00233D04" w:rsidP="00CC18AA">
            <w:pPr>
              <w:spacing w:before="60"/>
              <w:jc w:val="center"/>
              <w:rPr>
                <w:rFonts w:cs="Arial"/>
                <w:szCs w:val="20"/>
                <w:lang w:val="en-US"/>
              </w:rPr>
            </w:pPr>
            <w:r w:rsidRPr="00CC18AA">
              <w:rPr>
                <w:rFonts w:cs="Arial"/>
                <w:szCs w:val="20"/>
                <w:lang w:val="en-US"/>
              </w:rPr>
              <w:t>--</w:t>
            </w:r>
          </w:p>
        </w:tc>
        <w:tc>
          <w:tcPr>
            <w:tcW w:w="853" w:type="pct"/>
            <w:shd w:val="clear" w:color="auto" w:fill="auto"/>
            <w:vAlign w:val="center"/>
          </w:tcPr>
          <w:p w:rsidR="00233D04" w:rsidRPr="00CC18AA" w:rsidRDefault="00233D04" w:rsidP="00CC18AA">
            <w:pPr>
              <w:spacing w:before="60"/>
              <w:jc w:val="center"/>
              <w:rPr>
                <w:rFonts w:cs="Arial"/>
                <w:szCs w:val="20"/>
                <w:lang w:val="en-US"/>
              </w:rPr>
            </w:pPr>
            <w:r w:rsidRPr="00CC18AA">
              <w:rPr>
                <w:rFonts w:cs="Arial"/>
                <w:szCs w:val="20"/>
                <w:lang w:val="en-US"/>
              </w:rPr>
              <w:t>--</w:t>
            </w:r>
          </w:p>
        </w:tc>
        <w:tc>
          <w:tcPr>
            <w:tcW w:w="853" w:type="pct"/>
            <w:shd w:val="clear" w:color="auto" w:fill="auto"/>
            <w:vAlign w:val="center"/>
          </w:tcPr>
          <w:p w:rsidR="00233D04" w:rsidRPr="00CC18AA" w:rsidRDefault="00233D04" w:rsidP="00CC18AA">
            <w:pPr>
              <w:spacing w:before="60"/>
              <w:jc w:val="center"/>
              <w:rPr>
                <w:rFonts w:cs="Arial"/>
                <w:szCs w:val="20"/>
                <w:lang w:val="en-US"/>
              </w:rPr>
            </w:pPr>
            <w:r w:rsidRPr="00CC18AA">
              <w:rPr>
                <w:rFonts w:cs="Arial"/>
                <w:szCs w:val="20"/>
                <w:lang w:val="en-US"/>
              </w:rPr>
              <w:t>--</w:t>
            </w:r>
          </w:p>
        </w:tc>
      </w:tr>
      <w:tr w:rsidR="005F23F1" w:rsidRPr="00E23B8D" w:rsidTr="00CC18AA">
        <w:trPr>
          <w:trHeight w:hRule="exact" w:val="397"/>
        </w:trPr>
        <w:tc>
          <w:tcPr>
            <w:tcW w:w="1021" w:type="pct"/>
            <w:vMerge/>
            <w:shd w:val="clear" w:color="auto" w:fill="auto"/>
            <w:vAlign w:val="center"/>
          </w:tcPr>
          <w:p w:rsidR="00233D04" w:rsidRPr="00CC18AA" w:rsidRDefault="00233D04" w:rsidP="00CC18AA">
            <w:pPr>
              <w:spacing w:before="60"/>
              <w:jc w:val="center"/>
              <w:rPr>
                <w:rFonts w:cs="Arial"/>
                <w:bCs/>
                <w:szCs w:val="20"/>
                <w:lang w:val="en-US"/>
              </w:rPr>
            </w:pPr>
          </w:p>
        </w:tc>
        <w:tc>
          <w:tcPr>
            <w:tcW w:w="568" w:type="pct"/>
            <w:shd w:val="clear" w:color="auto" w:fill="auto"/>
            <w:vAlign w:val="center"/>
          </w:tcPr>
          <w:p w:rsidR="00233D04" w:rsidRPr="00CC18AA" w:rsidRDefault="00233D04" w:rsidP="00CC18AA">
            <w:pPr>
              <w:spacing w:before="60"/>
              <w:jc w:val="center"/>
              <w:rPr>
                <w:rFonts w:cs="Arial"/>
                <w:i/>
                <w:szCs w:val="20"/>
                <w:lang w:val="en-US"/>
              </w:rPr>
            </w:pPr>
            <w:r w:rsidRPr="00CC18AA">
              <w:rPr>
                <w:rFonts w:cs="Arial"/>
                <w:i/>
                <w:szCs w:val="20"/>
                <w:lang w:val="en-US"/>
              </w:rPr>
              <w:t>P</w:t>
            </w:r>
          </w:p>
        </w:tc>
        <w:tc>
          <w:tcPr>
            <w:tcW w:w="853" w:type="pct"/>
            <w:shd w:val="clear" w:color="auto" w:fill="auto"/>
            <w:vAlign w:val="center"/>
          </w:tcPr>
          <w:p w:rsidR="00233D04" w:rsidRPr="00CC18AA" w:rsidRDefault="00233D04" w:rsidP="00CC18AA">
            <w:pPr>
              <w:spacing w:before="60"/>
              <w:jc w:val="center"/>
              <w:rPr>
                <w:rFonts w:cs="Arial"/>
                <w:szCs w:val="20"/>
                <w:lang w:val="en-US"/>
              </w:rPr>
            </w:pPr>
            <w:r w:rsidRPr="00CC18AA">
              <w:rPr>
                <w:rFonts w:cs="Arial"/>
                <w:szCs w:val="20"/>
                <w:lang w:val="en-US"/>
              </w:rPr>
              <w:t>--</w:t>
            </w:r>
          </w:p>
        </w:tc>
        <w:tc>
          <w:tcPr>
            <w:tcW w:w="853" w:type="pct"/>
            <w:shd w:val="clear" w:color="auto" w:fill="auto"/>
            <w:vAlign w:val="center"/>
          </w:tcPr>
          <w:p w:rsidR="00233D04" w:rsidRPr="00CC18AA" w:rsidRDefault="00233D04" w:rsidP="00CC18AA">
            <w:pPr>
              <w:spacing w:before="60"/>
              <w:jc w:val="center"/>
              <w:rPr>
                <w:rFonts w:cs="Arial"/>
                <w:szCs w:val="20"/>
                <w:lang w:val="en-US"/>
              </w:rPr>
            </w:pPr>
            <w:r w:rsidRPr="00CC18AA">
              <w:rPr>
                <w:rFonts w:cs="Arial"/>
                <w:szCs w:val="20"/>
                <w:lang w:val="en-US"/>
              </w:rPr>
              <w:t>--</w:t>
            </w:r>
          </w:p>
        </w:tc>
        <w:tc>
          <w:tcPr>
            <w:tcW w:w="853" w:type="pct"/>
            <w:shd w:val="clear" w:color="auto" w:fill="auto"/>
            <w:vAlign w:val="center"/>
          </w:tcPr>
          <w:p w:rsidR="00233D04" w:rsidRPr="00CC18AA" w:rsidRDefault="00233D04" w:rsidP="00CC18AA">
            <w:pPr>
              <w:spacing w:before="60"/>
              <w:jc w:val="center"/>
              <w:rPr>
                <w:rFonts w:cs="Arial"/>
                <w:szCs w:val="20"/>
                <w:lang w:val="en-US"/>
              </w:rPr>
            </w:pPr>
            <w:r w:rsidRPr="00CC18AA">
              <w:rPr>
                <w:rFonts w:cs="Arial"/>
                <w:szCs w:val="20"/>
                <w:lang w:val="en-US"/>
              </w:rPr>
              <w:t>--</w:t>
            </w:r>
          </w:p>
        </w:tc>
        <w:tc>
          <w:tcPr>
            <w:tcW w:w="853" w:type="pct"/>
            <w:shd w:val="clear" w:color="auto" w:fill="auto"/>
            <w:vAlign w:val="center"/>
          </w:tcPr>
          <w:p w:rsidR="00233D04" w:rsidRPr="00CC18AA" w:rsidRDefault="00233D04" w:rsidP="00CC18AA">
            <w:pPr>
              <w:spacing w:before="60"/>
              <w:jc w:val="center"/>
              <w:rPr>
                <w:rFonts w:cs="Arial"/>
                <w:szCs w:val="20"/>
                <w:lang w:val="en-US"/>
              </w:rPr>
            </w:pPr>
            <w:r w:rsidRPr="00CC18AA">
              <w:rPr>
                <w:rFonts w:cs="Arial"/>
                <w:szCs w:val="20"/>
                <w:lang w:val="en-US"/>
              </w:rPr>
              <w:t>--</w:t>
            </w:r>
          </w:p>
        </w:tc>
      </w:tr>
    </w:tbl>
    <w:p w:rsidR="00233D04" w:rsidRDefault="00233D04">
      <w:pPr>
        <w:spacing w:after="0" w:line="240" w:lineRule="auto"/>
        <w:jc w:val="left"/>
        <w:rPr>
          <w:b/>
          <w:i/>
        </w:rPr>
      </w:pPr>
      <w:r>
        <w:rPr>
          <w:b/>
          <w:i/>
        </w:rPr>
        <w:br w:type="page"/>
      </w:r>
    </w:p>
    <w:p w:rsidR="00E23B8D" w:rsidRDefault="004176FF" w:rsidP="00E23B8D">
      <w:pPr>
        <w:keepNext/>
        <w:spacing w:after="0" w:line="240" w:lineRule="auto"/>
      </w:pPr>
      <w:r>
        <w:rPr>
          <w:noProof/>
          <w:lang w:eastAsia="en-AU"/>
        </w:rPr>
        <mc:AlternateContent>
          <mc:Choice Requires="wps">
            <w:drawing>
              <wp:anchor distT="0" distB="0" distL="114300" distR="114300" simplePos="0" relativeHeight="251685888" behindDoc="0" locked="0" layoutInCell="1" allowOverlap="1">
                <wp:simplePos x="0" y="0"/>
                <wp:positionH relativeFrom="column">
                  <wp:posOffset>2117725</wp:posOffset>
                </wp:positionH>
                <wp:positionV relativeFrom="paragraph">
                  <wp:posOffset>6221095</wp:posOffset>
                </wp:positionV>
                <wp:extent cx="1752600" cy="276225"/>
                <wp:effectExtent l="0" t="0" r="0" b="0"/>
                <wp:wrapNone/>
                <wp:docPr id="23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54D5" w:rsidRPr="0088653C" w:rsidRDefault="00EA54D5" w:rsidP="001E44F6">
                            <w:pPr>
                              <w:spacing w:after="80" w:line="240" w:lineRule="auto"/>
                              <w:jc w:val="right"/>
                              <w:rPr>
                                <w:sz w:val="16"/>
                                <w:szCs w:val="16"/>
                              </w:rPr>
                            </w:pPr>
                            <w:r>
                              <w:rPr>
                                <w:sz w:val="16"/>
                                <w:szCs w:val="16"/>
                              </w:rPr>
                              <w:t>75</w:t>
                            </w:r>
                          </w:p>
                          <w:p w:rsidR="00EA54D5" w:rsidRDefault="00EA54D5" w:rsidP="001E44F6">
                            <w:pPr>
                              <w:spacing w:after="80" w:line="240" w:lineRule="auto"/>
                              <w:jc w:val="right"/>
                              <w:rPr>
                                <w:sz w:val="16"/>
                                <w:szCs w:val="16"/>
                              </w:rPr>
                            </w:pPr>
                            <w:r>
                              <w:rPr>
                                <w:sz w:val="16"/>
                                <w:szCs w:val="16"/>
                              </w:rPr>
                              <w:t>175</w:t>
                            </w:r>
                          </w:p>
                          <w:p w:rsidR="00EA54D5" w:rsidRPr="0088653C" w:rsidRDefault="00EA54D5" w:rsidP="001E44F6">
                            <w:pPr>
                              <w:spacing w:after="80" w:line="240" w:lineRule="auto"/>
                              <w:jc w:val="right"/>
                              <w:rPr>
                                <w:sz w:val="16"/>
                                <w:szCs w:val="16"/>
                              </w:rPr>
                            </w:pPr>
                            <w:r>
                              <w:rPr>
                                <w:sz w:val="16"/>
                                <w:szCs w:val="16"/>
                              </w:rPr>
                              <w:t>275</w:t>
                            </w:r>
                          </w:p>
                          <w:p w:rsidR="00EA54D5" w:rsidRPr="0088653C" w:rsidRDefault="00EA54D5" w:rsidP="001E44F6">
                            <w:pPr>
                              <w:spacing w:after="80" w:line="240" w:lineRule="auto"/>
                              <w:jc w:val="right"/>
                              <w:rPr>
                                <w:sz w:val="16"/>
                                <w:szCs w:val="16"/>
                              </w:rPr>
                            </w:pPr>
                            <w:r>
                              <w:rPr>
                                <w:sz w:val="16"/>
                                <w:szCs w:val="16"/>
                              </w:rPr>
                              <w:t>375</w:t>
                            </w:r>
                          </w:p>
                          <w:p w:rsidR="00EA54D5" w:rsidRPr="0088653C" w:rsidRDefault="00EA54D5" w:rsidP="001E44F6">
                            <w:pPr>
                              <w:spacing w:after="80" w:line="240" w:lineRule="auto"/>
                              <w:jc w:val="right"/>
                              <w:rPr>
                                <w:sz w:val="16"/>
                                <w:szCs w:val="16"/>
                              </w:rPr>
                            </w:pPr>
                            <w:r>
                              <w:rPr>
                                <w:sz w:val="16"/>
                                <w:szCs w:val="16"/>
                              </w:rPr>
                              <w:t>475</w:t>
                            </w:r>
                          </w:p>
                          <w:p w:rsidR="00EA54D5" w:rsidRPr="0088653C" w:rsidRDefault="00EA54D5" w:rsidP="001E44F6">
                            <w:pPr>
                              <w:spacing w:after="80" w:line="240" w:lineRule="auto"/>
                              <w:jc w:val="right"/>
                              <w:rPr>
                                <w:sz w:val="16"/>
                                <w:szCs w:val="16"/>
                              </w:rPr>
                            </w:pPr>
                            <w:r>
                              <w:rPr>
                                <w:sz w:val="16"/>
                                <w:szCs w:val="16"/>
                              </w:rPr>
                              <w:t>575</w:t>
                            </w:r>
                          </w:p>
                          <w:p w:rsidR="00EA54D5" w:rsidRPr="0088653C" w:rsidRDefault="00EA54D5" w:rsidP="001E44F6">
                            <w:pPr>
                              <w:spacing w:after="80" w:line="240" w:lineRule="auto"/>
                              <w:jc w:val="right"/>
                              <w:rPr>
                                <w:sz w:val="16"/>
                                <w:szCs w:val="16"/>
                              </w:rPr>
                            </w:pPr>
                            <w:r>
                              <w:rPr>
                                <w:sz w:val="16"/>
                                <w:szCs w:val="16"/>
                              </w:rPr>
                              <w:t>675</w:t>
                            </w:r>
                          </w:p>
                          <w:p w:rsidR="00EA54D5" w:rsidRPr="0088653C" w:rsidRDefault="00EA54D5" w:rsidP="001E44F6">
                            <w:pPr>
                              <w:spacing w:after="80" w:line="240" w:lineRule="auto"/>
                              <w:jc w:val="right"/>
                              <w:rPr>
                                <w:sz w:val="16"/>
                                <w:szCs w:val="16"/>
                              </w:rPr>
                            </w:pPr>
                            <w:r>
                              <w:rPr>
                                <w:sz w:val="16"/>
                                <w:szCs w:val="16"/>
                              </w:rPr>
                              <w:t>775</w:t>
                            </w:r>
                          </w:p>
                          <w:p w:rsidR="00EA54D5" w:rsidRPr="0088653C" w:rsidRDefault="00EA54D5" w:rsidP="001E44F6">
                            <w:pPr>
                              <w:spacing w:after="80" w:line="240" w:lineRule="auto"/>
                              <w:jc w:val="right"/>
                              <w:rPr>
                                <w:sz w:val="16"/>
                                <w:szCs w:val="16"/>
                              </w:rPr>
                            </w:pPr>
                            <w:r>
                              <w:rPr>
                                <w:sz w:val="16"/>
                                <w:szCs w:val="16"/>
                              </w:rPr>
                              <w:t>875</w:t>
                            </w:r>
                          </w:p>
                          <w:p w:rsidR="00EA54D5" w:rsidRPr="001E44F6" w:rsidRDefault="00EA54D5" w:rsidP="001E44F6">
                            <w:pPr>
                              <w:spacing w:after="80" w:line="240" w:lineRule="auto"/>
                              <w:jc w:val="right"/>
                              <w:rPr>
                                <w:sz w:val="16"/>
                                <w:szCs w:val="16"/>
                              </w:rPr>
                            </w:pPr>
                            <w:r>
                              <w:rPr>
                                <w:sz w:val="16"/>
                                <w:szCs w:val="16"/>
                              </w:rPr>
                              <w:t>&gt;975</w:t>
                            </w:r>
                          </w:p>
                        </w:txbxContent>
                      </wps:txbx>
                      <wps:bodyPr rot="0" vert="vert270" wrap="square" lIns="72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68" type="#_x0000_t202" style="position:absolute;left:0;text-align:left;margin-left:166.75pt;margin-top:489.85pt;width:138pt;height:2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" stroked="f">
                <v:textbox style="layout-flow:vertical;mso-layout-flow-alt:bottom-to-top" inset="2mm,1mm,0,0">
                  <w:txbxContent>
                    <w:p w:rsidR="00EA54D5" w:rsidRPr="0088653C" w:rsidRDefault="00EA54D5" w:rsidP="001E44F6">
                      <w:pPr>
                        <w:spacing w:after="80" w:line="240" w:lineRule="auto"/>
                        <w:jc w:val="right"/>
                        <w:rPr>
                          <w:sz w:val="16"/>
                          <w:szCs w:val="16"/>
                        </w:rPr>
                      </w:pPr>
                      <w:r>
                        <w:rPr>
                          <w:sz w:val="16"/>
                          <w:szCs w:val="16"/>
                        </w:rPr>
                        <w:t>75</w:t>
                      </w:r>
                    </w:p>
                    <w:p w:rsidR="00EA54D5" w:rsidRDefault="00EA54D5" w:rsidP="001E44F6">
                      <w:pPr>
                        <w:spacing w:after="80" w:line="240" w:lineRule="auto"/>
                        <w:jc w:val="right"/>
                        <w:rPr>
                          <w:sz w:val="16"/>
                          <w:szCs w:val="16"/>
                        </w:rPr>
                      </w:pPr>
                      <w:r>
                        <w:rPr>
                          <w:sz w:val="16"/>
                          <w:szCs w:val="16"/>
                        </w:rPr>
                        <w:t>175</w:t>
                      </w:r>
                    </w:p>
                    <w:p w:rsidR="00EA54D5" w:rsidRPr="0088653C" w:rsidRDefault="00EA54D5" w:rsidP="001E44F6">
                      <w:pPr>
                        <w:spacing w:after="80" w:line="240" w:lineRule="auto"/>
                        <w:jc w:val="right"/>
                        <w:rPr>
                          <w:sz w:val="16"/>
                          <w:szCs w:val="16"/>
                        </w:rPr>
                      </w:pPr>
                      <w:r>
                        <w:rPr>
                          <w:sz w:val="16"/>
                          <w:szCs w:val="16"/>
                        </w:rPr>
                        <w:t>275</w:t>
                      </w:r>
                    </w:p>
                    <w:p w:rsidR="00EA54D5" w:rsidRPr="0088653C" w:rsidRDefault="00EA54D5" w:rsidP="001E44F6">
                      <w:pPr>
                        <w:spacing w:after="80" w:line="240" w:lineRule="auto"/>
                        <w:jc w:val="right"/>
                        <w:rPr>
                          <w:sz w:val="16"/>
                          <w:szCs w:val="16"/>
                        </w:rPr>
                      </w:pPr>
                      <w:r>
                        <w:rPr>
                          <w:sz w:val="16"/>
                          <w:szCs w:val="16"/>
                        </w:rPr>
                        <w:t>375</w:t>
                      </w:r>
                    </w:p>
                    <w:p w:rsidR="00EA54D5" w:rsidRPr="0088653C" w:rsidRDefault="00EA54D5" w:rsidP="001E44F6">
                      <w:pPr>
                        <w:spacing w:after="80" w:line="240" w:lineRule="auto"/>
                        <w:jc w:val="right"/>
                        <w:rPr>
                          <w:sz w:val="16"/>
                          <w:szCs w:val="16"/>
                        </w:rPr>
                      </w:pPr>
                      <w:r>
                        <w:rPr>
                          <w:sz w:val="16"/>
                          <w:szCs w:val="16"/>
                        </w:rPr>
                        <w:t>475</w:t>
                      </w:r>
                    </w:p>
                    <w:p w:rsidR="00EA54D5" w:rsidRPr="0088653C" w:rsidRDefault="00EA54D5" w:rsidP="001E44F6">
                      <w:pPr>
                        <w:spacing w:after="80" w:line="240" w:lineRule="auto"/>
                        <w:jc w:val="right"/>
                        <w:rPr>
                          <w:sz w:val="16"/>
                          <w:szCs w:val="16"/>
                        </w:rPr>
                      </w:pPr>
                      <w:r>
                        <w:rPr>
                          <w:sz w:val="16"/>
                          <w:szCs w:val="16"/>
                        </w:rPr>
                        <w:t>575</w:t>
                      </w:r>
                    </w:p>
                    <w:p w:rsidR="00EA54D5" w:rsidRPr="0088653C" w:rsidRDefault="00EA54D5" w:rsidP="001E44F6">
                      <w:pPr>
                        <w:spacing w:after="80" w:line="240" w:lineRule="auto"/>
                        <w:jc w:val="right"/>
                        <w:rPr>
                          <w:sz w:val="16"/>
                          <w:szCs w:val="16"/>
                        </w:rPr>
                      </w:pPr>
                      <w:r>
                        <w:rPr>
                          <w:sz w:val="16"/>
                          <w:szCs w:val="16"/>
                        </w:rPr>
                        <w:t>675</w:t>
                      </w:r>
                    </w:p>
                    <w:p w:rsidR="00EA54D5" w:rsidRPr="0088653C" w:rsidRDefault="00EA54D5" w:rsidP="001E44F6">
                      <w:pPr>
                        <w:spacing w:after="80" w:line="240" w:lineRule="auto"/>
                        <w:jc w:val="right"/>
                        <w:rPr>
                          <w:sz w:val="16"/>
                          <w:szCs w:val="16"/>
                        </w:rPr>
                      </w:pPr>
                      <w:r>
                        <w:rPr>
                          <w:sz w:val="16"/>
                          <w:szCs w:val="16"/>
                        </w:rPr>
                        <w:t>775</w:t>
                      </w:r>
                    </w:p>
                    <w:p w:rsidR="00EA54D5" w:rsidRPr="0088653C" w:rsidRDefault="00EA54D5" w:rsidP="001E44F6">
                      <w:pPr>
                        <w:spacing w:after="80" w:line="240" w:lineRule="auto"/>
                        <w:jc w:val="right"/>
                        <w:rPr>
                          <w:sz w:val="16"/>
                          <w:szCs w:val="16"/>
                        </w:rPr>
                      </w:pPr>
                      <w:r>
                        <w:rPr>
                          <w:sz w:val="16"/>
                          <w:szCs w:val="16"/>
                        </w:rPr>
                        <w:t>875</w:t>
                      </w:r>
                    </w:p>
                    <w:p w:rsidR="00EA54D5" w:rsidRPr="001E44F6" w:rsidRDefault="00EA54D5" w:rsidP="001E44F6">
                      <w:pPr>
                        <w:spacing w:after="80" w:line="240" w:lineRule="auto"/>
                        <w:jc w:val="right"/>
                        <w:rPr>
                          <w:sz w:val="16"/>
                          <w:szCs w:val="16"/>
                        </w:rPr>
                      </w:pPr>
                      <w:r>
                        <w:rPr>
                          <w:sz w:val="16"/>
                          <w:szCs w:val="16"/>
                        </w:rPr>
                        <w:t>&gt;975</w:t>
                      </w:r>
                    </w:p>
                  </w:txbxContent>
                </v:textbox>
              </v:shape>
            </w:pict>
          </mc:Fallback>
        </mc:AlternateContent>
      </w:r>
      <w:r>
        <w:rPr>
          <w:noProof/>
          <w:lang w:eastAsia="en-AU"/>
        </w:rPr>
        <mc:AlternateContent>
          <mc:Choice Requires="wps">
            <w:drawing>
              <wp:anchor distT="0" distB="0" distL="114300" distR="114300" simplePos="0" relativeHeight="251684864" behindDoc="0" locked="0" layoutInCell="1" allowOverlap="1">
                <wp:simplePos x="0" y="0"/>
                <wp:positionH relativeFrom="column">
                  <wp:posOffset>384175</wp:posOffset>
                </wp:positionH>
                <wp:positionV relativeFrom="paragraph">
                  <wp:posOffset>6221095</wp:posOffset>
                </wp:positionV>
                <wp:extent cx="1895475" cy="361950"/>
                <wp:effectExtent l="0" t="0" r="0" b="0"/>
                <wp:wrapNone/>
                <wp:docPr id="23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54D5" w:rsidRPr="0088653C" w:rsidRDefault="00EA54D5" w:rsidP="001E44F6">
                            <w:pPr>
                              <w:spacing w:after="80" w:line="240" w:lineRule="auto"/>
                              <w:jc w:val="right"/>
                              <w:rPr>
                                <w:sz w:val="16"/>
                                <w:szCs w:val="16"/>
                              </w:rPr>
                            </w:pPr>
                            <w:r>
                              <w:rPr>
                                <w:sz w:val="16"/>
                                <w:szCs w:val="16"/>
                              </w:rPr>
                              <w:t>30</w:t>
                            </w:r>
                          </w:p>
                          <w:p w:rsidR="00EA54D5" w:rsidRPr="0088653C" w:rsidRDefault="00EA54D5" w:rsidP="001E44F6">
                            <w:pPr>
                              <w:spacing w:after="80" w:line="240" w:lineRule="auto"/>
                              <w:jc w:val="right"/>
                              <w:rPr>
                                <w:sz w:val="16"/>
                                <w:szCs w:val="16"/>
                              </w:rPr>
                            </w:pPr>
                            <w:r>
                              <w:rPr>
                                <w:sz w:val="16"/>
                                <w:szCs w:val="16"/>
                              </w:rPr>
                              <w:t>7</w:t>
                            </w:r>
                            <w:r w:rsidRPr="0088653C">
                              <w:rPr>
                                <w:sz w:val="16"/>
                                <w:szCs w:val="16"/>
                              </w:rPr>
                              <w:t>0</w:t>
                            </w:r>
                          </w:p>
                          <w:p w:rsidR="00EA54D5" w:rsidRPr="0088653C" w:rsidRDefault="00EA54D5" w:rsidP="001E44F6">
                            <w:pPr>
                              <w:spacing w:after="80" w:line="240" w:lineRule="auto"/>
                              <w:jc w:val="right"/>
                              <w:rPr>
                                <w:sz w:val="16"/>
                                <w:szCs w:val="16"/>
                              </w:rPr>
                            </w:pPr>
                            <w:r>
                              <w:rPr>
                                <w:sz w:val="16"/>
                                <w:szCs w:val="16"/>
                              </w:rPr>
                              <w:t>110</w:t>
                            </w:r>
                          </w:p>
                          <w:p w:rsidR="00EA54D5" w:rsidRPr="0088653C" w:rsidRDefault="00EA54D5" w:rsidP="001E44F6">
                            <w:pPr>
                              <w:spacing w:after="80" w:line="240" w:lineRule="auto"/>
                              <w:jc w:val="right"/>
                              <w:rPr>
                                <w:sz w:val="16"/>
                                <w:szCs w:val="16"/>
                              </w:rPr>
                            </w:pPr>
                            <w:r w:rsidRPr="0088653C">
                              <w:rPr>
                                <w:sz w:val="16"/>
                                <w:szCs w:val="16"/>
                              </w:rPr>
                              <w:t>1</w:t>
                            </w:r>
                            <w:r>
                              <w:rPr>
                                <w:sz w:val="16"/>
                                <w:szCs w:val="16"/>
                              </w:rPr>
                              <w:t>5</w:t>
                            </w:r>
                            <w:r w:rsidRPr="0088653C">
                              <w:rPr>
                                <w:sz w:val="16"/>
                                <w:szCs w:val="16"/>
                              </w:rPr>
                              <w:t>0</w:t>
                            </w:r>
                          </w:p>
                          <w:p w:rsidR="00EA54D5" w:rsidRPr="0088653C" w:rsidRDefault="00EA54D5" w:rsidP="001E44F6">
                            <w:pPr>
                              <w:spacing w:after="80" w:line="240" w:lineRule="auto"/>
                              <w:jc w:val="right"/>
                              <w:rPr>
                                <w:sz w:val="16"/>
                                <w:szCs w:val="16"/>
                              </w:rPr>
                            </w:pPr>
                            <w:r w:rsidRPr="0088653C">
                              <w:rPr>
                                <w:sz w:val="16"/>
                                <w:szCs w:val="16"/>
                              </w:rPr>
                              <w:t>1</w:t>
                            </w:r>
                            <w:r>
                              <w:rPr>
                                <w:sz w:val="16"/>
                                <w:szCs w:val="16"/>
                              </w:rPr>
                              <w:t>9</w:t>
                            </w:r>
                            <w:r w:rsidRPr="0088653C">
                              <w:rPr>
                                <w:sz w:val="16"/>
                                <w:szCs w:val="16"/>
                              </w:rPr>
                              <w:t>0</w:t>
                            </w:r>
                          </w:p>
                          <w:p w:rsidR="00EA54D5" w:rsidRPr="0088653C" w:rsidRDefault="00EA54D5" w:rsidP="001E44F6">
                            <w:pPr>
                              <w:spacing w:after="80" w:line="240" w:lineRule="auto"/>
                              <w:jc w:val="right"/>
                              <w:rPr>
                                <w:sz w:val="16"/>
                                <w:szCs w:val="16"/>
                              </w:rPr>
                            </w:pPr>
                            <w:r>
                              <w:rPr>
                                <w:sz w:val="16"/>
                                <w:szCs w:val="16"/>
                              </w:rPr>
                              <w:t>23</w:t>
                            </w:r>
                            <w:r w:rsidRPr="0088653C">
                              <w:rPr>
                                <w:sz w:val="16"/>
                                <w:szCs w:val="16"/>
                              </w:rPr>
                              <w:t>0</w:t>
                            </w:r>
                          </w:p>
                          <w:p w:rsidR="00EA54D5" w:rsidRPr="0088653C" w:rsidRDefault="00EA54D5" w:rsidP="001E44F6">
                            <w:pPr>
                              <w:spacing w:after="80" w:line="240" w:lineRule="auto"/>
                              <w:jc w:val="right"/>
                              <w:rPr>
                                <w:sz w:val="16"/>
                                <w:szCs w:val="16"/>
                              </w:rPr>
                            </w:pPr>
                            <w:r>
                              <w:rPr>
                                <w:sz w:val="16"/>
                                <w:szCs w:val="16"/>
                              </w:rPr>
                              <w:t>27</w:t>
                            </w:r>
                            <w:r w:rsidRPr="0088653C">
                              <w:rPr>
                                <w:sz w:val="16"/>
                                <w:szCs w:val="16"/>
                              </w:rPr>
                              <w:t>0</w:t>
                            </w:r>
                          </w:p>
                          <w:p w:rsidR="00EA54D5" w:rsidRPr="0088653C" w:rsidRDefault="00EA54D5" w:rsidP="001E44F6">
                            <w:pPr>
                              <w:spacing w:after="80" w:line="240" w:lineRule="auto"/>
                              <w:jc w:val="right"/>
                              <w:rPr>
                                <w:sz w:val="16"/>
                                <w:szCs w:val="16"/>
                              </w:rPr>
                            </w:pPr>
                            <w:r>
                              <w:rPr>
                                <w:sz w:val="16"/>
                                <w:szCs w:val="16"/>
                              </w:rPr>
                              <w:t>310</w:t>
                            </w:r>
                          </w:p>
                          <w:p w:rsidR="00EA54D5" w:rsidRDefault="00EA54D5" w:rsidP="001E44F6">
                            <w:pPr>
                              <w:spacing w:after="80" w:line="240" w:lineRule="auto"/>
                              <w:jc w:val="right"/>
                              <w:rPr>
                                <w:sz w:val="16"/>
                                <w:szCs w:val="16"/>
                              </w:rPr>
                            </w:pPr>
                            <w:r>
                              <w:rPr>
                                <w:sz w:val="16"/>
                                <w:szCs w:val="16"/>
                              </w:rPr>
                              <w:t>35</w:t>
                            </w:r>
                            <w:r w:rsidRPr="0088653C">
                              <w:rPr>
                                <w:sz w:val="16"/>
                                <w:szCs w:val="16"/>
                              </w:rPr>
                              <w:t>0</w:t>
                            </w:r>
                          </w:p>
                          <w:p w:rsidR="00EA54D5" w:rsidRPr="001E44F6" w:rsidRDefault="00EA54D5" w:rsidP="001E44F6">
                            <w:pPr>
                              <w:spacing w:after="80" w:line="240" w:lineRule="auto"/>
                              <w:jc w:val="right"/>
                              <w:rPr>
                                <w:sz w:val="16"/>
                                <w:szCs w:val="16"/>
                              </w:rPr>
                            </w:pPr>
                            <w:r>
                              <w:rPr>
                                <w:sz w:val="16"/>
                                <w:szCs w:val="16"/>
                              </w:rPr>
                              <w:t>&gt;39</w:t>
                            </w:r>
                            <w:r w:rsidRPr="0088653C">
                              <w:rPr>
                                <w:sz w:val="16"/>
                                <w:szCs w:val="16"/>
                              </w:rPr>
                              <w:t>0</w:t>
                            </w:r>
                          </w:p>
                        </w:txbxContent>
                      </wps:txbx>
                      <wps:bodyPr rot="0" vert="vert270" wrap="square" lIns="72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69" type="#_x0000_t202" style="position:absolute;left:0;text-align:left;margin-left:30.25pt;margin-top:489.85pt;width:149.25pt;height: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" stroked="f">
                <v:textbox style="layout-flow:vertical;mso-layout-flow-alt:bottom-to-top" inset="2mm,1mm,0,0">
                  <w:txbxContent>
                    <w:p w:rsidR="00EA54D5" w:rsidRPr="0088653C" w:rsidRDefault="00EA54D5" w:rsidP="001E44F6">
                      <w:pPr>
                        <w:spacing w:after="80" w:line="240" w:lineRule="auto"/>
                        <w:jc w:val="right"/>
                        <w:rPr>
                          <w:sz w:val="16"/>
                          <w:szCs w:val="16"/>
                        </w:rPr>
                      </w:pPr>
                      <w:r>
                        <w:rPr>
                          <w:sz w:val="16"/>
                          <w:szCs w:val="16"/>
                        </w:rPr>
                        <w:t>30</w:t>
                      </w:r>
                    </w:p>
                    <w:p w:rsidR="00EA54D5" w:rsidRPr="0088653C" w:rsidRDefault="00EA54D5" w:rsidP="001E44F6">
                      <w:pPr>
                        <w:spacing w:after="80" w:line="240" w:lineRule="auto"/>
                        <w:jc w:val="right"/>
                        <w:rPr>
                          <w:sz w:val="16"/>
                          <w:szCs w:val="16"/>
                        </w:rPr>
                      </w:pPr>
                      <w:r>
                        <w:rPr>
                          <w:sz w:val="16"/>
                          <w:szCs w:val="16"/>
                        </w:rPr>
                        <w:t>7</w:t>
                      </w:r>
                      <w:r w:rsidRPr="0088653C">
                        <w:rPr>
                          <w:sz w:val="16"/>
                          <w:szCs w:val="16"/>
                        </w:rPr>
                        <w:t>0</w:t>
                      </w:r>
                    </w:p>
                    <w:p w:rsidR="00EA54D5" w:rsidRPr="0088653C" w:rsidRDefault="00EA54D5" w:rsidP="001E44F6">
                      <w:pPr>
                        <w:spacing w:after="80" w:line="240" w:lineRule="auto"/>
                        <w:jc w:val="right"/>
                        <w:rPr>
                          <w:sz w:val="16"/>
                          <w:szCs w:val="16"/>
                        </w:rPr>
                      </w:pPr>
                      <w:r>
                        <w:rPr>
                          <w:sz w:val="16"/>
                          <w:szCs w:val="16"/>
                        </w:rPr>
                        <w:t>110</w:t>
                      </w:r>
                    </w:p>
                    <w:p w:rsidR="00EA54D5" w:rsidRPr="0088653C" w:rsidRDefault="00EA54D5" w:rsidP="001E44F6">
                      <w:pPr>
                        <w:spacing w:after="80" w:line="240" w:lineRule="auto"/>
                        <w:jc w:val="right"/>
                        <w:rPr>
                          <w:sz w:val="16"/>
                          <w:szCs w:val="16"/>
                        </w:rPr>
                      </w:pPr>
                      <w:r w:rsidRPr="0088653C">
                        <w:rPr>
                          <w:sz w:val="16"/>
                          <w:szCs w:val="16"/>
                        </w:rPr>
                        <w:t>1</w:t>
                      </w:r>
                      <w:r>
                        <w:rPr>
                          <w:sz w:val="16"/>
                          <w:szCs w:val="16"/>
                        </w:rPr>
                        <w:t>5</w:t>
                      </w:r>
                      <w:r w:rsidRPr="0088653C">
                        <w:rPr>
                          <w:sz w:val="16"/>
                          <w:szCs w:val="16"/>
                        </w:rPr>
                        <w:t>0</w:t>
                      </w:r>
                    </w:p>
                    <w:p w:rsidR="00EA54D5" w:rsidRPr="0088653C" w:rsidRDefault="00EA54D5" w:rsidP="001E44F6">
                      <w:pPr>
                        <w:spacing w:after="80" w:line="240" w:lineRule="auto"/>
                        <w:jc w:val="right"/>
                        <w:rPr>
                          <w:sz w:val="16"/>
                          <w:szCs w:val="16"/>
                        </w:rPr>
                      </w:pPr>
                      <w:r w:rsidRPr="0088653C">
                        <w:rPr>
                          <w:sz w:val="16"/>
                          <w:szCs w:val="16"/>
                        </w:rPr>
                        <w:t>1</w:t>
                      </w:r>
                      <w:r>
                        <w:rPr>
                          <w:sz w:val="16"/>
                          <w:szCs w:val="16"/>
                        </w:rPr>
                        <w:t>9</w:t>
                      </w:r>
                      <w:r w:rsidRPr="0088653C">
                        <w:rPr>
                          <w:sz w:val="16"/>
                          <w:szCs w:val="16"/>
                        </w:rPr>
                        <w:t>0</w:t>
                      </w:r>
                    </w:p>
                    <w:p w:rsidR="00EA54D5" w:rsidRPr="0088653C" w:rsidRDefault="00EA54D5" w:rsidP="001E44F6">
                      <w:pPr>
                        <w:spacing w:after="80" w:line="240" w:lineRule="auto"/>
                        <w:jc w:val="right"/>
                        <w:rPr>
                          <w:sz w:val="16"/>
                          <w:szCs w:val="16"/>
                        </w:rPr>
                      </w:pPr>
                      <w:r>
                        <w:rPr>
                          <w:sz w:val="16"/>
                          <w:szCs w:val="16"/>
                        </w:rPr>
                        <w:t>23</w:t>
                      </w:r>
                      <w:r w:rsidRPr="0088653C">
                        <w:rPr>
                          <w:sz w:val="16"/>
                          <w:szCs w:val="16"/>
                        </w:rPr>
                        <w:t>0</w:t>
                      </w:r>
                    </w:p>
                    <w:p w:rsidR="00EA54D5" w:rsidRPr="0088653C" w:rsidRDefault="00EA54D5" w:rsidP="001E44F6">
                      <w:pPr>
                        <w:spacing w:after="80" w:line="240" w:lineRule="auto"/>
                        <w:jc w:val="right"/>
                        <w:rPr>
                          <w:sz w:val="16"/>
                          <w:szCs w:val="16"/>
                        </w:rPr>
                      </w:pPr>
                      <w:r>
                        <w:rPr>
                          <w:sz w:val="16"/>
                          <w:szCs w:val="16"/>
                        </w:rPr>
                        <w:t>27</w:t>
                      </w:r>
                      <w:r w:rsidRPr="0088653C">
                        <w:rPr>
                          <w:sz w:val="16"/>
                          <w:szCs w:val="16"/>
                        </w:rPr>
                        <w:t>0</w:t>
                      </w:r>
                    </w:p>
                    <w:p w:rsidR="00EA54D5" w:rsidRPr="0088653C" w:rsidRDefault="00EA54D5" w:rsidP="001E44F6">
                      <w:pPr>
                        <w:spacing w:after="80" w:line="240" w:lineRule="auto"/>
                        <w:jc w:val="right"/>
                        <w:rPr>
                          <w:sz w:val="16"/>
                          <w:szCs w:val="16"/>
                        </w:rPr>
                      </w:pPr>
                      <w:r>
                        <w:rPr>
                          <w:sz w:val="16"/>
                          <w:szCs w:val="16"/>
                        </w:rPr>
                        <w:t>310</w:t>
                      </w:r>
                    </w:p>
                    <w:p w:rsidR="00EA54D5" w:rsidRDefault="00EA54D5" w:rsidP="001E44F6">
                      <w:pPr>
                        <w:spacing w:after="80" w:line="240" w:lineRule="auto"/>
                        <w:jc w:val="right"/>
                        <w:rPr>
                          <w:sz w:val="16"/>
                          <w:szCs w:val="16"/>
                        </w:rPr>
                      </w:pPr>
                      <w:r>
                        <w:rPr>
                          <w:sz w:val="16"/>
                          <w:szCs w:val="16"/>
                        </w:rPr>
                        <w:t>35</w:t>
                      </w:r>
                      <w:r w:rsidRPr="0088653C">
                        <w:rPr>
                          <w:sz w:val="16"/>
                          <w:szCs w:val="16"/>
                        </w:rPr>
                        <w:t>0</w:t>
                      </w:r>
                    </w:p>
                    <w:p w:rsidR="00EA54D5" w:rsidRPr="001E44F6" w:rsidRDefault="00EA54D5" w:rsidP="001E44F6">
                      <w:pPr>
                        <w:spacing w:after="80" w:line="240" w:lineRule="auto"/>
                        <w:jc w:val="right"/>
                        <w:rPr>
                          <w:sz w:val="16"/>
                          <w:szCs w:val="16"/>
                        </w:rPr>
                      </w:pPr>
                      <w:r>
                        <w:rPr>
                          <w:sz w:val="16"/>
                          <w:szCs w:val="16"/>
                        </w:rPr>
                        <w:t>&gt;39</w:t>
                      </w:r>
                      <w:r w:rsidRPr="0088653C">
                        <w:rPr>
                          <w:sz w:val="16"/>
                          <w:szCs w:val="16"/>
                        </w:rPr>
                        <w:t>0</w:t>
                      </w:r>
                    </w:p>
                  </w:txbxContent>
                </v:textbox>
              </v:shape>
            </w:pict>
          </mc:Fallback>
        </mc:AlternateContent>
      </w:r>
      <w:r>
        <w:rPr>
          <w:noProof/>
          <w:lang w:eastAsia="en-AU"/>
        </w:rPr>
        <mc:AlternateContent>
          <mc:Choice Requires="wps">
            <w:drawing>
              <wp:anchor distT="0" distB="0" distL="114300" distR="114300" simplePos="0" relativeHeight="251686912" behindDoc="0" locked="0" layoutInCell="1" allowOverlap="1">
                <wp:simplePos x="0" y="0"/>
                <wp:positionH relativeFrom="column">
                  <wp:posOffset>3870325</wp:posOffset>
                </wp:positionH>
                <wp:positionV relativeFrom="paragraph">
                  <wp:posOffset>6221095</wp:posOffset>
                </wp:positionV>
                <wp:extent cx="1752600" cy="352425"/>
                <wp:effectExtent l="0" t="0" r="0" b="0"/>
                <wp:wrapNone/>
                <wp:docPr id="23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54D5" w:rsidRPr="0088653C" w:rsidRDefault="00EA54D5" w:rsidP="001E44F6">
                            <w:pPr>
                              <w:spacing w:after="80" w:line="240" w:lineRule="auto"/>
                              <w:jc w:val="right"/>
                              <w:rPr>
                                <w:sz w:val="16"/>
                                <w:szCs w:val="16"/>
                              </w:rPr>
                            </w:pPr>
                            <w:r>
                              <w:rPr>
                                <w:sz w:val="16"/>
                                <w:szCs w:val="16"/>
                              </w:rPr>
                              <w:t>75</w:t>
                            </w:r>
                          </w:p>
                          <w:p w:rsidR="00EA54D5" w:rsidRDefault="00EA54D5" w:rsidP="001E44F6">
                            <w:pPr>
                              <w:spacing w:after="80" w:line="240" w:lineRule="auto"/>
                              <w:jc w:val="right"/>
                              <w:rPr>
                                <w:sz w:val="16"/>
                                <w:szCs w:val="16"/>
                              </w:rPr>
                            </w:pPr>
                            <w:r>
                              <w:rPr>
                                <w:sz w:val="16"/>
                                <w:szCs w:val="16"/>
                              </w:rPr>
                              <w:t>175</w:t>
                            </w:r>
                          </w:p>
                          <w:p w:rsidR="00EA54D5" w:rsidRPr="0088653C" w:rsidRDefault="00EA54D5" w:rsidP="001E44F6">
                            <w:pPr>
                              <w:spacing w:after="80" w:line="240" w:lineRule="auto"/>
                              <w:jc w:val="right"/>
                              <w:rPr>
                                <w:sz w:val="16"/>
                                <w:szCs w:val="16"/>
                              </w:rPr>
                            </w:pPr>
                            <w:r>
                              <w:rPr>
                                <w:sz w:val="16"/>
                                <w:szCs w:val="16"/>
                              </w:rPr>
                              <w:t>275</w:t>
                            </w:r>
                          </w:p>
                          <w:p w:rsidR="00EA54D5" w:rsidRPr="0088653C" w:rsidRDefault="00EA54D5" w:rsidP="001E44F6">
                            <w:pPr>
                              <w:spacing w:after="80" w:line="240" w:lineRule="auto"/>
                              <w:jc w:val="right"/>
                              <w:rPr>
                                <w:sz w:val="16"/>
                                <w:szCs w:val="16"/>
                              </w:rPr>
                            </w:pPr>
                            <w:r>
                              <w:rPr>
                                <w:sz w:val="16"/>
                                <w:szCs w:val="16"/>
                              </w:rPr>
                              <w:t>375</w:t>
                            </w:r>
                          </w:p>
                          <w:p w:rsidR="00EA54D5" w:rsidRPr="0088653C" w:rsidRDefault="00EA54D5" w:rsidP="001E44F6">
                            <w:pPr>
                              <w:spacing w:after="80" w:line="240" w:lineRule="auto"/>
                              <w:jc w:val="right"/>
                              <w:rPr>
                                <w:sz w:val="16"/>
                                <w:szCs w:val="16"/>
                              </w:rPr>
                            </w:pPr>
                            <w:r>
                              <w:rPr>
                                <w:sz w:val="16"/>
                                <w:szCs w:val="16"/>
                              </w:rPr>
                              <w:t>475</w:t>
                            </w:r>
                          </w:p>
                          <w:p w:rsidR="00EA54D5" w:rsidRPr="0088653C" w:rsidRDefault="00EA54D5" w:rsidP="001E44F6">
                            <w:pPr>
                              <w:spacing w:after="80" w:line="240" w:lineRule="auto"/>
                              <w:jc w:val="right"/>
                              <w:rPr>
                                <w:sz w:val="16"/>
                                <w:szCs w:val="16"/>
                              </w:rPr>
                            </w:pPr>
                            <w:r>
                              <w:rPr>
                                <w:sz w:val="16"/>
                                <w:szCs w:val="16"/>
                              </w:rPr>
                              <w:t>575</w:t>
                            </w:r>
                          </w:p>
                          <w:p w:rsidR="00EA54D5" w:rsidRPr="0088653C" w:rsidRDefault="00EA54D5" w:rsidP="001E44F6">
                            <w:pPr>
                              <w:spacing w:after="80" w:line="240" w:lineRule="auto"/>
                              <w:jc w:val="right"/>
                              <w:rPr>
                                <w:sz w:val="16"/>
                                <w:szCs w:val="16"/>
                              </w:rPr>
                            </w:pPr>
                            <w:r>
                              <w:rPr>
                                <w:sz w:val="16"/>
                                <w:szCs w:val="16"/>
                              </w:rPr>
                              <w:t>675</w:t>
                            </w:r>
                          </w:p>
                          <w:p w:rsidR="00EA54D5" w:rsidRPr="0088653C" w:rsidRDefault="00EA54D5" w:rsidP="001E44F6">
                            <w:pPr>
                              <w:spacing w:after="80" w:line="240" w:lineRule="auto"/>
                              <w:jc w:val="right"/>
                              <w:rPr>
                                <w:sz w:val="16"/>
                                <w:szCs w:val="16"/>
                              </w:rPr>
                            </w:pPr>
                            <w:r>
                              <w:rPr>
                                <w:sz w:val="16"/>
                                <w:szCs w:val="16"/>
                              </w:rPr>
                              <w:t>775</w:t>
                            </w:r>
                          </w:p>
                          <w:p w:rsidR="00EA54D5" w:rsidRPr="0088653C" w:rsidRDefault="00EA54D5" w:rsidP="001E44F6">
                            <w:pPr>
                              <w:spacing w:after="80" w:line="240" w:lineRule="auto"/>
                              <w:jc w:val="right"/>
                              <w:rPr>
                                <w:sz w:val="16"/>
                                <w:szCs w:val="16"/>
                              </w:rPr>
                            </w:pPr>
                            <w:r>
                              <w:rPr>
                                <w:sz w:val="16"/>
                                <w:szCs w:val="16"/>
                              </w:rPr>
                              <w:t>875</w:t>
                            </w:r>
                          </w:p>
                          <w:p w:rsidR="00EA54D5" w:rsidRPr="001E44F6" w:rsidRDefault="00EA54D5" w:rsidP="001E44F6">
                            <w:pPr>
                              <w:spacing w:after="80" w:line="240" w:lineRule="auto"/>
                              <w:jc w:val="right"/>
                              <w:rPr>
                                <w:sz w:val="16"/>
                                <w:szCs w:val="16"/>
                              </w:rPr>
                            </w:pPr>
                            <w:r>
                              <w:rPr>
                                <w:sz w:val="16"/>
                                <w:szCs w:val="16"/>
                              </w:rPr>
                              <w:t>&gt;975</w:t>
                            </w:r>
                          </w:p>
                        </w:txbxContent>
                      </wps:txbx>
                      <wps:bodyPr rot="0" vert="vert270" wrap="square" lIns="72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70" type="#_x0000_t202" style="position:absolute;left:0;text-align:left;margin-left:304.75pt;margin-top:489.85pt;width:138pt;height:2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" stroked="f">
                <v:textbox style="layout-flow:vertical;mso-layout-flow-alt:bottom-to-top" inset="2mm,1mm,0,0">
                  <w:txbxContent>
                    <w:p w:rsidR="00EA54D5" w:rsidRPr="0088653C" w:rsidRDefault="00EA54D5" w:rsidP="001E44F6">
                      <w:pPr>
                        <w:spacing w:after="80" w:line="240" w:lineRule="auto"/>
                        <w:jc w:val="right"/>
                        <w:rPr>
                          <w:sz w:val="16"/>
                          <w:szCs w:val="16"/>
                        </w:rPr>
                      </w:pPr>
                      <w:r>
                        <w:rPr>
                          <w:sz w:val="16"/>
                          <w:szCs w:val="16"/>
                        </w:rPr>
                        <w:t>75</w:t>
                      </w:r>
                    </w:p>
                    <w:p w:rsidR="00EA54D5" w:rsidRDefault="00EA54D5" w:rsidP="001E44F6">
                      <w:pPr>
                        <w:spacing w:after="80" w:line="240" w:lineRule="auto"/>
                        <w:jc w:val="right"/>
                        <w:rPr>
                          <w:sz w:val="16"/>
                          <w:szCs w:val="16"/>
                        </w:rPr>
                      </w:pPr>
                      <w:r>
                        <w:rPr>
                          <w:sz w:val="16"/>
                          <w:szCs w:val="16"/>
                        </w:rPr>
                        <w:t>175</w:t>
                      </w:r>
                    </w:p>
                    <w:p w:rsidR="00EA54D5" w:rsidRPr="0088653C" w:rsidRDefault="00EA54D5" w:rsidP="001E44F6">
                      <w:pPr>
                        <w:spacing w:after="80" w:line="240" w:lineRule="auto"/>
                        <w:jc w:val="right"/>
                        <w:rPr>
                          <w:sz w:val="16"/>
                          <w:szCs w:val="16"/>
                        </w:rPr>
                      </w:pPr>
                      <w:r>
                        <w:rPr>
                          <w:sz w:val="16"/>
                          <w:szCs w:val="16"/>
                        </w:rPr>
                        <w:t>275</w:t>
                      </w:r>
                    </w:p>
                    <w:p w:rsidR="00EA54D5" w:rsidRPr="0088653C" w:rsidRDefault="00EA54D5" w:rsidP="001E44F6">
                      <w:pPr>
                        <w:spacing w:after="80" w:line="240" w:lineRule="auto"/>
                        <w:jc w:val="right"/>
                        <w:rPr>
                          <w:sz w:val="16"/>
                          <w:szCs w:val="16"/>
                        </w:rPr>
                      </w:pPr>
                      <w:r>
                        <w:rPr>
                          <w:sz w:val="16"/>
                          <w:szCs w:val="16"/>
                        </w:rPr>
                        <w:t>375</w:t>
                      </w:r>
                    </w:p>
                    <w:p w:rsidR="00EA54D5" w:rsidRPr="0088653C" w:rsidRDefault="00EA54D5" w:rsidP="001E44F6">
                      <w:pPr>
                        <w:spacing w:after="80" w:line="240" w:lineRule="auto"/>
                        <w:jc w:val="right"/>
                        <w:rPr>
                          <w:sz w:val="16"/>
                          <w:szCs w:val="16"/>
                        </w:rPr>
                      </w:pPr>
                      <w:r>
                        <w:rPr>
                          <w:sz w:val="16"/>
                          <w:szCs w:val="16"/>
                        </w:rPr>
                        <w:t>475</w:t>
                      </w:r>
                    </w:p>
                    <w:p w:rsidR="00EA54D5" w:rsidRPr="0088653C" w:rsidRDefault="00EA54D5" w:rsidP="001E44F6">
                      <w:pPr>
                        <w:spacing w:after="80" w:line="240" w:lineRule="auto"/>
                        <w:jc w:val="right"/>
                        <w:rPr>
                          <w:sz w:val="16"/>
                          <w:szCs w:val="16"/>
                        </w:rPr>
                      </w:pPr>
                      <w:r>
                        <w:rPr>
                          <w:sz w:val="16"/>
                          <w:szCs w:val="16"/>
                        </w:rPr>
                        <w:t>575</w:t>
                      </w:r>
                    </w:p>
                    <w:p w:rsidR="00EA54D5" w:rsidRPr="0088653C" w:rsidRDefault="00EA54D5" w:rsidP="001E44F6">
                      <w:pPr>
                        <w:spacing w:after="80" w:line="240" w:lineRule="auto"/>
                        <w:jc w:val="right"/>
                        <w:rPr>
                          <w:sz w:val="16"/>
                          <w:szCs w:val="16"/>
                        </w:rPr>
                      </w:pPr>
                      <w:r>
                        <w:rPr>
                          <w:sz w:val="16"/>
                          <w:szCs w:val="16"/>
                        </w:rPr>
                        <w:t>675</w:t>
                      </w:r>
                    </w:p>
                    <w:p w:rsidR="00EA54D5" w:rsidRPr="0088653C" w:rsidRDefault="00EA54D5" w:rsidP="001E44F6">
                      <w:pPr>
                        <w:spacing w:after="80" w:line="240" w:lineRule="auto"/>
                        <w:jc w:val="right"/>
                        <w:rPr>
                          <w:sz w:val="16"/>
                          <w:szCs w:val="16"/>
                        </w:rPr>
                      </w:pPr>
                      <w:r>
                        <w:rPr>
                          <w:sz w:val="16"/>
                          <w:szCs w:val="16"/>
                        </w:rPr>
                        <w:t>775</w:t>
                      </w:r>
                    </w:p>
                    <w:p w:rsidR="00EA54D5" w:rsidRPr="0088653C" w:rsidRDefault="00EA54D5" w:rsidP="001E44F6">
                      <w:pPr>
                        <w:spacing w:after="80" w:line="240" w:lineRule="auto"/>
                        <w:jc w:val="right"/>
                        <w:rPr>
                          <w:sz w:val="16"/>
                          <w:szCs w:val="16"/>
                        </w:rPr>
                      </w:pPr>
                      <w:r>
                        <w:rPr>
                          <w:sz w:val="16"/>
                          <w:szCs w:val="16"/>
                        </w:rPr>
                        <w:t>875</w:t>
                      </w:r>
                    </w:p>
                    <w:p w:rsidR="00EA54D5" w:rsidRPr="001E44F6" w:rsidRDefault="00EA54D5" w:rsidP="001E44F6">
                      <w:pPr>
                        <w:spacing w:after="80" w:line="240" w:lineRule="auto"/>
                        <w:jc w:val="right"/>
                        <w:rPr>
                          <w:sz w:val="16"/>
                          <w:szCs w:val="16"/>
                        </w:rPr>
                      </w:pPr>
                      <w:r>
                        <w:rPr>
                          <w:sz w:val="16"/>
                          <w:szCs w:val="16"/>
                        </w:rPr>
                        <w:t>&gt;975</w:t>
                      </w:r>
                    </w:p>
                  </w:txbxContent>
                </v:textbox>
              </v:shape>
            </w:pict>
          </mc:Fallback>
        </mc:AlternateContent>
      </w:r>
      <w:r w:rsidRPr="008F5E11">
        <w:rPr>
          <w:noProof/>
          <w:lang w:eastAsia="en-AU"/>
        </w:rPr>
        <w:drawing>
          <wp:inline distT="0" distB="0" distL="0" distR="0">
            <wp:extent cx="5848350" cy="6696075"/>
            <wp:effectExtent l="0" t="0" r="0" b="9525"/>
            <wp:docPr id="100"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75">
                      <a:extLst>
                        <a:ext uri="{28A0092B-C50C-407E-A947-70E740481C1C}">
                          <a14:useLocalDpi xmlns:a14="http://schemas.microsoft.com/office/drawing/2010/main"/>
                        </a:ext>
                      </a:extLst>
                    </a:blip>
                    <a:srcRect/>
                    <a:stretch>
                      <a:fillRect/>
                    </a:stretch>
                  </pic:blipFill>
                  <pic:spPr bwMode="auto">
                    <a:xfrm>
                      <a:off x="0" y="0"/>
                      <a:ext cx="5848350" cy="6696075"/>
                    </a:xfrm>
                    <a:prstGeom prst="rect">
                      <a:avLst/>
                    </a:prstGeom>
                    <a:noFill/>
                    <a:ln>
                      <a:noFill/>
                    </a:ln>
                  </pic:spPr>
                </pic:pic>
              </a:graphicData>
            </a:graphic>
          </wp:inline>
        </w:drawing>
      </w:r>
    </w:p>
    <w:p w:rsidR="00E23B8D" w:rsidRDefault="00E23B8D" w:rsidP="00E23B8D">
      <w:pPr>
        <w:pStyle w:val="Caption"/>
      </w:pPr>
      <w:bookmarkStart w:id="163" w:name="_Ref459890600"/>
      <w:r>
        <w:t xml:space="preserve">Figure </w:t>
      </w:r>
      <w:fldSimple w:instr=" STYLEREF 6 \s ">
        <w:r w:rsidR="00673DAF">
          <w:rPr>
            <w:noProof/>
          </w:rPr>
          <w:t>I</w:t>
        </w:r>
      </w:fldSimple>
      <w:r w:rsidR="00673DAF">
        <w:noBreakHyphen/>
      </w:r>
      <w:fldSimple w:instr=" SEQ Figure \* ARABIC \s 6 ">
        <w:r w:rsidR="00673DAF">
          <w:rPr>
            <w:noProof/>
          </w:rPr>
          <w:t>7</w:t>
        </w:r>
      </w:fldSimple>
      <w:bookmarkEnd w:id="163"/>
      <w:r>
        <w:t xml:space="preserve"> Length freque</w:t>
      </w:r>
      <w:r w:rsidR="00CD3111">
        <w:t>ncy distribution (proportion (%</w:t>
      </w:r>
      <w:r>
        <w:t xml:space="preserve">) of large-bodied fish, bony herring, Murray cod and common carp sampled in the </w:t>
      </w:r>
      <w:r w:rsidRPr="0030099A">
        <w:t xml:space="preserve">Gingham </w:t>
      </w:r>
      <w:r>
        <w:t>watercourse</w:t>
      </w:r>
      <w:r w:rsidRPr="0030099A">
        <w:t xml:space="preserve">, Gwydir River, Mehi River and </w:t>
      </w:r>
      <w:r>
        <w:t>Moomin</w:t>
      </w:r>
      <w:r w:rsidRPr="0030099A">
        <w:t xml:space="preserve"> Creek</w:t>
      </w:r>
      <w:r>
        <w:t>. NB</w:t>
      </w:r>
      <w:r>
        <w:rPr>
          <w:vertAlign w:val="superscript"/>
        </w:rPr>
        <w:t>#</w:t>
      </w:r>
      <w:r>
        <w:t xml:space="preserve"> Dashed line is approximate length of one-year-old individual.</w:t>
      </w:r>
    </w:p>
    <w:p w:rsidR="00423C6C" w:rsidRDefault="00423C6C" w:rsidP="00233D04">
      <w:pPr>
        <w:pStyle w:val="Heading8"/>
      </w:pPr>
      <w:r w:rsidRPr="0031581F">
        <w:t>Health Indicators</w:t>
      </w:r>
    </w:p>
    <w:p w:rsidR="00423C6C" w:rsidRPr="00E23B8D" w:rsidRDefault="00423C6C" w:rsidP="00AE6164">
      <w:pPr>
        <w:rPr>
          <w:b/>
          <w:i/>
        </w:rPr>
      </w:pPr>
      <w:r w:rsidRPr="00E23B8D">
        <w:rPr>
          <w:b/>
          <w:i/>
        </w:rPr>
        <w:t>Expectedness</w:t>
      </w:r>
    </w:p>
    <w:p w:rsidR="00423C6C" w:rsidRPr="007F38BC" w:rsidRDefault="00423C6C" w:rsidP="00233D04">
      <w:r w:rsidRPr="007F38BC">
        <w:t xml:space="preserve">Of the 13 native fish species that potentially could have been </w:t>
      </w:r>
      <w:r w:rsidR="009E0995">
        <w:t>recorded</w:t>
      </w:r>
      <w:r w:rsidRPr="007F38BC">
        <w:t xml:space="preserve"> across the lower Gwydir catchment, 10 were caught at a minimum of one site. </w:t>
      </w:r>
      <w:r w:rsidR="00A97349">
        <w:t xml:space="preserve"> </w:t>
      </w:r>
      <w:r w:rsidRPr="007F38BC">
        <w:t>The three species</w:t>
      </w:r>
      <w:r>
        <w:t xml:space="preserve"> not caught were olive perchlet,</w:t>
      </w:r>
      <w:r w:rsidRPr="007F38BC">
        <w:t xml:space="preserve"> southern purple-spotted gudgeon and Darling River hardyhead (</w:t>
      </w:r>
      <w:r w:rsidRPr="00FF3536">
        <w:rPr>
          <w:i/>
        </w:rPr>
        <w:t>Craterocephalus amniculus</w:t>
      </w:r>
      <w:r w:rsidRPr="007F38BC">
        <w:t xml:space="preserve">). </w:t>
      </w:r>
      <w:r w:rsidR="00A97349">
        <w:t xml:space="preserve"> </w:t>
      </w:r>
      <w:r w:rsidRPr="007F38BC">
        <w:t>All three species are considered to have been “rare” and/or “cryptic” prior to European settlement</w:t>
      </w:r>
      <w:r w:rsidR="009E0995">
        <w:t>,</w:t>
      </w:r>
      <w:r w:rsidRPr="007F38BC">
        <w:t xml:space="preserve"> and </w:t>
      </w:r>
      <w:r w:rsidR="009E0995">
        <w:t>a</w:t>
      </w:r>
      <w:r w:rsidRPr="007F38BC">
        <w:t xml:space="preserve">s such would only be expected to be collected </w:t>
      </w:r>
      <w:r>
        <w:t xml:space="preserve">at the most up to a maximum of </w:t>
      </w:r>
      <w:r w:rsidRPr="007F38BC">
        <w:t xml:space="preserve">20% of sites </w:t>
      </w:r>
      <w:r>
        <w:t>with</w:t>
      </w:r>
      <w:r w:rsidRPr="007F38BC">
        <w:t xml:space="preserve">in </w:t>
      </w:r>
      <w:r>
        <w:t>a</w:t>
      </w:r>
      <w:r w:rsidRPr="007F38BC">
        <w:t xml:space="preserve"> zone.</w:t>
      </w:r>
    </w:p>
    <w:p w:rsidR="00423C6C" w:rsidRPr="00076754" w:rsidRDefault="00423C6C" w:rsidP="00233D04">
      <w:r w:rsidRPr="00076754">
        <w:t xml:space="preserve">Of the 23 sites sampled as part of the current sampling round, for </w:t>
      </w:r>
      <w:r w:rsidRPr="00076754">
        <w:rPr>
          <w:i/>
        </w:rPr>
        <w:t>Expectedness</w:t>
      </w:r>
      <w:r w:rsidRPr="00076754">
        <w:t>,</w:t>
      </w:r>
      <w:r w:rsidRPr="00076754">
        <w:rPr>
          <w:i/>
        </w:rPr>
        <w:t xml:space="preserve"> </w:t>
      </w:r>
      <w:r w:rsidRPr="00076754">
        <w:t xml:space="preserve">three sites scored a rating of “Good”, four sites scored a rating of “Moderate, seven sites a rating of “Poor”, three sites a rating of “Very </w:t>
      </w:r>
      <w:r>
        <w:t>Poor” (</w:t>
      </w:r>
      <w:r w:rsidR="00A97349">
        <w:fldChar w:fldCharType="begin"/>
      </w:r>
      <w:r w:rsidR="00A97349">
        <w:instrText xml:space="preserve"> REF _Ref458881663 \h </w:instrText>
      </w:r>
      <w:r w:rsidR="00A97349">
        <w:fldChar w:fldCharType="separate"/>
      </w:r>
      <w:r w:rsidR="005D5925">
        <w:t xml:space="preserve">Table </w:t>
      </w:r>
      <w:r w:rsidR="005D5925">
        <w:rPr>
          <w:noProof/>
        </w:rPr>
        <w:t>I</w:t>
      </w:r>
      <w:r w:rsidR="005D5925">
        <w:noBreakHyphen/>
      </w:r>
      <w:r w:rsidR="005D5925">
        <w:rPr>
          <w:noProof/>
        </w:rPr>
        <w:t>6</w:t>
      </w:r>
      <w:r w:rsidR="00A97349">
        <w:fldChar w:fldCharType="end"/>
      </w:r>
      <w:r w:rsidRPr="00076754">
        <w:t xml:space="preserve">) and six sites a rating of “Extremely Poor”. Scores ranged from 95 for the Moree site in the Mehi </w:t>
      </w:r>
      <w:r w:rsidR="009E0995">
        <w:t>channel</w:t>
      </w:r>
      <w:r w:rsidRPr="00076754">
        <w:t xml:space="preserve">, down to 0 for the six </w:t>
      </w:r>
      <w:r>
        <w:t xml:space="preserve">dry </w:t>
      </w:r>
      <w:r w:rsidRPr="00076754">
        <w:t>sites in the Gwydir, Mehi and Moomin (</w:t>
      </w:r>
      <w:r w:rsidR="00037217">
        <w:fldChar w:fldCharType="begin"/>
      </w:r>
      <w:r w:rsidR="00037217">
        <w:instrText xml:space="preserve"> REF _Ref458881663 \h </w:instrText>
      </w:r>
      <w:r w:rsidR="00037217">
        <w:fldChar w:fldCharType="separate"/>
      </w:r>
      <w:r w:rsidR="005D5925">
        <w:t xml:space="preserve">Table </w:t>
      </w:r>
      <w:r w:rsidR="005D5925">
        <w:rPr>
          <w:noProof/>
        </w:rPr>
        <w:t>I</w:t>
      </w:r>
      <w:r w:rsidR="005D5925">
        <w:noBreakHyphen/>
      </w:r>
      <w:r w:rsidR="005D5925">
        <w:rPr>
          <w:noProof/>
        </w:rPr>
        <w:t>6</w:t>
      </w:r>
      <w:r w:rsidR="00037217">
        <w:fldChar w:fldCharType="end"/>
      </w:r>
      <w:r w:rsidRPr="00076754">
        <w:t xml:space="preserve">). </w:t>
      </w:r>
      <w:r w:rsidR="00A97349">
        <w:t xml:space="preserve"> </w:t>
      </w:r>
      <w:r w:rsidRPr="00076754">
        <w:t xml:space="preserve">By </w:t>
      </w:r>
      <w:r w:rsidR="009E0995">
        <w:t>channel</w:t>
      </w:r>
      <w:r w:rsidRPr="00076754">
        <w:t xml:space="preserve">, the Gingham </w:t>
      </w:r>
      <w:r w:rsidR="001C3C04">
        <w:t>watercourse</w:t>
      </w:r>
      <w:r w:rsidRPr="00076754">
        <w:t xml:space="preserve"> had the highest average (± S.E.) rating for </w:t>
      </w:r>
      <w:r w:rsidRPr="00076754">
        <w:rPr>
          <w:i/>
        </w:rPr>
        <w:t>Expectedness</w:t>
      </w:r>
      <w:r>
        <w:t>,</w:t>
      </w:r>
      <w:r w:rsidRPr="00076754">
        <w:rPr>
          <w:i/>
        </w:rPr>
        <w:t xml:space="preserve"> </w:t>
      </w:r>
      <w:r w:rsidRPr="00076754">
        <w:t xml:space="preserve">scoring 67.6 ± 7.41 </w:t>
      </w:r>
      <w:r>
        <w:t xml:space="preserve">giving it </w:t>
      </w:r>
      <w:r w:rsidRPr="00076754">
        <w:t xml:space="preserve">an overall rating of “Moderate”, whilst Moomin Creek had the lowest average, </w:t>
      </w:r>
      <w:r>
        <w:t>rating</w:t>
      </w:r>
      <w:r w:rsidRPr="00076754">
        <w:t xml:space="preserve"> a</w:t>
      </w:r>
      <w:r>
        <w:t>s</w:t>
      </w:r>
      <w:r w:rsidRPr="00076754">
        <w:t xml:space="preserve"> “Very Poor” with 23.7 ± 9.83. </w:t>
      </w:r>
      <w:r w:rsidR="00A97349">
        <w:t xml:space="preserve"> </w:t>
      </w:r>
      <w:r w:rsidRPr="00076754">
        <w:t xml:space="preserve">The Gwydir and Mehi rivers had an average </w:t>
      </w:r>
      <w:r>
        <w:t>rating</w:t>
      </w:r>
      <w:r w:rsidRPr="00076754">
        <w:t xml:space="preserve"> of “Very Poor” and “Poor” respectively for </w:t>
      </w:r>
      <w:r w:rsidRPr="00076754">
        <w:rPr>
          <w:i/>
        </w:rPr>
        <w:t>Expectedness</w:t>
      </w:r>
      <w:r w:rsidRPr="00076754">
        <w:t xml:space="preserve"> (</w:t>
      </w:r>
      <w:r w:rsidR="00A97349">
        <w:fldChar w:fldCharType="begin"/>
      </w:r>
      <w:r w:rsidR="00A97349">
        <w:instrText xml:space="preserve"> REF _Ref458881663 \h </w:instrText>
      </w:r>
      <w:r w:rsidR="00A97349">
        <w:fldChar w:fldCharType="separate"/>
      </w:r>
      <w:r w:rsidR="005D5925">
        <w:t xml:space="preserve">Table </w:t>
      </w:r>
      <w:r w:rsidR="005D5925">
        <w:rPr>
          <w:noProof/>
        </w:rPr>
        <w:t>I</w:t>
      </w:r>
      <w:r w:rsidR="005D5925">
        <w:noBreakHyphen/>
      </w:r>
      <w:r w:rsidR="005D5925">
        <w:rPr>
          <w:noProof/>
        </w:rPr>
        <w:t>6</w:t>
      </w:r>
      <w:r w:rsidR="00A97349">
        <w:fldChar w:fldCharType="end"/>
      </w:r>
      <w:r w:rsidRPr="00076754">
        <w:t xml:space="preserve">). </w:t>
      </w:r>
      <w:r w:rsidR="00A97349">
        <w:t xml:space="preserve"> </w:t>
      </w:r>
      <w:r w:rsidRPr="00076754">
        <w:t xml:space="preserve">Although both systems overall scored </w:t>
      </w:r>
      <w:r>
        <w:t>low</w:t>
      </w:r>
      <w:r w:rsidRPr="00076754">
        <w:t xml:space="preserve">, individual sites in the Gwydir rated as high as “Moderate” and in the Mehi two sites scored </w:t>
      </w:r>
      <w:r>
        <w:t xml:space="preserve">&gt; </w:t>
      </w:r>
      <w:r w:rsidRPr="00076754">
        <w:t>85 giving them an individual rating of “Good” (</w:t>
      </w:r>
      <w:r w:rsidR="00037217">
        <w:fldChar w:fldCharType="begin"/>
      </w:r>
      <w:r w:rsidR="00037217">
        <w:instrText xml:space="preserve"> REF _Ref458881663 \h </w:instrText>
      </w:r>
      <w:r w:rsidR="00037217">
        <w:fldChar w:fldCharType="separate"/>
      </w:r>
      <w:r w:rsidR="005D5925">
        <w:t xml:space="preserve">Table </w:t>
      </w:r>
      <w:r w:rsidR="005D5925">
        <w:rPr>
          <w:noProof/>
        </w:rPr>
        <w:t>I</w:t>
      </w:r>
      <w:r w:rsidR="005D5925">
        <w:noBreakHyphen/>
      </w:r>
      <w:r w:rsidR="005D5925">
        <w:rPr>
          <w:noProof/>
        </w:rPr>
        <w:t>6</w:t>
      </w:r>
      <w:r w:rsidR="00037217">
        <w:fldChar w:fldCharType="end"/>
      </w:r>
      <w:r w:rsidRPr="00076754">
        <w:t>).</w:t>
      </w:r>
    </w:p>
    <w:p w:rsidR="00423C6C" w:rsidRPr="00E23B8D" w:rsidRDefault="00423C6C" w:rsidP="00AE6164">
      <w:pPr>
        <w:rPr>
          <w:b/>
          <w:i/>
        </w:rPr>
      </w:pPr>
      <w:r w:rsidRPr="00E23B8D">
        <w:rPr>
          <w:b/>
          <w:i/>
        </w:rPr>
        <w:t>Nativeness</w:t>
      </w:r>
    </w:p>
    <w:p w:rsidR="00423C6C" w:rsidRPr="00037217" w:rsidRDefault="00423C6C" w:rsidP="00233D04">
      <w:r w:rsidRPr="00037217">
        <w:t xml:space="preserve">Three of the 13 fish species caught in the current sampling round were exotic; common carp, goldfish and </w:t>
      </w:r>
      <w:r w:rsidR="002159C6" w:rsidRPr="00037217">
        <w:t>E</w:t>
      </w:r>
      <w:r w:rsidR="00E23B8D">
        <w:t>astern mosquitofish</w:t>
      </w:r>
      <w:r w:rsidRPr="00037217">
        <w:t xml:space="preserve"> (</w:t>
      </w:r>
      <w:r w:rsidR="00037217" w:rsidRPr="00037217">
        <w:fldChar w:fldCharType="begin"/>
      </w:r>
      <w:r w:rsidR="00037217" w:rsidRPr="00037217">
        <w:instrText xml:space="preserve"> REF _Ref458692756 \h  \* MERGEFORMAT </w:instrText>
      </w:r>
      <w:r w:rsidR="00037217" w:rsidRPr="00037217">
        <w:fldChar w:fldCharType="separate"/>
      </w:r>
      <w:r w:rsidR="005D5925">
        <w:t xml:space="preserve">Figure </w:t>
      </w:r>
      <w:r w:rsidR="005D5925">
        <w:rPr>
          <w:noProof/>
        </w:rPr>
        <w:t>I</w:t>
      </w:r>
      <w:r w:rsidR="005D5925">
        <w:rPr>
          <w:noProof/>
        </w:rPr>
        <w:noBreakHyphen/>
        <w:t>4</w:t>
      </w:r>
      <w:r w:rsidR="00037217" w:rsidRPr="00037217">
        <w:fldChar w:fldCharType="end"/>
      </w:r>
      <w:r w:rsidRPr="00037217">
        <w:t>)</w:t>
      </w:r>
      <w:r w:rsidRPr="00037217">
        <w:rPr>
          <w:szCs w:val="22"/>
        </w:rPr>
        <w:t xml:space="preserve">. </w:t>
      </w:r>
      <w:r w:rsidR="00A97349">
        <w:rPr>
          <w:szCs w:val="22"/>
        </w:rPr>
        <w:t xml:space="preserve"> </w:t>
      </w:r>
      <w:r w:rsidRPr="00037217">
        <w:rPr>
          <w:szCs w:val="22"/>
        </w:rPr>
        <w:t xml:space="preserve">Of these, </w:t>
      </w:r>
      <w:r w:rsidRPr="00037217">
        <w:t xml:space="preserve">common carp was the most abundant (n = 167) and also the most widespread, having been caught at all but one of the 17 non-dry sites sampled. As was the case in 2014-15, the highest catches of carp were in Moomin Creek (n = 54), followed by the Gingham </w:t>
      </w:r>
      <w:r w:rsidR="001C3C04">
        <w:t>watercourse</w:t>
      </w:r>
      <w:r w:rsidRPr="00037217">
        <w:t xml:space="preserve"> (n = 46), with the Gwydir and Mehi both recording catches of &lt; 45 in total for all sites combined. </w:t>
      </w:r>
      <w:r w:rsidR="00A97349">
        <w:t xml:space="preserve"> </w:t>
      </w:r>
      <w:r w:rsidRPr="00037217">
        <w:t xml:space="preserve">Eastern mosquitofish were the next most abundant (n = 137) and widespread exotic species sampled, being caught at nine sites and in all </w:t>
      </w:r>
      <w:r w:rsidR="009E0995">
        <w:t>channels</w:t>
      </w:r>
      <w:r w:rsidRPr="00037217">
        <w:t xml:space="preserve">. </w:t>
      </w:r>
      <w:r w:rsidR="00A97349">
        <w:t xml:space="preserve"> </w:t>
      </w:r>
      <w:r w:rsidRPr="00037217">
        <w:t xml:space="preserve">Goldfish (n = 48) were the least widespread being caught at only seven sites, however, they were caught in three of the four </w:t>
      </w:r>
      <w:r w:rsidR="009E0995">
        <w:t>channels sampled</w:t>
      </w:r>
      <w:r w:rsidRPr="00037217">
        <w:t xml:space="preserve">; the Gingham </w:t>
      </w:r>
      <w:r w:rsidR="001C3C04">
        <w:t>watercourse</w:t>
      </w:r>
      <w:r w:rsidRPr="00037217">
        <w:t xml:space="preserve">, Mehi River and Moomin Creek. </w:t>
      </w:r>
      <w:r w:rsidR="00A97349">
        <w:t xml:space="preserve"> </w:t>
      </w:r>
      <w:r w:rsidRPr="00037217">
        <w:t xml:space="preserve">Overall, catches of common carp and goldfish were lower than in 2014-15, however, nearly three times as many mosquitofish were sampled in 2015-16 compared to 2014-15.  </w:t>
      </w:r>
    </w:p>
    <w:p w:rsidR="005A53B3" w:rsidRDefault="00423C6C" w:rsidP="00233D04">
      <w:pPr>
        <w:rPr>
          <w:lang w:eastAsia="en-AU"/>
        </w:rPr>
      </w:pPr>
      <w:r w:rsidRPr="00037217">
        <w:t>The relatively low abu</w:t>
      </w:r>
      <w:r w:rsidR="009E0995">
        <w:t>ndance of exotic species and in-</w:t>
      </w:r>
      <w:r w:rsidRPr="00037217">
        <w:t xml:space="preserve">particular common carp and goldfish, is reflected in the high </w:t>
      </w:r>
      <w:r w:rsidRPr="00A5046E">
        <w:rPr>
          <w:i/>
        </w:rPr>
        <w:t>Nativeness</w:t>
      </w:r>
      <w:r w:rsidRPr="00037217">
        <w:t xml:space="preserve"> scores for most sites. </w:t>
      </w:r>
      <w:r w:rsidR="00A97349">
        <w:t xml:space="preserve"> </w:t>
      </w:r>
      <w:r w:rsidRPr="00037217">
        <w:t>Of the 17 non-dry sites sampled, eight rated as “Good” compared to only four in 2014-15, three as “Moderate” compared to two in 2014-15, five as “Poor” compared to 10 in 2014-15 and only one as “Poor” which was the same in 2014-15 (</w:t>
      </w:r>
      <w:r w:rsidR="00A5046E">
        <w:fldChar w:fldCharType="begin"/>
      </w:r>
      <w:r w:rsidR="00A5046E">
        <w:instrText xml:space="preserve"> REF _Ref458881663 \h </w:instrText>
      </w:r>
      <w:r w:rsidR="00A5046E">
        <w:fldChar w:fldCharType="separate"/>
      </w:r>
      <w:r w:rsidR="005D5925">
        <w:t xml:space="preserve">Table </w:t>
      </w:r>
      <w:r w:rsidR="005D5925">
        <w:rPr>
          <w:noProof/>
        </w:rPr>
        <w:t>I</w:t>
      </w:r>
      <w:r w:rsidR="005D5925">
        <w:noBreakHyphen/>
      </w:r>
      <w:r w:rsidR="005D5925">
        <w:rPr>
          <w:noProof/>
        </w:rPr>
        <w:t>6</w:t>
      </w:r>
      <w:r w:rsidR="00A5046E">
        <w:fldChar w:fldCharType="end"/>
      </w:r>
      <w:r w:rsidRPr="00037217">
        <w:t>).</w:t>
      </w:r>
      <w:r w:rsidR="00A97349">
        <w:t xml:space="preserve"> </w:t>
      </w:r>
      <w:r w:rsidRPr="00037217">
        <w:t xml:space="preserve"> Individual site ratings ranged from 98.9 at the Moree site in the Mehi River, down to 0 at the six dry sites. </w:t>
      </w:r>
      <w:r w:rsidR="00A97349">
        <w:t xml:space="preserve"> </w:t>
      </w:r>
      <w:r w:rsidRPr="00037217">
        <w:t xml:space="preserve">By </w:t>
      </w:r>
      <w:r w:rsidR="009E0995">
        <w:t>channel</w:t>
      </w:r>
      <w:r w:rsidRPr="00037217">
        <w:t xml:space="preserve">, the Gingham </w:t>
      </w:r>
      <w:r w:rsidR="001C3C04">
        <w:t>watercourse</w:t>
      </w:r>
      <w:r w:rsidRPr="00037217">
        <w:t xml:space="preserve"> had the highest average site score at </w:t>
      </w:r>
      <w:r w:rsidRPr="00037217">
        <w:rPr>
          <w:lang w:eastAsia="en-AU"/>
        </w:rPr>
        <w:t>65.6 ± 11.62,</w:t>
      </w:r>
      <w:r w:rsidRPr="00037217">
        <w:t xml:space="preserve"> giving it an overall rating of “Moderate” for Nativeness. </w:t>
      </w:r>
      <w:r w:rsidR="00A97349">
        <w:t xml:space="preserve"> </w:t>
      </w:r>
      <w:r w:rsidRPr="00037217">
        <w:t xml:space="preserve">This is in contrast to the 2014-15 result when the Gingham rated the lowest with an average score of </w:t>
      </w:r>
      <w:r w:rsidRPr="00037217">
        <w:rPr>
          <w:lang w:eastAsia="en-AU"/>
        </w:rPr>
        <w:t xml:space="preserve">28.1 ± 11.59. </w:t>
      </w:r>
      <w:r w:rsidR="00A97349">
        <w:rPr>
          <w:lang w:eastAsia="en-AU"/>
        </w:rPr>
        <w:t xml:space="preserve"> </w:t>
      </w:r>
      <w:r w:rsidRPr="00037217">
        <w:rPr>
          <w:lang w:eastAsia="en-AU"/>
        </w:rPr>
        <w:t xml:space="preserve">Of the three remaining </w:t>
      </w:r>
      <w:r w:rsidR="009E0995">
        <w:rPr>
          <w:lang w:eastAsia="en-AU"/>
        </w:rPr>
        <w:t>channels,</w:t>
      </w:r>
      <w:r w:rsidRPr="00037217">
        <w:rPr>
          <w:lang w:eastAsia="en-AU"/>
        </w:rPr>
        <w:t xml:space="preserve"> the Mehi had the next highest average at 64.7 ± 14.81, also giving it an overall rating of “Moderate”, whilst the two remaining zones both scored an overall rating of “Poor” (</w:t>
      </w:r>
      <w:r w:rsidR="00A5046E">
        <w:rPr>
          <w:lang w:eastAsia="en-AU"/>
        </w:rPr>
        <w:fldChar w:fldCharType="begin"/>
      </w:r>
      <w:r w:rsidR="00A5046E">
        <w:rPr>
          <w:lang w:eastAsia="en-AU"/>
        </w:rPr>
        <w:instrText xml:space="preserve"> REF _Ref458881663 \h </w:instrText>
      </w:r>
      <w:r w:rsidR="00A5046E">
        <w:rPr>
          <w:lang w:eastAsia="en-AU"/>
        </w:rPr>
      </w:r>
      <w:r w:rsidR="00A5046E">
        <w:rPr>
          <w:lang w:eastAsia="en-AU"/>
        </w:rPr>
        <w:fldChar w:fldCharType="separate"/>
      </w:r>
      <w:r w:rsidR="005D5925">
        <w:t xml:space="preserve">Table </w:t>
      </w:r>
      <w:r w:rsidR="005D5925">
        <w:rPr>
          <w:noProof/>
        </w:rPr>
        <w:t>I</w:t>
      </w:r>
      <w:r w:rsidR="005D5925">
        <w:noBreakHyphen/>
      </w:r>
      <w:r w:rsidR="005D5925">
        <w:rPr>
          <w:noProof/>
        </w:rPr>
        <w:t>6</w:t>
      </w:r>
      <w:r w:rsidR="00A5046E">
        <w:rPr>
          <w:lang w:eastAsia="en-AU"/>
        </w:rPr>
        <w:fldChar w:fldCharType="end"/>
      </w:r>
      <w:r w:rsidRPr="00037217">
        <w:rPr>
          <w:lang w:eastAsia="en-AU"/>
        </w:rPr>
        <w:t>).</w:t>
      </w:r>
    </w:p>
    <w:p w:rsidR="00423C6C" w:rsidRPr="00E23B8D" w:rsidRDefault="00423C6C" w:rsidP="00AE6164">
      <w:pPr>
        <w:rPr>
          <w:b/>
          <w:i/>
        </w:rPr>
      </w:pPr>
      <w:r w:rsidRPr="00E23B8D">
        <w:rPr>
          <w:b/>
          <w:i/>
        </w:rPr>
        <w:t>Recruitment</w:t>
      </w:r>
    </w:p>
    <w:p w:rsidR="00423C6C" w:rsidRDefault="00423C6C" w:rsidP="00233D04">
      <w:r w:rsidRPr="00576C92">
        <w:t xml:space="preserve">The </w:t>
      </w:r>
      <w:r w:rsidRPr="00576C92">
        <w:rPr>
          <w:i/>
        </w:rPr>
        <w:t>Recruitment</w:t>
      </w:r>
      <w:r w:rsidRPr="00576C92">
        <w:t xml:space="preserve"> Indicator scores were generally lower in the current round </w:t>
      </w:r>
      <w:r>
        <w:t>in comparison</w:t>
      </w:r>
      <w:r w:rsidRPr="00576C92">
        <w:t xml:space="preserve"> to </w:t>
      </w:r>
      <w:r>
        <w:t>2014-15</w:t>
      </w:r>
      <w:r w:rsidRPr="00576C92">
        <w:t xml:space="preserve"> (</w:t>
      </w:r>
      <w:r w:rsidR="00A5046E">
        <w:fldChar w:fldCharType="begin"/>
      </w:r>
      <w:r w:rsidR="00A5046E">
        <w:instrText xml:space="preserve"> REF _Ref458881663 \h </w:instrText>
      </w:r>
      <w:r w:rsidR="00A5046E">
        <w:fldChar w:fldCharType="separate"/>
      </w:r>
      <w:r w:rsidR="005D5925">
        <w:t xml:space="preserve">Table </w:t>
      </w:r>
      <w:r w:rsidR="005D5925">
        <w:rPr>
          <w:noProof/>
        </w:rPr>
        <w:t>I</w:t>
      </w:r>
      <w:r w:rsidR="005D5925">
        <w:noBreakHyphen/>
      </w:r>
      <w:r w:rsidR="005D5925">
        <w:rPr>
          <w:noProof/>
        </w:rPr>
        <w:t>6</w:t>
      </w:r>
      <w:r w:rsidR="00A5046E">
        <w:fldChar w:fldCharType="end"/>
      </w:r>
      <w:r w:rsidRPr="002B06A4">
        <w:t>).</w:t>
      </w:r>
      <w:r w:rsidR="00A97349">
        <w:t xml:space="preserve"> </w:t>
      </w:r>
      <w:r w:rsidRPr="002B06A4">
        <w:t xml:space="preserve"> </w:t>
      </w:r>
      <w:r w:rsidRPr="002B06A4">
        <w:rPr>
          <w:i/>
        </w:rPr>
        <w:t>Recruitment</w:t>
      </w:r>
      <w:r w:rsidRPr="002B06A4">
        <w:t xml:space="preserve"> in </w:t>
      </w:r>
      <w:r>
        <w:t>2015-16</w:t>
      </w:r>
      <w:r w:rsidRPr="002B06A4">
        <w:t xml:space="preserve"> rated as “Poor” in the Gingham, Mehi and Moomin and as “Very Poor” in the Gwydir (</w:t>
      </w:r>
      <w:r w:rsidR="00A5046E">
        <w:fldChar w:fldCharType="begin"/>
      </w:r>
      <w:r w:rsidR="00A5046E">
        <w:instrText xml:space="preserve"> REF _Ref458881663 \h </w:instrText>
      </w:r>
      <w:r w:rsidR="00A5046E">
        <w:fldChar w:fldCharType="separate"/>
      </w:r>
      <w:r w:rsidR="005D5925">
        <w:t xml:space="preserve">Table </w:t>
      </w:r>
      <w:r w:rsidR="005D5925">
        <w:rPr>
          <w:noProof/>
        </w:rPr>
        <w:t>I</w:t>
      </w:r>
      <w:r w:rsidR="005D5925">
        <w:noBreakHyphen/>
      </w:r>
      <w:r w:rsidR="005D5925">
        <w:rPr>
          <w:noProof/>
        </w:rPr>
        <w:t>6</w:t>
      </w:r>
      <w:r w:rsidR="00A5046E">
        <w:fldChar w:fldCharType="end"/>
      </w:r>
      <w:r w:rsidRPr="002B06A4">
        <w:t>).</w:t>
      </w:r>
      <w:r w:rsidR="00A97349">
        <w:t xml:space="preserve"> </w:t>
      </w:r>
      <w:r w:rsidRPr="002B06A4">
        <w:t xml:space="preserve"> </w:t>
      </w:r>
      <w:r w:rsidR="009E0995">
        <w:t>R</w:t>
      </w:r>
      <w:r w:rsidRPr="002B06A4">
        <w:t xml:space="preserve">ecruits made up 54% of the total catch of all </w:t>
      </w:r>
      <w:r>
        <w:t xml:space="preserve">the </w:t>
      </w:r>
      <w:r w:rsidRPr="002B06A4">
        <w:t xml:space="preserve">native fish caught, which is considerably higher than in </w:t>
      </w:r>
      <w:r>
        <w:t>2014-15</w:t>
      </w:r>
      <w:r w:rsidRPr="002B06A4">
        <w:t xml:space="preserve"> when the overall total of recruits </w:t>
      </w:r>
      <w:r w:rsidRPr="00721FC0">
        <w:t xml:space="preserve">was ~42%. </w:t>
      </w:r>
      <w:r w:rsidR="00A97349">
        <w:t xml:space="preserve"> </w:t>
      </w:r>
      <w:r w:rsidRPr="002B06A4">
        <w:t xml:space="preserve">This </w:t>
      </w:r>
      <w:r>
        <w:t>was mainly</w:t>
      </w:r>
      <w:r w:rsidRPr="002B06A4">
        <w:t xml:space="preserve"> due to the capture of large numbers of recruits </w:t>
      </w:r>
      <w:r>
        <w:t>(</w:t>
      </w:r>
      <w:r w:rsidRPr="002B06A4">
        <w:t>95 %</w:t>
      </w:r>
      <w:r>
        <w:t xml:space="preserve">) </w:t>
      </w:r>
      <w:r w:rsidRPr="002B06A4">
        <w:t xml:space="preserve">among the 670 carp gudgeon sampled.  </w:t>
      </w:r>
      <w:r>
        <w:t xml:space="preserve">Among the three remaining small-bodied species sampled, by percentage, recruits were well represented but in overall abundance the numbers were low. </w:t>
      </w:r>
      <w:r w:rsidR="00A97349">
        <w:t xml:space="preserve"> </w:t>
      </w:r>
      <w:r>
        <w:t xml:space="preserve">Recruits were in relatively low numbers or not present at all among the six large-bodied sampled in the current round. </w:t>
      </w:r>
      <w:r w:rsidR="00A97349">
        <w:t xml:space="preserve"> </w:t>
      </w:r>
      <w:r>
        <w:t xml:space="preserve">No silver perch or freshwater catfish and only one golden perch recruit were caught, and only 11 or 16 % of all Murray cod caught were recruits. </w:t>
      </w:r>
      <w:r w:rsidR="00A97349">
        <w:t xml:space="preserve"> </w:t>
      </w:r>
      <w:r>
        <w:t xml:space="preserve">Similarly, only 55 or 9 % of the bony herring caught were recruits. </w:t>
      </w:r>
      <w:r w:rsidR="00A97349">
        <w:t xml:space="preserve"> </w:t>
      </w:r>
      <w:r>
        <w:t>W</w:t>
      </w:r>
      <w:r w:rsidR="009E0995">
        <w:t>hilst 66% of the spangled perch</w:t>
      </w:r>
      <w:r>
        <w:t xml:space="preserve"> sampled were recruits this still only equated to 75 individuals across all sites combined.    </w:t>
      </w:r>
    </w:p>
    <w:p w:rsidR="00423C6C" w:rsidRPr="00CF57E7" w:rsidRDefault="00423C6C" w:rsidP="00233D04">
      <w:r w:rsidRPr="00CF57E7">
        <w:t>There was recruitment evident among all three exotic species sampled</w:t>
      </w:r>
      <w:r>
        <w:t xml:space="preserve"> in the current round</w:t>
      </w:r>
      <w:r w:rsidRPr="00CF57E7">
        <w:t xml:space="preserve">. As in </w:t>
      </w:r>
      <w:r>
        <w:t>2014-15</w:t>
      </w:r>
      <w:r w:rsidRPr="00CF57E7">
        <w:t xml:space="preserve">, all goldfish sampled were considered as potentially being </w:t>
      </w:r>
      <w:r>
        <w:t>spawned in the last year</w:t>
      </w:r>
      <w:r w:rsidRPr="00CF57E7">
        <w:t xml:space="preserve">. </w:t>
      </w:r>
      <w:r w:rsidR="00A97349">
        <w:t xml:space="preserve"> </w:t>
      </w:r>
      <w:r w:rsidRPr="00CF57E7">
        <w:t xml:space="preserve">Contrastingly, while there were small </w:t>
      </w:r>
      <w:r w:rsidRPr="0055226F">
        <w:t>numbers of juvenile mosquitofish caught, overall the catch was dominated by a</w:t>
      </w:r>
      <w:r w:rsidRPr="00CF57E7">
        <w:t xml:space="preserve">dults. </w:t>
      </w:r>
      <w:r w:rsidR="00A97349">
        <w:t xml:space="preserve"> </w:t>
      </w:r>
      <w:r w:rsidRPr="00CF57E7">
        <w:t xml:space="preserve">There were relatively large numbers of juvenile carp present but not in </w:t>
      </w:r>
      <w:r w:rsidR="009E0995">
        <w:t>channels</w:t>
      </w:r>
      <w:r w:rsidRPr="00CF57E7">
        <w:t>.</w:t>
      </w:r>
      <w:r w:rsidR="00A97349">
        <w:t xml:space="preserve"> </w:t>
      </w:r>
      <w:r w:rsidRPr="00CF57E7">
        <w:t xml:space="preserve"> In the Gingham, Gwydir and Mehi, &lt;1 year olds represented &lt; 20 % of the total number of carp caught, but in Moomin Creek &lt;1 year olds represented 96 % of the total catch.</w:t>
      </w:r>
      <w:r w:rsidR="00A97349">
        <w:t xml:space="preserve">  </w:t>
      </w:r>
      <w:r w:rsidRPr="00CF57E7">
        <w:t xml:space="preserve">The Moomin was similar to that of </w:t>
      </w:r>
      <w:r>
        <w:t>2014-15</w:t>
      </w:r>
      <w:r w:rsidRPr="00CF57E7">
        <w:t xml:space="preserve"> where &lt;</w:t>
      </w:r>
      <w:r>
        <w:t xml:space="preserve"> </w:t>
      </w:r>
      <w:r w:rsidRPr="00CF57E7">
        <w:t>80</w:t>
      </w:r>
      <w:r>
        <w:t xml:space="preserve"> </w:t>
      </w:r>
      <w:r w:rsidRPr="00CF57E7">
        <w:t xml:space="preserve">% of the carp caught were &lt;1 year old. </w:t>
      </w:r>
      <w:r w:rsidR="00A97349">
        <w:t xml:space="preserve"> </w:t>
      </w:r>
      <w:r w:rsidRPr="00CF57E7">
        <w:t xml:space="preserve">However, there were considerably less juveniles caught in the current round in the Gingham (8%) compared to </w:t>
      </w:r>
      <w:r>
        <w:t>2014-15</w:t>
      </w:r>
      <w:r w:rsidRPr="00CF57E7">
        <w:t xml:space="preserve"> when they represented &lt;70 % of the total catch. </w:t>
      </w:r>
      <w:r w:rsidR="00A97349">
        <w:t xml:space="preserve"> </w:t>
      </w:r>
      <w:r w:rsidRPr="00CF57E7">
        <w:t xml:space="preserve">Catches of juvenile carp were also lower than in </w:t>
      </w:r>
      <w:r>
        <w:t>2014-15</w:t>
      </w:r>
      <w:r w:rsidRPr="00CF57E7">
        <w:t xml:space="preserve"> in the Gwydir and Mehi (~10 %) but to a lesser degree than that of the Gingham. </w:t>
      </w:r>
    </w:p>
    <w:p w:rsidR="00423C6C" w:rsidRPr="00CE0493" w:rsidRDefault="00423C6C" w:rsidP="00233D04">
      <w:pPr>
        <w:rPr>
          <w:b/>
          <w:i/>
        </w:rPr>
      </w:pPr>
      <w:r w:rsidRPr="00CE0493">
        <w:rPr>
          <w:b/>
          <w:i/>
        </w:rPr>
        <w:t>Overall score</w:t>
      </w:r>
    </w:p>
    <w:p w:rsidR="00423C6C" w:rsidRPr="00CD3111" w:rsidRDefault="00423C6C" w:rsidP="00233D04">
      <w:r w:rsidRPr="00291603">
        <w:t xml:space="preserve">The </w:t>
      </w:r>
      <w:r w:rsidRPr="00291603">
        <w:rPr>
          <w:i/>
        </w:rPr>
        <w:t>Overall Fish Condition</w:t>
      </w:r>
      <w:r w:rsidRPr="00291603">
        <w:t xml:space="preserve"> (</w:t>
      </w:r>
      <w:r w:rsidRPr="00291603">
        <w:rPr>
          <w:i/>
        </w:rPr>
        <w:t>ndx-FS</w:t>
      </w:r>
      <w:r w:rsidRPr="00291603">
        <w:t xml:space="preserve">) scores for individual sites across the lower Gwydir </w:t>
      </w:r>
      <w:r w:rsidR="009E0995">
        <w:t>system</w:t>
      </w:r>
      <w:r w:rsidRPr="00291603">
        <w:t xml:space="preserve"> varied considerably</w:t>
      </w:r>
      <w:r>
        <w:t xml:space="preserve"> and were in general lower at both the site and </w:t>
      </w:r>
      <w:r w:rsidR="009E0995">
        <w:t>channel</w:t>
      </w:r>
      <w:r>
        <w:t xml:space="preserve"> scale than in 2014-15</w:t>
      </w:r>
      <w:r w:rsidRPr="00291603">
        <w:t>.</w:t>
      </w:r>
      <w:r w:rsidR="00A97349">
        <w:t xml:space="preserve"> </w:t>
      </w:r>
      <w:r w:rsidRPr="00291603">
        <w:t xml:space="preserve"> </w:t>
      </w:r>
      <w:r w:rsidRPr="001951B8">
        <w:t>Of the 23 sites sampled</w:t>
      </w:r>
      <w:r>
        <w:t xml:space="preserve"> (including dry sites)</w:t>
      </w:r>
      <w:r w:rsidRPr="001951B8">
        <w:t xml:space="preserve">, </w:t>
      </w:r>
      <w:r w:rsidRPr="00B755C4">
        <w:t>none rated as “Good”, only three rated as “Moderate”, nine as “Poor”, five as “Very Poor” and the six dry sites rated as “Extremely Poor” (</w:t>
      </w:r>
      <w:r w:rsidR="00A5046E">
        <w:fldChar w:fldCharType="begin"/>
      </w:r>
      <w:r w:rsidR="00A5046E">
        <w:instrText xml:space="preserve"> REF _Ref458881663 \h </w:instrText>
      </w:r>
      <w:r w:rsidR="00A5046E">
        <w:fldChar w:fldCharType="separate"/>
      </w:r>
      <w:r w:rsidR="005D5925">
        <w:t xml:space="preserve">Table </w:t>
      </w:r>
      <w:r w:rsidR="005D5925">
        <w:rPr>
          <w:noProof/>
        </w:rPr>
        <w:t>I</w:t>
      </w:r>
      <w:r w:rsidR="005D5925">
        <w:noBreakHyphen/>
      </w:r>
      <w:r w:rsidR="005D5925">
        <w:rPr>
          <w:noProof/>
        </w:rPr>
        <w:t>6</w:t>
      </w:r>
      <w:r w:rsidR="00A5046E">
        <w:fldChar w:fldCharType="end"/>
      </w:r>
      <w:r w:rsidRPr="00B755C4">
        <w:t xml:space="preserve">). </w:t>
      </w:r>
      <w:r w:rsidR="00A97349">
        <w:t xml:space="preserve"> </w:t>
      </w:r>
      <w:r w:rsidRPr="00B755C4">
        <w:t xml:space="preserve">Scores ranged from 69 or “Moderate” for the Gingham 4 site in Gingham </w:t>
      </w:r>
      <w:r w:rsidR="001C3C04">
        <w:t>watercourse</w:t>
      </w:r>
      <w:r w:rsidRPr="00B755C4">
        <w:t>, down to 0 for the six dry sites (</w:t>
      </w:r>
      <w:r w:rsidR="00A5046E">
        <w:fldChar w:fldCharType="begin"/>
      </w:r>
      <w:r w:rsidR="00A5046E">
        <w:instrText xml:space="preserve"> REF _Ref458881663 \h </w:instrText>
      </w:r>
      <w:r w:rsidR="00A5046E">
        <w:fldChar w:fldCharType="separate"/>
      </w:r>
      <w:r w:rsidR="005D5925">
        <w:t xml:space="preserve">Table </w:t>
      </w:r>
      <w:r w:rsidR="005D5925">
        <w:rPr>
          <w:noProof/>
        </w:rPr>
        <w:t>I</w:t>
      </w:r>
      <w:r w:rsidR="005D5925">
        <w:noBreakHyphen/>
      </w:r>
      <w:r w:rsidR="005D5925">
        <w:rPr>
          <w:noProof/>
        </w:rPr>
        <w:t>6</w:t>
      </w:r>
      <w:r w:rsidR="00A5046E">
        <w:fldChar w:fldCharType="end"/>
      </w:r>
      <w:r w:rsidRPr="00B755C4">
        <w:t xml:space="preserve">). </w:t>
      </w:r>
      <w:r w:rsidR="00A97349">
        <w:t xml:space="preserve"> </w:t>
      </w:r>
      <w:r w:rsidRPr="00B755C4">
        <w:t xml:space="preserve">By </w:t>
      </w:r>
      <w:r w:rsidR="009E0995">
        <w:t>channel</w:t>
      </w:r>
      <w:r w:rsidRPr="00B755C4">
        <w:t xml:space="preserve">, the Gingham and the Mehi both rated in the high 40’s giving them an overall rating of “Poor”. </w:t>
      </w:r>
      <w:r w:rsidR="00A97349">
        <w:t xml:space="preserve"> </w:t>
      </w:r>
      <w:r w:rsidRPr="00B755C4">
        <w:t xml:space="preserve">In general most sites in both </w:t>
      </w:r>
      <w:r w:rsidR="009E0995">
        <w:t>channels</w:t>
      </w:r>
      <w:r w:rsidRPr="00B755C4">
        <w:t xml:space="preserve"> </w:t>
      </w:r>
      <w:r>
        <w:t>where there was</w:t>
      </w:r>
      <w:r w:rsidRPr="00B755C4">
        <w:t xml:space="preserve"> sufficient water to sample rated as either “Poor” or “Moderate”. In contrast, the Gwydir and Moomin both scored an overall condition rating of “Very Poor”, with average scores of 23.7 ± 10.75 and 22.2 ± 7.74, respectively (</w:t>
      </w:r>
      <w:r w:rsidR="00A5046E">
        <w:fldChar w:fldCharType="begin"/>
      </w:r>
      <w:r w:rsidR="00A5046E">
        <w:instrText xml:space="preserve"> REF _Ref458881663 \h </w:instrText>
      </w:r>
      <w:r w:rsidR="00A5046E">
        <w:fldChar w:fldCharType="separate"/>
      </w:r>
      <w:r w:rsidR="005D5925">
        <w:t xml:space="preserve">Table </w:t>
      </w:r>
      <w:r w:rsidR="005D5925">
        <w:rPr>
          <w:noProof/>
        </w:rPr>
        <w:t>I</w:t>
      </w:r>
      <w:r w:rsidR="005D5925">
        <w:noBreakHyphen/>
      </w:r>
      <w:r w:rsidR="005D5925">
        <w:rPr>
          <w:noProof/>
        </w:rPr>
        <w:t>6</w:t>
      </w:r>
      <w:r w:rsidR="00A5046E">
        <w:fldChar w:fldCharType="end"/>
      </w:r>
      <w:r w:rsidRPr="00B755C4">
        <w:t xml:space="preserve">). </w:t>
      </w:r>
      <w:r w:rsidR="00A97349">
        <w:t xml:space="preserve"> </w:t>
      </w:r>
      <w:r w:rsidRPr="00B755C4">
        <w:t xml:space="preserve">Unlike the Gingham and Mehi, no sites scored a “Moderate” rating in either the Gwydir or Moomin, and excluding those sites that were dry, the majority rated as “Very Poor” in both </w:t>
      </w:r>
      <w:r w:rsidR="009E0995">
        <w:t>channels</w:t>
      </w:r>
      <w:r w:rsidRPr="00B755C4">
        <w:t xml:space="preserve"> (</w:t>
      </w:r>
      <w:r w:rsidR="00A5046E">
        <w:fldChar w:fldCharType="begin"/>
      </w:r>
      <w:r w:rsidR="00A5046E">
        <w:instrText xml:space="preserve"> REF _Ref458693624 \h </w:instrText>
      </w:r>
      <w:r w:rsidR="00A5046E">
        <w:fldChar w:fldCharType="separate"/>
      </w:r>
      <w:r w:rsidR="005D5925">
        <w:t xml:space="preserve">Table </w:t>
      </w:r>
      <w:r w:rsidR="005D5925">
        <w:rPr>
          <w:noProof/>
        </w:rPr>
        <w:t>I</w:t>
      </w:r>
      <w:r w:rsidR="005D5925">
        <w:noBreakHyphen/>
      </w:r>
      <w:r w:rsidR="005D5925">
        <w:rPr>
          <w:noProof/>
        </w:rPr>
        <w:t>5</w:t>
      </w:r>
      <w:r w:rsidR="00A5046E">
        <w:fldChar w:fldCharType="end"/>
      </w:r>
      <w:r w:rsidRPr="00CD3111">
        <w:t xml:space="preserve">).  </w:t>
      </w:r>
    </w:p>
    <w:p w:rsidR="003F50DC" w:rsidRDefault="00233D04" w:rsidP="00673DAF">
      <w:pPr>
        <w:pStyle w:val="Caption"/>
      </w:pPr>
      <w:r>
        <w:br w:type="page"/>
      </w:r>
      <w:bookmarkStart w:id="164" w:name="_Ref458881663"/>
      <w:r w:rsidR="003F50DC">
        <w:t xml:space="preserve">Table </w:t>
      </w:r>
      <w:fldSimple w:instr=" STYLEREF 6 \s ">
        <w:r w:rsidR="005D5925">
          <w:rPr>
            <w:noProof/>
          </w:rPr>
          <w:t>I</w:t>
        </w:r>
      </w:fldSimple>
      <w:r w:rsidR="005D4453">
        <w:noBreakHyphen/>
      </w:r>
      <w:fldSimple w:instr=" SEQ Table \* ARABIC \s 6 ">
        <w:r w:rsidR="005D5925">
          <w:rPr>
            <w:noProof/>
          </w:rPr>
          <w:t>6</w:t>
        </w:r>
      </w:fldSimple>
      <w:bookmarkEnd w:id="164"/>
      <w:r w:rsidR="003F50DC">
        <w:t xml:space="preserve"> </w:t>
      </w:r>
      <w:r w:rsidR="003F50DC">
        <w:rPr>
          <w:i/>
        </w:rPr>
        <w:t xml:space="preserve">Recruitment, Nativeness, </w:t>
      </w:r>
      <w:r w:rsidR="003F50DC" w:rsidRPr="0091088F">
        <w:rPr>
          <w:i/>
          <w:color w:val="000000"/>
          <w:lang w:eastAsia="en-AU"/>
        </w:rPr>
        <w:t>Expectedness</w:t>
      </w:r>
      <w:r w:rsidR="003F50DC" w:rsidRPr="0091088F">
        <w:rPr>
          <w:i/>
          <w:color w:val="000000"/>
          <w:szCs w:val="22"/>
          <w:lang w:eastAsia="en-AU"/>
        </w:rPr>
        <w:t xml:space="preserve"> </w:t>
      </w:r>
      <w:r w:rsidR="003F50DC" w:rsidRPr="00EB1C2A">
        <w:rPr>
          <w:color w:val="000000"/>
          <w:szCs w:val="22"/>
          <w:lang w:eastAsia="en-AU"/>
        </w:rPr>
        <w:t>and</w:t>
      </w:r>
      <w:r w:rsidR="003F50DC">
        <w:rPr>
          <w:color w:val="000000"/>
          <w:szCs w:val="22"/>
          <w:lang w:eastAsia="en-AU"/>
        </w:rPr>
        <w:t xml:space="preserve"> </w:t>
      </w:r>
      <w:r w:rsidR="003F50DC">
        <w:rPr>
          <w:i/>
          <w:color w:val="000000"/>
          <w:szCs w:val="22"/>
          <w:lang w:eastAsia="en-AU"/>
        </w:rPr>
        <w:t xml:space="preserve">ndxFS </w:t>
      </w:r>
      <w:r w:rsidR="003F50DC" w:rsidRPr="00767FB6">
        <w:t xml:space="preserve">Indicator </w:t>
      </w:r>
      <w:r w:rsidR="003F50DC">
        <w:t>values</w:t>
      </w:r>
      <w:r w:rsidR="003F50DC" w:rsidRPr="00865E5A">
        <w:t xml:space="preserve"> for fish</w:t>
      </w:r>
      <w:r w:rsidR="003F50DC">
        <w:t xml:space="preserve"> at sites sampled in the </w:t>
      </w:r>
      <w:r w:rsidR="003F50DC" w:rsidRPr="0030099A">
        <w:t xml:space="preserve">Gingham </w:t>
      </w:r>
      <w:r w:rsidR="001C3C04">
        <w:t>watercourse</w:t>
      </w:r>
      <w:r w:rsidR="003F50DC" w:rsidRPr="0030099A">
        <w:t xml:space="preserve">, Gwydir River, Mehi River and </w:t>
      </w:r>
      <w:r w:rsidR="003F50DC">
        <w:t>Moomin</w:t>
      </w:r>
      <w:r w:rsidR="003F50DC" w:rsidRPr="0030099A">
        <w:t xml:space="preserve"> Creek</w:t>
      </w:r>
      <w:r w:rsidR="003F50DC">
        <w:t>.</w:t>
      </w:r>
    </w:p>
    <w:tbl>
      <w:tblPr>
        <w:tblW w:w="5000" w:type="pct"/>
        <w:tblLook w:val="04A0" w:firstRow="1" w:lastRow="0" w:firstColumn="1" w:lastColumn="0" w:noHBand="0" w:noVBand="1"/>
      </w:tblPr>
      <w:tblGrid>
        <w:gridCol w:w="2115"/>
        <w:gridCol w:w="1688"/>
        <w:gridCol w:w="1767"/>
        <w:gridCol w:w="1749"/>
        <w:gridCol w:w="1876"/>
      </w:tblGrid>
      <w:tr w:rsidR="00423C6C" w:rsidRPr="005A53B3" w:rsidTr="005A53B3">
        <w:trPr>
          <w:trHeight w:val="300"/>
        </w:trPr>
        <w:tc>
          <w:tcPr>
            <w:tcW w:w="1150" w:type="pct"/>
            <w:tcBorders>
              <w:top w:val="nil"/>
              <w:left w:val="nil"/>
              <w:bottom w:val="nil"/>
              <w:right w:val="nil"/>
            </w:tcBorders>
            <w:shd w:val="clear" w:color="auto" w:fill="auto"/>
            <w:noWrap/>
            <w:vAlign w:val="center"/>
            <w:hideMark/>
          </w:tcPr>
          <w:p w:rsidR="00423C6C" w:rsidRPr="00CD3111" w:rsidRDefault="00423C6C" w:rsidP="005A53B3">
            <w:pPr>
              <w:spacing w:after="0" w:line="240" w:lineRule="auto"/>
              <w:jc w:val="center"/>
              <w:rPr>
                <w:rFonts w:cs="Arial"/>
                <w:color w:val="000000"/>
                <w:szCs w:val="20"/>
                <w:lang w:eastAsia="en-AU"/>
              </w:rPr>
            </w:pPr>
          </w:p>
        </w:tc>
        <w:tc>
          <w:tcPr>
            <w:tcW w:w="385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C6C" w:rsidRPr="00CD3111" w:rsidRDefault="00423C6C" w:rsidP="005A53B3">
            <w:pPr>
              <w:spacing w:after="0" w:line="240" w:lineRule="auto"/>
              <w:jc w:val="center"/>
              <w:rPr>
                <w:rFonts w:cs="Arial"/>
                <w:bCs/>
                <w:color w:val="000000"/>
                <w:szCs w:val="20"/>
                <w:lang w:eastAsia="en-AU"/>
              </w:rPr>
            </w:pPr>
            <w:r w:rsidRPr="00CD3111">
              <w:rPr>
                <w:rFonts w:cs="Arial"/>
                <w:bCs/>
                <w:color w:val="000000"/>
                <w:szCs w:val="20"/>
                <w:lang w:eastAsia="en-AU"/>
              </w:rPr>
              <w:t>Health Metrics</w:t>
            </w:r>
          </w:p>
        </w:tc>
      </w:tr>
      <w:tr w:rsidR="00423C6C" w:rsidRPr="005A53B3" w:rsidTr="005A53B3">
        <w:trPr>
          <w:trHeight w:val="300"/>
        </w:trPr>
        <w:tc>
          <w:tcPr>
            <w:tcW w:w="1150" w:type="pct"/>
            <w:tcBorders>
              <w:top w:val="single" w:sz="4" w:space="0" w:color="auto"/>
              <w:left w:val="single" w:sz="4" w:space="0" w:color="auto"/>
              <w:bottom w:val="nil"/>
              <w:right w:val="single" w:sz="4" w:space="0" w:color="auto"/>
            </w:tcBorders>
            <w:shd w:val="clear" w:color="auto" w:fill="auto"/>
            <w:noWrap/>
            <w:vAlign w:val="center"/>
            <w:hideMark/>
          </w:tcPr>
          <w:p w:rsidR="00423C6C" w:rsidRPr="00CD3111" w:rsidRDefault="00423C6C" w:rsidP="005A53B3">
            <w:pPr>
              <w:spacing w:after="0" w:line="240" w:lineRule="auto"/>
              <w:jc w:val="center"/>
              <w:rPr>
                <w:rFonts w:cs="Arial"/>
                <w:bCs/>
                <w:color w:val="000000"/>
                <w:szCs w:val="20"/>
                <w:lang w:eastAsia="en-AU"/>
              </w:rPr>
            </w:pPr>
            <w:r w:rsidRPr="00CD3111">
              <w:rPr>
                <w:rFonts w:cs="Arial"/>
                <w:bCs/>
                <w:color w:val="000000"/>
                <w:szCs w:val="20"/>
                <w:lang w:eastAsia="en-AU"/>
              </w:rPr>
              <w:t>Site name</w:t>
            </w:r>
          </w:p>
        </w:tc>
        <w:tc>
          <w:tcPr>
            <w:tcW w:w="918" w:type="pct"/>
            <w:tcBorders>
              <w:top w:val="nil"/>
              <w:left w:val="nil"/>
              <w:bottom w:val="nil"/>
              <w:right w:val="single" w:sz="4" w:space="0" w:color="auto"/>
            </w:tcBorders>
            <w:shd w:val="clear" w:color="auto" w:fill="auto"/>
            <w:noWrap/>
            <w:vAlign w:val="center"/>
            <w:hideMark/>
          </w:tcPr>
          <w:p w:rsidR="00423C6C" w:rsidRPr="00CD3111" w:rsidRDefault="00423C6C" w:rsidP="005A53B3">
            <w:pPr>
              <w:spacing w:after="0" w:line="240" w:lineRule="auto"/>
              <w:jc w:val="center"/>
              <w:rPr>
                <w:rFonts w:cs="Arial"/>
                <w:bCs/>
                <w:color w:val="000000"/>
                <w:szCs w:val="20"/>
                <w:lang w:eastAsia="en-AU"/>
              </w:rPr>
            </w:pPr>
            <w:r w:rsidRPr="00CD3111">
              <w:rPr>
                <w:rFonts w:cs="Arial"/>
                <w:bCs/>
                <w:color w:val="000000"/>
                <w:szCs w:val="20"/>
                <w:lang w:eastAsia="en-AU"/>
              </w:rPr>
              <w:t>Recruitment</w:t>
            </w:r>
          </w:p>
        </w:tc>
        <w:tc>
          <w:tcPr>
            <w:tcW w:w="961" w:type="pct"/>
            <w:tcBorders>
              <w:top w:val="nil"/>
              <w:left w:val="nil"/>
              <w:bottom w:val="nil"/>
              <w:right w:val="single" w:sz="4" w:space="0" w:color="auto"/>
            </w:tcBorders>
            <w:shd w:val="clear" w:color="auto" w:fill="auto"/>
            <w:noWrap/>
            <w:vAlign w:val="center"/>
            <w:hideMark/>
          </w:tcPr>
          <w:p w:rsidR="00423C6C" w:rsidRPr="00CD3111" w:rsidRDefault="00423C6C" w:rsidP="005A53B3">
            <w:pPr>
              <w:spacing w:after="0" w:line="240" w:lineRule="auto"/>
              <w:jc w:val="center"/>
              <w:rPr>
                <w:rFonts w:cs="Arial"/>
                <w:bCs/>
                <w:color w:val="000000"/>
                <w:szCs w:val="20"/>
                <w:lang w:eastAsia="en-AU"/>
              </w:rPr>
            </w:pPr>
            <w:r w:rsidRPr="00CD3111">
              <w:rPr>
                <w:rFonts w:cs="Arial"/>
                <w:bCs/>
                <w:color w:val="000000"/>
                <w:szCs w:val="20"/>
                <w:lang w:eastAsia="en-AU"/>
              </w:rPr>
              <w:t>Nativeness</w:t>
            </w:r>
          </w:p>
        </w:tc>
        <w:tc>
          <w:tcPr>
            <w:tcW w:w="951" w:type="pct"/>
            <w:tcBorders>
              <w:top w:val="nil"/>
              <w:left w:val="nil"/>
              <w:bottom w:val="nil"/>
              <w:right w:val="single" w:sz="4" w:space="0" w:color="auto"/>
            </w:tcBorders>
            <w:shd w:val="clear" w:color="auto" w:fill="auto"/>
            <w:noWrap/>
            <w:vAlign w:val="center"/>
            <w:hideMark/>
          </w:tcPr>
          <w:p w:rsidR="00423C6C" w:rsidRPr="00CD3111" w:rsidRDefault="00423C6C" w:rsidP="005A53B3">
            <w:pPr>
              <w:spacing w:after="0" w:line="240" w:lineRule="auto"/>
              <w:jc w:val="center"/>
              <w:rPr>
                <w:rFonts w:cs="Arial"/>
                <w:bCs/>
                <w:color w:val="000000"/>
                <w:szCs w:val="20"/>
                <w:lang w:eastAsia="en-AU"/>
              </w:rPr>
            </w:pPr>
            <w:r w:rsidRPr="00CD3111">
              <w:rPr>
                <w:rFonts w:cs="Arial"/>
                <w:bCs/>
                <w:color w:val="000000"/>
                <w:szCs w:val="20"/>
                <w:lang w:eastAsia="en-AU"/>
              </w:rPr>
              <w:t>Expectedness</w:t>
            </w:r>
          </w:p>
        </w:tc>
        <w:tc>
          <w:tcPr>
            <w:tcW w:w="1020" w:type="pct"/>
            <w:tcBorders>
              <w:top w:val="nil"/>
              <w:left w:val="nil"/>
              <w:bottom w:val="nil"/>
              <w:right w:val="single" w:sz="4" w:space="0" w:color="auto"/>
            </w:tcBorders>
            <w:shd w:val="clear" w:color="auto" w:fill="auto"/>
            <w:noWrap/>
            <w:vAlign w:val="center"/>
            <w:hideMark/>
          </w:tcPr>
          <w:p w:rsidR="00423C6C" w:rsidRPr="00CD3111" w:rsidRDefault="00423C6C" w:rsidP="005A53B3">
            <w:pPr>
              <w:spacing w:after="0" w:line="240" w:lineRule="auto"/>
              <w:jc w:val="center"/>
              <w:rPr>
                <w:rFonts w:cs="Arial"/>
                <w:bCs/>
                <w:color w:val="000000"/>
                <w:szCs w:val="20"/>
                <w:lang w:eastAsia="en-AU"/>
              </w:rPr>
            </w:pPr>
            <w:r w:rsidRPr="00CD3111">
              <w:rPr>
                <w:rFonts w:cs="Arial"/>
                <w:bCs/>
                <w:color w:val="000000"/>
                <w:szCs w:val="20"/>
                <w:lang w:eastAsia="en-AU"/>
              </w:rPr>
              <w:t>ndxFS</w:t>
            </w:r>
          </w:p>
        </w:tc>
      </w:tr>
      <w:tr w:rsidR="00423C6C" w:rsidRPr="005A53B3" w:rsidTr="005A53B3">
        <w:trPr>
          <w:trHeight w:val="300"/>
        </w:trPr>
        <w:tc>
          <w:tcPr>
            <w:tcW w:w="1150" w:type="pct"/>
            <w:vMerge w:val="restart"/>
            <w:tcBorders>
              <w:top w:val="single" w:sz="4" w:space="0" w:color="auto"/>
              <w:left w:val="single" w:sz="4" w:space="0" w:color="auto"/>
              <w:right w:val="nil"/>
            </w:tcBorders>
            <w:shd w:val="clear" w:color="auto" w:fill="auto"/>
            <w:noWrap/>
            <w:vAlign w:val="center"/>
            <w:hideMark/>
          </w:tcPr>
          <w:p w:rsidR="00423C6C" w:rsidRPr="005A53B3" w:rsidRDefault="00423C6C" w:rsidP="005A53B3">
            <w:pPr>
              <w:spacing w:after="0" w:line="240" w:lineRule="auto"/>
              <w:jc w:val="left"/>
              <w:rPr>
                <w:rFonts w:cs="Arial"/>
                <w:color w:val="000000"/>
                <w:szCs w:val="20"/>
                <w:lang w:eastAsia="en-AU"/>
              </w:rPr>
            </w:pPr>
            <w:r w:rsidRPr="005A53B3">
              <w:rPr>
                <w:rFonts w:cs="Arial"/>
                <w:color w:val="000000"/>
                <w:szCs w:val="20"/>
                <w:lang w:eastAsia="en-AU"/>
              </w:rPr>
              <w:t>Gingham Waterhole</w:t>
            </w:r>
          </w:p>
          <w:p w:rsidR="00423C6C" w:rsidRPr="005A53B3" w:rsidRDefault="00423C6C" w:rsidP="005A53B3">
            <w:pPr>
              <w:spacing w:after="0" w:line="240" w:lineRule="auto"/>
              <w:jc w:val="left"/>
              <w:rPr>
                <w:rFonts w:cs="Arial"/>
                <w:color w:val="000000"/>
                <w:szCs w:val="20"/>
                <w:lang w:eastAsia="en-AU"/>
              </w:rPr>
            </w:pPr>
          </w:p>
        </w:tc>
        <w:tc>
          <w:tcPr>
            <w:tcW w:w="9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42.5</w:t>
            </w:r>
          </w:p>
        </w:tc>
        <w:tc>
          <w:tcPr>
            <w:tcW w:w="961" w:type="pct"/>
            <w:tcBorders>
              <w:top w:val="single" w:sz="4" w:space="0" w:color="auto"/>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49.8</w:t>
            </w:r>
          </w:p>
        </w:tc>
        <w:tc>
          <w:tcPr>
            <w:tcW w:w="951" w:type="pct"/>
            <w:tcBorders>
              <w:top w:val="single" w:sz="4" w:space="0" w:color="auto"/>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52.2</w:t>
            </w:r>
          </w:p>
        </w:tc>
        <w:tc>
          <w:tcPr>
            <w:tcW w:w="1020" w:type="pct"/>
            <w:tcBorders>
              <w:top w:val="single" w:sz="4" w:space="0" w:color="auto"/>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37</w:t>
            </w:r>
          </w:p>
        </w:tc>
      </w:tr>
      <w:tr w:rsidR="00423C6C" w:rsidRPr="005A53B3" w:rsidTr="005A53B3">
        <w:trPr>
          <w:trHeight w:val="113"/>
        </w:trPr>
        <w:tc>
          <w:tcPr>
            <w:tcW w:w="1150" w:type="pct"/>
            <w:vMerge/>
            <w:tcBorders>
              <w:left w:val="single" w:sz="4" w:space="0" w:color="auto"/>
              <w:bottom w:val="single" w:sz="4" w:space="0" w:color="auto"/>
              <w:right w:val="nil"/>
            </w:tcBorders>
            <w:shd w:val="clear" w:color="auto" w:fill="auto"/>
            <w:noWrap/>
            <w:vAlign w:val="center"/>
            <w:hideMark/>
          </w:tcPr>
          <w:p w:rsidR="00423C6C" w:rsidRPr="005A53B3" w:rsidRDefault="00423C6C" w:rsidP="005A53B3">
            <w:pPr>
              <w:spacing w:after="0" w:line="240" w:lineRule="auto"/>
              <w:jc w:val="left"/>
              <w:rPr>
                <w:rFonts w:cs="Arial"/>
                <w:color w:val="000000"/>
                <w:szCs w:val="20"/>
                <w:lang w:eastAsia="en-AU"/>
              </w:rPr>
            </w:pPr>
          </w:p>
        </w:tc>
        <w:tc>
          <w:tcPr>
            <w:tcW w:w="918" w:type="pct"/>
            <w:tcBorders>
              <w:top w:val="single" w:sz="4" w:space="0" w:color="auto"/>
              <w:left w:val="single" w:sz="4" w:space="0" w:color="auto"/>
              <w:bottom w:val="single" w:sz="4" w:space="0" w:color="auto"/>
              <w:right w:val="single" w:sz="4" w:space="0" w:color="auto"/>
            </w:tcBorders>
            <w:shd w:val="clear" w:color="000000" w:fill="A4D843"/>
            <w:noWrap/>
            <w:vAlign w:val="center"/>
          </w:tcPr>
          <w:p w:rsidR="00423C6C" w:rsidRPr="005A53B3" w:rsidRDefault="00423C6C" w:rsidP="005A53B3">
            <w:pPr>
              <w:spacing w:after="0" w:line="240" w:lineRule="auto"/>
              <w:jc w:val="center"/>
              <w:rPr>
                <w:rFonts w:cs="Arial"/>
                <w:color w:val="000000"/>
                <w:szCs w:val="20"/>
                <w:lang w:eastAsia="en-AU"/>
              </w:rPr>
            </w:pPr>
          </w:p>
        </w:tc>
        <w:tc>
          <w:tcPr>
            <w:tcW w:w="961" w:type="pct"/>
            <w:tcBorders>
              <w:top w:val="single" w:sz="4" w:space="0" w:color="auto"/>
              <w:left w:val="single" w:sz="4" w:space="0" w:color="auto"/>
              <w:bottom w:val="single" w:sz="4" w:space="0" w:color="auto"/>
              <w:right w:val="single" w:sz="4" w:space="0" w:color="auto"/>
            </w:tcBorders>
            <w:shd w:val="clear" w:color="000000" w:fill="93D14F"/>
            <w:noWrap/>
            <w:vAlign w:val="center"/>
          </w:tcPr>
          <w:p w:rsidR="00423C6C" w:rsidRPr="005A53B3" w:rsidRDefault="00423C6C" w:rsidP="005A53B3">
            <w:pPr>
              <w:spacing w:after="0" w:line="240" w:lineRule="auto"/>
              <w:jc w:val="center"/>
              <w:rPr>
                <w:rFonts w:cs="Arial"/>
                <w:color w:val="000000"/>
                <w:szCs w:val="20"/>
                <w:lang w:eastAsia="en-AU"/>
              </w:rPr>
            </w:pPr>
          </w:p>
        </w:tc>
        <w:tc>
          <w:tcPr>
            <w:tcW w:w="951" w:type="pct"/>
            <w:tcBorders>
              <w:top w:val="single" w:sz="4" w:space="0" w:color="auto"/>
              <w:left w:val="single" w:sz="4" w:space="0" w:color="auto"/>
              <w:bottom w:val="single" w:sz="4" w:space="0" w:color="auto"/>
              <w:right w:val="single" w:sz="4" w:space="0" w:color="auto"/>
            </w:tcBorders>
            <w:shd w:val="clear" w:color="000000" w:fill="8CC950"/>
            <w:noWrap/>
            <w:vAlign w:val="center"/>
          </w:tcPr>
          <w:p w:rsidR="00423C6C" w:rsidRPr="005A53B3" w:rsidRDefault="00423C6C" w:rsidP="005A53B3">
            <w:pPr>
              <w:spacing w:after="0" w:line="240" w:lineRule="auto"/>
              <w:jc w:val="center"/>
              <w:rPr>
                <w:rFonts w:cs="Arial"/>
                <w:color w:val="000000"/>
                <w:szCs w:val="20"/>
                <w:lang w:eastAsia="en-AU"/>
              </w:rPr>
            </w:pPr>
          </w:p>
        </w:tc>
        <w:tc>
          <w:tcPr>
            <w:tcW w:w="1020" w:type="pct"/>
            <w:tcBorders>
              <w:top w:val="single" w:sz="4" w:space="0" w:color="auto"/>
              <w:left w:val="single" w:sz="4" w:space="0" w:color="auto"/>
              <w:bottom w:val="single" w:sz="4" w:space="0" w:color="auto"/>
              <w:right w:val="single" w:sz="4" w:space="0" w:color="auto"/>
            </w:tcBorders>
            <w:shd w:val="clear" w:color="000000" w:fill="AFDD3B"/>
            <w:noWrap/>
            <w:vAlign w:val="center"/>
          </w:tcPr>
          <w:p w:rsidR="00423C6C" w:rsidRPr="005A53B3" w:rsidRDefault="00423C6C" w:rsidP="005A53B3">
            <w:pPr>
              <w:spacing w:after="0" w:line="240" w:lineRule="auto"/>
              <w:jc w:val="center"/>
              <w:rPr>
                <w:rFonts w:cs="Arial"/>
                <w:color w:val="000000"/>
                <w:szCs w:val="20"/>
                <w:lang w:eastAsia="en-AU"/>
              </w:rPr>
            </w:pPr>
          </w:p>
        </w:tc>
      </w:tr>
      <w:tr w:rsidR="00423C6C" w:rsidRPr="005A53B3" w:rsidTr="005A53B3">
        <w:trPr>
          <w:trHeight w:val="300"/>
        </w:trPr>
        <w:tc>
          <w:tcPr>
            <w:tcW w:w="1150" w:type="pct"/>
            <w:vMerge w:val="restart"/>
            <w:tcBorders>
              <w:top w:val="nil"/>
              <w:left w:val="single" w:sz="4" w:space="0" w:color="auto"/>
              <w:right w:val="nil"/>
            </w:tcBorders>
            <w:shd w:val="clear" w:color="auto" w:fill="auto"/>
            <w:noWrap/>
            <w:vAlign w:val="center"/>
            <w:hideMark/>
          </w:tcPr>
          <w:p w:rsidR="00423C6C" w:rsidRPr="005A53B3" w:rsidRDefault="00423C6C" w:rsidP="005A53B3">
            <w:pPr>
              <w:spacing w:after="0" w:line="240" w:lineRule="auto"/>
              <w:jc w:val="left"/>
              <w:rPr>
                <w:rFonts w:cs="Arial"/>
                <w:color w:val="000000"/>
                <w:szCs w:val="20"/>
                <w:lang w:eastAsia="en-AU"/>
              </w:rPr>
            </w:pPr>
            <w:r w:rsidRPr="005A53B3">
              <w:rPr>
                <w:rFonts w:cs="Arial"/>
                <w:color w:val="000000"/>
                <w:szCs w:val="20"/>
                <w:lang w:eastAsia="en-AU"/>
              </w:rPr>
              <w:t>Gingham 38</w:t>
            </w:r>
          </w:p>
          <w:p w:rsidR="00423C6C" w:rsidRPr="005A53B3" w:rsidRDefault="00423C6C" w:rsidP="005A53B3">
            <w:pPr>
              <w:spacing w:after="0" w:line="240" w:lineRule="auto"/>
              <w:jc w:val="left"/>
              <w:rPr>
                <w:rFonts w:cs="Arial"/>
                <w:color w:val="000000"/>
                <w:szCs w:val="20"/>
                <w:lang w:eastAsia="en-AU"/>
              </w:rPr>
            </w:pPr>
          </w:p>
        </w:tc>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42.5</w:t>
            </w:r>
          </w:p>
        </w:tc>
        <w:tc>
          <w:tcPr>
            <w:tcW w:w="961"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98.3</w:t>
            </w:r>
          </w:p>
        </w:tc>
        <w:tc>
          <w:tcPr>
            <w:tcW w:w="951"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52.2</w:t>
            </w:r>
          </w:p>
        </w:tc>
        <w:tc>
          <w:tcPr>
            <w:tcW w:w="1020"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46.8</w:t>
            </w:r>
          </w:p>
        </w:tc>
      </w:tr>
      <w:tr w:rsidR="00423C6C" w:rsidRPr="005A53B3" w:rsidTr="005A53B3">
        <w:trPr>
          <w:trHeight w:val="113"/>
        </w:trPr>
        <w:tc>
          <w:tcPr>
            <w:tcW w:w="1150" w:type="pct"/>
            <w:vMerge/>
            <w:tcBorders>
              <w:left w:val="single" w:sz="4" w:space="0" w:color="auto"/>
              <w:bottom w:val="single" w:sz="4" w:space="0" w:color="auto"/>
              <w:right w:val="nil"/>
            </w:tcBorders>
            <w:shd w:val="clear" w:color="auto" w:fill="auto"/>
            <w:noWrap/>
            <w:vAlign w:val="center"/>
            <w:hideMark/>
          </w:tcPr>
          <w:p w:rsidR="00423C6C" w:rsidRPr="005A53B3" w:rsidRDefault="00423C6C" w:rsidP="005A53B3">
            <w:pPr>
              <w:spacing w:after="0" w:line="240" w:lineRule="auto"/>
              <w:jc w:val="left"/>
              <w:rPr>
                <w:rFonts w:cs="Arial"/>
                <w:color w:val="000000"/>
                <w:szCs w:val="20"/>
                <w:lang w:eastAsia="en-AU"/>
              </w:rPr>
            </w:pPr>
          </w:p>
        </w:tc>
        <w:tc>
          <w:tcPr>
            <w:tcW w:w="918" w:type="pct"/>
            <w:tcBorders>
              <w:top w:val="single" w:sz="4" w:space="0" w:color="auto"/>
              <w:left w:val="single" w:sz="4" w:space="0" w:color="auto"/>
              <w:bottom w:val="single" w:sz="4" w:space="0" w:color="auto"/>
              <w:right w:val="single" w:sz="4" w:space="0" w:color="auto"/>
            </w:tcBorders>
            <w:shd w:val="clear" w:color="000000" w:fill="A3D844"/>
            <w:noWrap/>
            <w:vAlign w:val="center"/>
          </w:tcPr>
          <w:p w:rsidR="00423C6C" w:rsidRPr="005A53B3" w:rsidRDefault="00423C6C" w:rsidP="005A53B3">
            <w:pPr>
              <w:spacing w:after="0" w:line="240" w:lineRule="auto"/>
              <w:jc w:val="center"/>
              <w:rPr>
                <w:rFonts w:cs="Arial"/>
                <w:color w:val="000000"/>
                <w:szCs w:val="20"/>
                <w:lang w:eastAsia="en-AU"/>
              </w:rPr>
            </w:pPr>
          </w:p>
        </w:tc>
        <w:tc>
          <w:tcPr>
            <w:tcW w:w="961" w:type="pct"/>
            <w:tcBorders>
              <w:top w:val="single" w:sz="4" w:space="0" w:color="auto"/>
              <w:left w:val="single" w:sz="4" w:space="0" w:color="auto"/>
              <w:bottom w:val="single" w:sz="4" w:space="0" w:color="auto"/>
              <w:right w:val="single" w:sz="4" w:space="0" w:color="auto"/>
            </w:tcBorders>
            <w:shd w:val="clear" w:color="000000" w:fill="05265F"/>
            <w:noWrap/>
            <w:vAlign w:val="center"/>
          </w:tcPr>
          <w:p w:rsidR="00423C6C" w:rsidRPr="005A53B3" w:rsidRDefault="00423C6C" w:rsidP="005A53B3">
            <w:pPr>
              <w:spacing w:after="0" w:line="240" w:lineRule="auto"/>
              <w:jc w:val="center"/>
              <w:rPr>
                <w:rFonts w:cs="Arial"/>
                <w:color w:val="000000"/>
                <w:szCs w:val="20"/>
                <w:lang w:eastAsia="en-AU"/>
              </w:rPr>
            </w:pPr>
          </w:p>
        </w:tc>
        <w:tc>
          <w:tcPr>
            <w:tcW w:w="951" w:type="pct"/>
            <w:tcBorders>
              <w:top w:val="single" w:sz="4" w:space="0" w:color="auto"/>
              <w:left w:val="single" w:sz="4" w:space="0" w:color="auto"/>
              <w:bottom w:val="single" w:sz="4" w:space="0" w:color="auto"/>
              <w:right w:val="single" w:sz="4" w:space="0" w:color="auto"/>
            </w:tcBorders>
            <w:shd w:val="clear" w:color="000000" w:fill="8CC950"/>
            <w:noWrap/>
            <w:vAlign w:val="center"/>
          </w:tcPr>
          <w:p w:rsidR="00423C6C" w:rsidRPr="005A53B3" w:rsidRDefault="00423C6C" w:rsidP="005A53B3">
            <w:pPr>
              <w:spacing w:after="0" w:line="240" w:lineRule="auto"/>
              <w:jc w:val="center"/>
              <w:rPr>
                <w:rFonts w:cs="Arial"/>
                <w:color w:val="000000"/>
                <w:szCs w:val="20"/>
                <w:lang w:eastAsia="en-AU"/>
              </w:rPr>
            </w:pPr>
          </w:p>
        </w:tc>
        <w:tc>
          <w:tcPr>
            <w:tcW w:w="1020" w:type="pct"/>
            <w:tcBorders>
              <w:top w:val="single" w:sz="4" w:space="0" w:color="auto"/>
              <w:left w:val="single" w:sz="4" w:space="0" w:color="auto"/>
              <w:bottom w:val="single" w:sz="4" w:space="0" w:color="auto"/>
              <w:right w:val="single" w:sz="4" w:space="0" w:color="auto"/>
            </w:tcBorders>
            <w:shd w:val="clear" w:color="000000" w:fill="99D44A"/>
            <w:noWrap/>
            <w:vAlign w:val="center"/>
          </w:tcPr>
          <w:p w:rsidR="00423C6C" w:rsidRPr="005A53B3" w:rsidRDefault="00423C6C" w:rsidP="005A53B3">
            <w:pPr>
              <w:spacing w:after="0" w:line="240" w:lineRule="auto"/>
              <w:jc w:val="center"/>
              <w:rPr>
                <w:rFonts w:cs="Arial"/>
                <w:color w:val="000000"/>
                <w:szCs w:val="20"/>
                <w:lang w:eastAsia="en-AU"/>
              </w:rPr>
            </w:pPr>
          </w:p>
        </w:tc>
      </w:tr>
      <w:tr w:rsidR="00423C6C" w:rsidRPr="005A53B3" w:rsidTr="005A53B3">
        <w:trPr>
          <w:trHeight w:val="300"/>
        </w:trPr>
        <w:tc>
          <w:tcPr>
            <w:tcW w:w="1150" w:type="pct"/>
            <w:vMerge w:val="restart"/>
            <w:tcBorders>
              <w:top w:val="nil"/>
              <w:left w:val="single" w:sz="4" w:space="0" w:color="auto"/>
              <w:right w:val="nil"/>
            </w:tcBorders>
            <w:shd w:val="clear" w:color="auto" w:fill="auto"/>
            <w:noWrap/>
            <w:vAlign w:val="center"/>
            <w:hideMark/>
          </w:tcPr>
          <w:p w:rsidR="00423C6C" w:rsidRPr="005A53B3" w:rsidRDefault="00423C6C" w:rsidP="005A53B3">
            <w:pPr>
              <w:spacing w:after="0" w:line="240" w:lineRule="auto"/>
              <w:jc w:val="left"/>
              <w:rPr>
                <w:rFonts w:cs="Arial"/>
                <w:color w:val="000000"/>
                <w:szCs w:val="20"/>
                <w:lang w:eastAsia="en-AU"/>
              </w:rPr>
            </w:pPr>
            <w:r w:rsidRPr="005A53B3">
              <w:rPr>
                <w:rFonts w:cs="Arial"/>
                <w:color w:val="000000"/>
                <w:szCs w:val="20"/>
                <w:lang w:eastAsia="en-AU"/>
              </w:rPr>
              <w:t>Bullerana</w:t>
            </w:r>
          </w:p>
          <w:p w:rsidR="00423C6C" w:rsidRPr="005A53B3" w:rsidRDefault="00423C6C" w:rsidP="005A53B3">
            <w:pPr>
              <w:spacing w:after="0" w:line="240" w:lineRule="auto"/>
              <w:jc w:val="left"/>
              <w:rPr>
                <w:rFonts w:cs="Arial"/>
                <w:color w:val="000000"/>
                <w:szCs w:val="20"/>
                <w:lang w:eastAsia="en-AU"/>
              </w:rPr>
            </w:pPr>
          </w:p>
        </w:tc>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42.5</w:t>
            </w:r>
          </w:p>
        </w:tc>
        <w:tc>
          <w:tcPr>
            <w:tcW w:w="961"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53</w:t>
            </w:r>
          </w:p>
        </w:tc>
        <w:tc>
          <w:tcPr>
            <w:tcW w:w="951"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70.7</w:t>
            </w:r>
          </w:p>
        </w:tc>
        <w:tc>
          <w:tcPr>
            <w:tcW w:w="1020"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49.5</w:t>
            </w:r>
          </w:p>
        </w:tc>
      </w:tr>
      <w:tr w:rsidR="00423C6C" w:rsidRPr="005A53B3" w:rsidTr="005A53B3">
        <w:trPr>
          <w:trHeight w:val="113"/>
        </w:trPr>
        <w:tc>
          <w:tcPr>
            <w:tcW w:w="1150" w:type="pct"/>
            <w:vMerge/>
            <w:tcBorders>
              <w:left w:val="single" w:sz="4" w:space="0" w:color="auto"/>
              <w:bottom w:val="single" w:sz="4" w:space="0" w:color="auto"/>
              <w:right w:val="nil"/>
            </w:tcBorders>
            <w:shd w:val="clear" w:color="auto" w:fill="auto"/>
            <w:noWrap/>
            <w:vAlign w:val="center"/>
            <w:hideMark/>
          </w:tcPr>
          <w:p w:rsidR="00423C6C" w:rsidRPr="005A53B3" w:rsidRDefault="00423C6C" w:rsidP="005A53B3">
            <w:pPr>
              <w:spacing w:after="0" w:line="240" w:lineRule="auto"/>
              <w:jc w:val="left"/>
              <w:rPr>
                <w:rFonts w:cs="Arial"/>
                <w:color w:val="000000"/>
                <w:szCs w:val="20"/>
                <w:lang w:eastAsia="en-AU"/>
              </w:rPr>
            </w:pPr>
          </w:p>
        </w:tc>
        <w:tc>
          <w:tcPr>
            <w:tcW w:w="918" w:type="pct"/>
            <w:tcBorders>
              <w:top w:val="single" w:sz="4" w:space="0" w:color="auto"/>
              <w:left w:val="single" w:sz="4" w:space="0" w:color="auto"/>
              <w:bottom w:val="single" w:sz="4" w:space="0" w:color="auto"/>
              <w:right w:val="single" w:sz="4" w:space="0" w:color="auto"/>
            </w:tcBorders>
            <w:shd w:val="clear" w:color="000000" w:fill="A3D844"/>
            <w:noWrap/>
            <w:vAlign w:val="center"/>
          </w:tcPr>
          <w:p w:rsidR="00423C6C" w:rsidRPr="005A53B3" w:rsidRDefault="00423C6C" w:rsidP="005A53B3">
            <w:pPr>
              <w:spacing w:after="0" w:line="240" w:lineRule="auto"/>
              <w:jc w:val="center"/>
              <w:rPr>
                <w:rFonts w:cs="Arial"/>
                <w:color w:val="000000"/>
                <w:szCs w:val="20"/>
                <w:lang w:eastAsia="en-AU"/>
              </w:rPr>
            </w:pPr>
          </w:p>
        </w:tc>
        <w:tc>
          <w:tcPr>
            <w:tcW w:w="961" w:type="pct"/>
            <w:tcBorders>
              <w:top w:val="single" w:sz="4" w:space="0" w:color="auto"/>
              <w:left w:val="single" w:sz="4" w:space="0" w:color="auto"/>
              <w:bottom w:val="single" w:sz="4" w:space="0" w:color="auto"/>
              <w:right w:val="single" w:sz="4" w:space="0" w:color="auto"/>
            </w:tcBorders>
            <w:shd w:val="clear" w:color="auto" w:fill="92D050"/>
            <w:noWrap/>
            <w:vAlign w:val="center"/>
          </w:tcPr>
          <w:p w:rsidR="00423C6C" w:rsidRPr="005A53B3" w:rsidRDefault="00423C6C" w:rsidP="005A53B3">
            <w:pPr>
              <w:spacing w:after="0" w:line="240" w:lineRule="auto"/>
              <w:jc w:val="center"/>
              <w:rPr>
                <w:rFonts w:cs="Arial"/>
                <w:color w:val="000000"/>
                <w:szCs w:val="20"/>
                <w:lang w:eastAsia="en-AU"/>
              </w:rPr>
            </w:pPr>
          </w:p>
        </w:tc>
        <w:tc>
          <w:tcPr>
            <w:tcW w:w="951" w:type="pct"/>
            <w:tcBorders>
              <w:top w:val="single" w:sz="4" w:space="0" w:color="auto"/>
              <w:left w:val="single" w:sz="4" w:space="0" w:color="auto"/>
              <w:bottom w:val="single" w:sz="4" w:space="0" w:color="auto"/>
              <w:right w:val="single" w:sz="4" w:space="0" w:color="auto"/>
            </w:tcBorders>
            <w:shd w:val="clear" w:color="000000" w:fill="568856"/>
            <w:noWrap/>
            <w:vAlign w:val="center"/>
          </w:tcPr>
          <w:p w:rsidR="00423C6C" w:rsidRPr="005A53B3" w:rsidRDefault="00423C6C" w:rsidP="005A53B3">
            <w:pPr>
              <w:spacing w:after="0" w:line="240" w:lineRule="auto"/>
              <w:jc w:val="center"/>
              <w:rPr>
                <w:rFonts w:cs="Arial"/>
                <w:color w:val="000000"/>
                <w:szCs w:val="20"/>
                <w:lang w:eastAsia="en-AU"/>
              </w:rPr>
            </w:pPr>
          </w:p>
        </w:tc>
        <w:tc>
          <w:tcPr>
            <w:tcW w:w="1020" w:type="pct"/>
            <w:tcBorders>
              <w:top w:val="single" w:sz="4" w:space="0" w:color="auto"/>
              <w:left w:val="single" w:sz="4" w:space="0" w:color="auto"/>
              <w:bottom w:val="single" w:sz="4" w:space="0" w:color="auto"/>
              <w:right w:val="single" w:sz="4" w:space="0" w:color="auto"/>
            </w:tcBorders>
            <w:shd w:val="clear" w:color="000000" w:fill="94D14F"/>
            <w:noWrap/>
            <w:vAlign w:val="center"/>
          </w:tcPr>
          <w:p w:rsidR="00423C6C" w:rsidRPr="005A53B3" w:rsidRDefault="00423C6C" w:rsidP="005A53B3">
            <w:pPr>
              <w:spacing w:after="0" w:line="240" w:lineRule="auto"/>
              <w:jc w:val="center"/>
              <w:rPr>
                <w:rFonts w:cs="Arial"/>
                <w:color w:val="000000"/>
                <w:szCs w:val="20"/>
                <w:lang w:eastAsia="en-AU"/>
              </w:rPr>
            </w:pPr>
          </w:p>
        </w:tc>
      </w:tr>
      <w:tr w:rsidR="00423C6C" w:rsidRPr="005A53B3" w:rsidTr="005A53B3">
        <w:trPr>
          <w:trHeight w:val="300"/>
        </w:trPr>
        <w:tc>
          <w:tcPr>
            <w:tcW w:w="1150" w:type="pct"/>
            <w:vMerge w:val="restart"/>
            <w:tcBorders>
              <w:top w:val="nil"/>
              <w:left w:val="single" w:sz="4" w:space="0" w:color="auto"/>
              <w:right w:val="nil"/>
            </w:tcBorders>
            <w:shd w:val="clear" w:color="auto" w:fill="auto"/>
            <w:noWrap/>
            <w:vAlign w:val="center"/>
            <w:hideMark/>
          </w:tcPr>
          <w:p w:rsidR="00423C6C" w:rsidRPr="005A53B3" w:rsidRDefault="00423C6C" w:rsidP="005A53B3">
            <w:pPr>
              <w:spacing w:after="0" w:line="240" w:lineRule="auto"/>
              <w:jc w:val="left"/>
              <w:rPr>
                <w:rFonts w:cs="Arial"/>
                <w:color w:val="000000"/>
                <w:szCs w:val="20"/>
                <w:lang w:eastAsia="en-AU"/>
              </w:rPr>
            </w:pPr>
            <w:r w:rsidRPr="005A53B3">
              <w:rPr>
                <w:rFonts w:cs="Arial"/>
                <w:color w:val="000000"/>
                <w:szCs w:val="20"/>
                <w:lang w:eastAsia="en-AU"/>
              </w:rPr>
              <w:t>Gingham 27</w:t>
            </w:r>
          </w:p>
          <w:p w:rsidR="00423C6C" w:rsidRPr="005A53B3" w:rsidRDefault="00423C6C" w:rsidP="005A53B3">
            <w:pPr>
              <w:spacing w:after="0" w:line="240" w:lineRule="auto"/>
              <w:jc w:val="left"/>
              <w:rPr>
                <w:rFonts w:cs="Arial"/>
                <w:color w:val="000000"/>
                <w:szCs w:val="20"/>
                <w:lang w:eastAsia="en-AU"/>
              </w:rPr>
            </w:pPr>
          </w:p>
        </w:tc>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42.5</w:t>
            </w:r>
          </w:p>
        </w:tc>
        <w:tc>
          <w:tcPr>
            <w:tcW w:w="961"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38.9</w:t>
            </w:r>
          </w:p>
        </w:tc>
        <w:tc>
          <w:tcPr>
            <w:tcW w:w="951"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70.7</w:t>
            </w:r>
          </w:p>
        </w:tc>
        <w:tc>
          <w:tcPr>
            <w:tcW w:w="1020"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45.1</w:t>
            </w:r>
          </w:p>
        </w:tc>
      </w:tr>
      <w:tr w:rsidR="00423C6C" w:rsidRPr="005A53B3" w:rsidTr="005A53B3">
        <w:trPr>
          <w:trHeight w:val="113"/>
        </w:trPr>
        <w:tc>
          <w:tcPr>
            <w:tcW w:w="1150" w:type="pct"/>
            <w:vMerge/>
            <w:tcBorders>
              <w:left w:val="single" w:sz="4" w:space="0" w:color="auto"/>
              <w:bottom w:val="single" w:sz="4" w:space="0" w:color="auto"/>
              <w:right w:val="nil"/>
            </w:tcBorders>
            <w:shd w:val="clear" w:color="auto" w:fill="auto"/>
            <w:noWrap/>
            <w:vAlign w:val="center"/>
            <w:hideMark/>
          </w:tcPr>
          <w:p w:rsidR="00423C6C" w:rsidRPr="005A53B3" w:rsidRDefault="00423C6C" w:rsidP="005A53B3">
            <w:pPr>
              <w:spacing w:after="0" w:line="240" w:lineRule="auto"/>
              <w:jc w:val="left"/>
              <w:rPr>
                <w:rFonts w:cs="Arial"/>
                <w:color w:val="000000"/>
                <w:szCs w:val="20"/>
                <w:lang w:eastAsia="en-AU"/>
              </w:rPr>
            </w:pPr>
          </w:p>
        </w:tc>
        <w:tc>
          <w:tcPr>
            <w:tcW w:w="918" w:type="pct"/>
            <w:tcBorders>
              <w:top w:val="single" w:sz="4" w:space="0" w:color="auto"/>
              <w:left w:val="single" w:sz="4" w:space="0" w:color="auto"/>
              <w:bottom w:val="single" w:sz="4" w:space="0" w:color="auto"/>
              <w:right w:val="single" w:sz="4" w:space="0" w:color="auto"/>
            </w:tcBorders>
            <w:shd w:val="clear" w:color="000000" w:fill="A3D844"/>
            <w:noWrap/>
            <w:vAlign w:val="center"/>
          </w:tcPr>
          <w:p w:rsidR="00423C6C" w:rsidRPr="005A53B3" w:rsidRDefault="00423C6C" w:rsidP="005A53B3">
            <w:pPr>
              <w:spacing w:after="0" w:line="240" w:lineRule="auto"/>
              <w:jc w:val="center"/>
              <w:rPr>
                <w:rFonts w:cs="Arial"/>
                <w:color w:val="000000"/>
                <w:szCs w:val="20"/>
                <w:lang w:eastAsia="en-AU"/>
              </w:rPr>
            </w:pPr>
          </w:p>
        </w:tc>
        <w:tc>
          <w:tcPr>
            <w:tcW w:w="961" w:type="pct"/>
            <w:tcBorders>
              <w:top w:val="single" w:sz="4" w:space="0" w:color="auto"/>
              <w:left w:val="single" w:sz="4" w:space="0" w:color="auto"/>
              <w:bottom w:val="single" w:sz="4" w:space="0" w:color="auto"/>
              <w:right w:val="single" w:sz="4" w:space="0" w:color="auto"/>
            </w:tcBorders>
            <w:shd w:val="clear" w:color="000000" w:fill="ABDB3E"/>
            <w:noWrap/>
            <w:vAlign w:val="center"/>
          </w:tcPr>
          <w:p w:rsidR="00423C6C" w:rsidRPr="005A53B3" w:rsidRDefault="00423C6C" w:rsidP="005A53B3">
            <w:pPr>
              <w:spacing w:after="0" w:line="240" w:lineRule="auto"/>
              <w:jc w:val="center"/>
              <w:rPr>
                <w:rFonts w:cs="Arial"/>
                <w:color w:val="000000"/>
                <w:szCs w:val="20"/>
                <w:lang w:eastAsia="en-AU"/>
              </w:rPr>
            </w:pPr>
          </w:p>
        </w:tc>
        <w:tc>
          <w:tcPr>
            <w:tcW w:w="951" w:type="pct"/>
            <w:tcBorders>
              <w:top w:val="single" w:sz="4" w:space="0" w:color="auto"/>
              <w:left w:val="single" w:sz="4" w:space="0" w:color="auto"/>
              <w:bottom w:val="single" w:sz="4" w:space="0" w:color="auto"/>
              <w:right w:val="single" w:sz="4" w:space="0" w:color="auto"/>
            </w:tcBorders>
            <w:shd w:val="clear" w:color="000000" w:fill="568856"/>
            <w:noWrap/>
            <w:vAlign w:val="center"/>
          </w:tcPr>
          <w:p w:rsidR="00423C6C" w:rsidRPr="005A53B3" w:rsidRDefault="00423C6C" w:rsidP="005A53B3">
            <w:pPr>
              <w:spacing w:after="0" w:line="240" w:lineRule="auto"/>
              <w:jc w:val="center"/>
              <w:rPr>
                <w:rFonts w:cs="Arial"/>
                <w:color w:val="000000"/>
                <w:szCs w:val="20"/>
                <w:lang w:eastAsia="en-AU"/>
              </w:rPr>
            </w:pPr>
          </w:p>
        </w:tc>
        <w:tc>
          <w:tcPr>
            <w:tcW w:w="1020" w:type="pct"/>
            <w:tcBorders>
              <w:top w:val="single" w:sz="4" w:space="0" w:color="auto"/>
              <w:left w:val="single" w:sz="4" w:space="0" w:color="auto"/>
              <w:bottom w:val="single" w:sz="4" w:space="0" w:color="auto"/>
              <w:right w:val="single" w:sz="4" w:space="0" w:color="auto"/>
            </w:tcBorders>
            <w:shd w:val="clear" w:color="000000" w:fill="9DD548"/>
            <w:noWrap/>
            <w:vAlign w:val="center"/>
          </w:tcPr>
          <w:p w:rsidR="00423C6C" w:rsidRPr="005A53B3" w:rsidRDefault="00423C6C" w:rsidP="005A53B3">
            <w:pPr>
              <w:spacing w:after="0" w:line="240" w:lineRule="auto"/>
              <w:jc w:val="center"/>
              <w:rPr>
                <w:rFonts w:cs="Arial"/>
                <w:color w:val="000000"/>
                <w:szCs w:val="20"/>
                <w:lang w:eastAsia="en-AU"/>
              </w:rPr>
            </w:pPr>
          </w:p>
        </w:tc>
      </w:tr>
      <w:tr w:rsidR="00423C6C" w:rsidRPr="005A53B3" w:rsidTr="005A53B3">
        <w:trPr>
          <w:trHeight w:val="300"/>
        </w:trPr>
        <w:tc>
          <w:tcPr>
            <w:tcW w:w="1150" w:type="pct"/>
            <w:vMerge w:val="restart"/>
            <w:tcBorders>
              <w:top w:val="nil"/>
              <w:left w:val="single" w:sz="4" w:space="0" w:color="auto"/>
              <w:right w:val="nil"/>
            </w:tcBorders>
            <w:shd w:val="clear" w:color="auto" w:fill="auto"/>
            <w:noWrap/>
            <w:vAlign w:val="center"/>
            <w:hideMark/>
          </w:tcPr>
          <w:p w:rsidR="00423C6C" w:rsidRPr="005A53B3" w:rsidRDefault="00423C6C" w:rsidP="005A53B3">
            <w:pPr>
              <w:spacing w:after="0" w:line="240" w:lineRule="auto"/>
              <w:jc w:val="left"/>
              <w:rPr>
                <w:rFonts w:cs="Arial"/>
                <w:color w:val="000000"/>
                <w:szCs w:val="20"/>
                <w:lang w:eastAsia="en-AU"/>
              </w:rPr>
            </w:pPr>
            <w:r w:rsidRPr="005A53B3">
              <w:rPr>
                <w:rFonts w:cs="Arial"/>
                <w:color w:val="000000"/>
                <w:szCs w:val="20"/>
                <w:lang w:eastAsia="en-AU"/>
              </w:rPr>
              <w:t>Gingham 4</w:t>
            </w:r>
          </w:p>
          <w:p w:rsidR="00423C6C" w:rsidRPr="005A53B3" w:rsidRDefault="00423C6C" w:rsidP="005A53B3">
            <w:pPr>
              <w:spacing w:after="0" w:line="240" w:lineRule="auto"/>
              <w:jc w:val="left"/>
              <w:rPr>
                <w:rFonts w:cs="Arial"/>
                <w:color w:val="000000"/>
                <w:szCs w:val="20"/>
                <w:lang w:eastAsia="en-AU"/>
              </w:rPr>
            </w:pPr>
          </w:p>
        </w:tc>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42.5</w:t>
            </w:r>
          </w:p>
        </w:tc>
        <w:tc>
          <w:tcPr>
            <w:tcW w:w="961"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88.2</w:t>
            </w:r>
          </w:p>
        </w:tc>
        <w:tc>
          <w:tcPr>
            <w:tcW w:w="951"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92.2</w:t>
            </w:r>
          </w:p>
        </w:tc>
        <w:tc>
          <w:tcPr>
            <w:tcW w:w="1020"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69</w:t>
            </w:r>
          </w:p>
        </w:tc>
      </w:tr>
      <w:tr w:rsidR="00423C6C" w:rsidRPr="005A53B3" w:rsidTr="005A53B3">
        <w:trPr>
          <w:trHeight w:val="113"/>
        </w:trPr>
        <w:tc>
          <w:tcPr>
            <w:tcW w:w="1150" w:type="pct"/>
            <w:vMerge/>
            <w:tcBorders>
              <w:left w:val="single" w:sz="4" w:space="0" w:color="auto"/>
              <w:bottom w:val="single" w:sz="4" w:space="0" w:color="auto"/>
              <w:right w:val="nil"/>
            </w:tcBorders>
            <w:shd w:val="clear" w:color="auto" w:fill="auto"/>
            <w:noWrap/>
            <w:vAlign w:val="center"/>
            <w:hideMark/>
          </w:tcPr>
          <w:p w:rsidR="00423C6C" w:rsidRPr="005A53B3" w:rsidRDefault="00423C6C" w:rsidP="005A53B3">
            <w:pPr>
              <w:spacing w:after="0" w:line="240" w:lineRule="auto"/>
              <w:jc w:val="left"/>
              <w:rPr>
                <w:rFonts w:cs="Arial"/>
                <w:color w:val="000000"/>
                <w:szCs w:val="20"/>
                <w:lang w:eastAsia="en-AU"/>
              </w:rPr>
            </w:pPr>
          </w:p>
        </w:tc>
        <w:tc>
          <w:tcPr>
            <w:tcW w:w="918" w:type="pct"/>
            <w:tcBorders>
              <w:top w:val="single" w:sz="4" w:space="0" w:color="auto"/>
              <w:left w:val="single" w:sz="4" w:space="0" w:color="auto"/>
              <w:bottom w:val="single" w:sz="4" w:space="0" w:color="auto"/>
              <w:right w:val="single" w:sz="4" w:space="0" w:color="auto"/>
            </w:tcBorders>
            <w:shd w:val="clear" w:color="000000" w:fill="A3D844"/>
            <w:noWrap/>
            <w:vAlign w:val="center"/>
          </w:tcPr>
          <w:p w:rsidR="00423C6C" w:rsidRPr="005A53B3" w:rsidRDefault="00423C6C" w:rsidP="005A53B3">
            <w:pPr>
              <w:spacing w:after="0" w:line="240" w:lineRule="auto"/>
              <w:jc w:val="center"/>
              <w:rPr>
                <w:rFonts w:cs="Arial"/>
                <w:color w:val="000000"/>
                <w:szCs w:val="20"/>
                <w:lang w:eastAsia="en-AU"/>
              </w:rPr>
            </w:pPr>
          </w:p>
        </w:tc>
        <w:tc>
          <w:tcPr>
            <w:tcW w:w="961" w:type="pct"/>
            <w:tcBorders>
              <w:top w:val="single" w:sz="4" w:space="0" w:color="auto"/>
              <w:left w:val="single" w:sz="4" w:space="0" w:color="auto"/>
              <w:bottom w:val="single" w:sz="4" w:space="0" w:color="auto"/>
              <w:right w:val="single" w:sz="4" w:space="0" w:color="auto"/>
            </w:tcBorders>
            <w:shd w:val="clear" w:color="000000" w:fill="234A5C"/>
            <w:noWrap/>
            <w:vAlign w:val="center"/>
          </w:tcPr>
          <w:p w:rsidR="00423C6C" w:rsidRPr="005A53B3" w:rsidRDefault="00423C6C" w:rsidP="005A53B3">
            <w:pPr>
              <w:spacing w:after="0" w:line="240" w:lineRule="auto"/>
              <w:jc w:val="center"/>
              <w:rPr>
                <w:rFonts w:cs="Arial"/>
                <w:color w:val="000000"/>
                <w:szCs w:val="20"/>
                <w:lang w:eastAsia="en-AU"/>
              </w:rPr>
            </w:pPr>
          </w:p>
        </w:tc>
        <w:tc>
          <w:tcPr>
            <w:tcW w:w="951" w:type="pct"/>
            <w:tcBorders>
              <w:top w:val="single" w:sz="4" w:space="0" w:color="auto"/>
              <w:left w:val="single" w:sz="4" w:space="0" w:color="auto"/>
              <w:bottom w:val="single" w:sz="4" w:space="0" w:color="auto"/>
              <w:right w:val="single" w:sz="4" w:space="0" w:color="auto"/>
            </w:tcBorders>
            <w:shd w:val="clear" w:color="000000" w:fill="173C5D"/>
            <w:noWrap/>
            <w:vAlign w:val="center"/>
          </w:tcPr>
          <w:p w:rsidR="00423C6C" w:rsidRPr="005A53B3" w:rsidRDefault="00423C6C" w:rsidP="005A53B3">
            <w:pPr>
              <w:spacing w:after="0" w:line="240" w:lineRule="auto"/>
              <w:jc w:val="center"/>
              <w:rPr>
                <w:rFonts w:cs="Arial"/>
                <w:color w:val="000000"/>
                <w:szCs w:val="20"/>
                <w:lang w:eastAsia="en-AU"/>
              </w:rPr>
            </w:pPr>
          </w:p>
        </w:tc>
        <w:tc>
          <w:tcPr>
            <w:tcW w:w="1020" w:type="pct"/>
            <w:tcBorders>
              <w:top w:val="single" w:sz="4" w:space="0" w:color="auto"/>
              <w:left w:val="single" w:sz="4" w:space="0" w:color="auto"/>
              <w:bottom w:val="single" w:sz="4" w:space="0" w:color="auto"/>
              <w:right w:val="single" w:sz="4" w:space="0" w:color="auto"/>
            </w:tcBorders>
            <w:shd w:val="clear" w:color="000000" w:fill="5B8E56"/>
            <w:noWrap/>
            <w:vAlign w:val="center"/>
          </w:tcPr>
          <w:p w:rsidR="00423C6C" w:rsidRPr="005A53B3" w:rsidRDefault="00423C6C" w:rsidP="005A53B3">
            <w:pPr>
              <w:spacing w:after="0" w:line="240" w:lineRule="auto"/>
              <w:jc w:val="center"/>
              <w:rPr>
                <w:rFonts w:cs="Arial"/>
                <w:color w:val="000000"/>
                <w:szCs w:val="20"/>
                <w:lang w:eastAsia="en-AU"/>
              </w:rPr>
            </w:pPr>
          </w:p>
        </w:tc>
      </w:tr>
      <w:tr w:rsidR="00423C6C" w:rsidRPr="005A53B3" w:rsidTr="005A53B3">
        <w:trPr>
          <w:trHeight w:val="300"/>
        </w:trPr>
        <w:tc>
          <w:tcPr>
            <w:tcW w:w="1150" w:type="pct"/>
            <w:vMerge w:val="restart"/>
            <w:tcBorders>
              <w:top w:val="nil"/>
              <w:left w:val="single" w:sz="4" w:space="0" w:color="auto"/>
              <w:right w:val="nil"/>
            </w:tcBorders>
            <w:shd w:val="clear" w:color="auto" w:fill="auto"/>
            <w:noWrap/>
            <w:vAlign w:val="center"/>
            <w:hideMark/>
          </w:tcPr>
          <w:p w:rsidR="00423C6C" w:rsidRPr="005A53B3" w:rsidRDefault="00423C6C" w:rsidP="005A53B3">
            <w:pPr>
              <w:spacing w:after="0" w:line="240" w:lineRule="auto"/>
              <w:jc w:val="left"/>
              <w:rPr>
                <w:rFonts w:cs="Arial"/>
                <w:b/>
                <w:color w:val="000000"/>
                <w:szCs w:val="20"/>
                <w:lang w:eastAsia="en-AU"/>
              </w:rPr>
            </w:pPr>
            <w:r w:rsidRPr="005A53B3">
              <w:rPr>
                <w:rFonts w:cs="Arial"/>
                <w:b/>
                <w:color w:val="000000"/>
                <w:szCs w:val="20"/>
                <w:lang w:eastAsia="en-AU"/>
              </w:rPr>
              <w:t>Average (± S.E.)</w:t>
            </w:r>
          </w:p>
          <w:p w:rsidR="00423C6C" w:rsidRPr="005A53B3" w:rsidRDefault="00423C6C" w:rsidP="005A53B3">
            <w:pPr>
              <w:spacing w:after="0" w:line="240" w:lineRule="auto"/>
              <w:jc w:val="left"/>
              <w:rPr>
                <w:rFonts w:cs="Arial"/>
                <w:color w:val="000000"/>
                <w:szCs w:val="20"/>
                <w:lang w:eastAsia="en-AU"/>
              </w:rPr>
            </w:pPr>
          </w:p>
        </w:tc>
        <w:tc>
          <w:tcPr>
            <w:tcW w:w="918" w:type="pct"/>
            <w:vMerge w:val="restart"/>
            <w:tcBorders>
              <w:top w:val="nil"/>
              <w:left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NA</w:t>
            </w:r>
          </w:p>
          <w:p w:rsidR="00423C6C" w:rsidRPr="005A53B3" w:rsidRDefault="00423C6C" w:rsidP="005A53B3">
            <w:pPr>
              <w:spacing w:after="0" w:line="240" w:lineRule="auto"/>
              <w:jc w:val="center"/>
              <w:rPr>
                <w:rFonts w:cs="Arial"/>
                <w:color w:val="000000"/>
                <w:szCs w:val="20"/>
                <w:lang w:eastAsia="en-AU"/>
              </w:rPr>
            </w:pPr>
          </w:p>
        </w:tc>
        <w:tc>
          <w:tcPr>
            <w:tcW w:w="961"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65.6 (11.62)</w:t>
            </w:r>
          </w:p>
        </w:tc>
        <w:tc>
          <w:tcPr>
            <w:tcW w:w="951"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67.6 (7.41)</w:t>
            </w:r>
          </w:p>
        </w:tc>
        <w:tc>
          <w:tcPr>
            <w:tcW w:w="1020"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49.5 (5.31)</w:t>
            </w:r>
          </w:p>
        </w:tc>
      </w:tr>
      <w:tr w:rsidR="00423C6C" w:rsidRPr="005A53B3" w:rsidTr="005A53B3">
        <w:trPr>
          <w:trHeight w:val="113"/>
        </w:trPr>
        <w:tc>
          <w:tcPr>
            <w:tcW w:w="1150" w:type="pct"/>
            <w:vMerge/>
            <w:tcBorders>
              <w:left w:val="single" w:sz="4" w:space="0" w:color="auto"/>
              <w:bottom w:val="single" w:sz="4" w:space="0" w:color="auto"/>
              <w:right w:val="nil"/>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p>
        </w:tc>
        <w:tc>
          <w:tcPr>
            <w:tcW w:w="918" w:type="pct"/>
            <w:vMerge/>
            <w:tcBorders>
              <w:left w:val="single" w:sz="4" w:space="0" w:color="auto"/>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p>
        </w:tc>
        <w:tc>
          <w:tcPr>
            <w:tcW w:w="961" w:type="pct"/>
            <w:tcBorders>
              <w:top w:val="single" w:sz="4" w:space="0" w:color="auto"/>
              <w:left w:val="single" w:sz="4" w:space="0" w:color="auto"/>
              <w:bottom w:val="single" w:sz="4" w:space="0" w:color="auto"/>
              <w:right w:val="single" w:sz="4" w:space="0" w:color="auto"/>
            </w:tcBorders>
            <w:shd w:val="clear" w:color="000000" w:fill="659A54"/>
            <w:noWrap/>
            <w:vAlign w:val="center"/>
          </w:tcPr>
          <w:p w:rsidR="00423C6C" w:rsidRPr="005A53B3" w:rsidRDefault="00423C6C" w:rsidP="005A53B3">
            <w:pPr>
              <w:spacing w:after="0" w:line="240" w:lineRule="auto"/>
              <w:jc w:val="center"/>
              <w:rPr>
                <w:rFonts w:cs="Arial"/>
                <w:color w:val="000000"/>
                <w:szCs w:val="20"/>
                <w:lang w:eastAsia="en-AU"/>
              </w:rPr>
            </w:pPr>
          </w:p>
        </w:tc>
        <w:tc>
          <w:tcPr>
            <w:tcW w:w="951" w:type="pct"/>
            <w:tcBorders>
              <w:top w:val="single" w:sz="4" w:space="0" w:color="auto"/>
              <w:left w:val="single" w:sz="4" w:space="0" w:color="auto"/>
              <w:bottom w:val="single" w:sz="4" w:space="0" w:color="auto"/>
              <w:right w:val="single" w:sz="4" w:space="0" w:color="auto"/>
            </w:tcBorders>
            <w:shd w:val="clear" w:color="000000" w:fill="5F9355"/>
            <w:noWrap/>
            <w:vAlign w:val="center"/>
          </w:tcPr>
          <w:p w:rsidR="00423C6C" w:rsidRPr="005A53B3" w:rsidRDefault="00423C6C" w:rsidP="005A53B3">
            <w:pPr>
              <w:spacing w:after="0" w:line="240" w:lineRule="auto"/>
              <w:jc w:val="center"/>
              <w:rPr>
                <w:rFonts w:cs="Arial"/>
                <w:color w:val="000000"/>
                <w:szCs w:val="20"/>
                <w:lang w:eastAsia="en-AU"/>
              </w:rPr>
            </w:pPr>
          </w:p>
        </w:tc>
        <w:tc>
          <w:tcPr>
            <w:tcW w:w="1020" w:type="pct"/>
            <w:tcBorders>
              <w:top w:val="single" w:sz="4" w:space="0" w:color="auto"/>
              <w:left w:val="single" w:sz="4" w:space="0" w:color="auto"/>
              <w:bottom w:val="single" w:sz="4" w:space="0" w:color="auto"/>
              <w:right w:val="single" w:sz="4" w:space="0" w:color="auto"/>
            </w:tcBorders>
            <w:shd w:val="clear" w:color="000000" w:fill="94D14F"/>
            <w:noWrap/>
            <w:vAlign w:val="center"/>
          </w:tcPr>
          <w:p w:rsidR="00423C6C" w:rsidRPr="005A53B3" w:rsidRDefault="00423C6C" w:rsidP="005A53B3">
            <w:pPr>
              <w:spacing w:after="0" w:line="240" w:lineRule="auto"/>
              <w:jc w:val="center"/>
              <w:rPr>
                <w:rFonts w:cs="Arial"/>
                <w:color w:val="000000"/>
                <w:szCs w:val="20"/>
                <w:lang w:eastAsia="en-AU"/>
              </w:rPr>
            </w:pPr>
          </w:p>
        </w:tc>
      </w:tr>
      <w:tr w:rsidR="00423C6C" w:rsidRPr="005A53B3" w:rsidTr="005A53B3">
        <w:trPr>
          <w:trHeight w:hRule="exact" w:val="113"/>
        </w:trPr>
        <w:tc>
          <w:tcPr>
            <w:tcW w:w="1150" w:type="pct"/>
            <w:tcBorders>
              <w:top w:val="single" w:sz="4" w:space="0" w:color="auto"/>
              <w:bottom w:val="single" w:sz="4" w:space="0" w:color="auto"/>
              <w:right w:val="nil"/>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p>
        </w:tc>
        <w:tc>
          <w:tcPr>
            <w:tcW w:w="918" w:type="pct"/>
            <w:tcBorders>
              <w:top w:val="nil"/>
              <w:left w:val="single" w:sz="4" w:space="0" w:color="auto"/>
              <w:bottom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p>
        </w:tc>
        <w:tc>
          <w:tcPr>
            <w:tcW w:w="961" w:type="pct"/>
            <w:tcBorders>
              <w:top w:val="single" w:sz="4" w:space="0" w:color="auto"/>
              <w:bottom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p>
        </w:tc>
        <w:tc>
          <w:tcPr>
            <w:tcW w:w="951" w:type="pct"/>
            <w:tcBorders>
              <w:top w:val="single" w:sz="4" w:space="0" w:color="auto"/>
              <w:bottom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p>
        </w:tc>
        <w:tc>
          <w:tcPr>
            <w:tcW w:w="1020" w:type="pct"/>
            <w:tcBorders>
              <w:top w:val="single" w:sz="4" w:space="0" w:color="auto"/>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p>
        </w:tc>
      </w:tr>
      <w:tr w:rsidR="00423C6C" w:rsidRPr="005A53B3" w:rsidTr="005A53B3">
        <w:trPr>
          <w:trHeight w:val="300"/>
        </w:trPr>
        <w:tc>
          <w:tcPr>
            <w:tcW w:w="1150" w:type="pct"/>
            <w:vMerge w:val="restart"/>
            <w:tcBorders>
              <w:top w:val="nil"/>
              <w:left w:val="single" w:sz="4" w:space="0" w:color="auto"/>
              <w:right w:val="nil"/>
            </w:tcBorders>
            <w:shd w:val="clear" w:color="auto" w:fill="auto"/>
            <w:noWrap/>
            <w:vAlign w:val="center"/>
            <w:hideMark/>
          </w:tcPr>
          <w:p w:rsidR="00423C6C" w:rsidRPr="005A53B3" w:rsidRDefault="00423C6C" w:rsidP="005A53B3">
            <w:pPr>
              <w:spacing w:after="0" w:line="240" w:lineRule="auto"/>
              <w:jc w:val="left"/>
              <w:rPr>
                <w:rFonts w:cs="Arial"/>
                <w:color w:val="000000"/>
                <w:szCs w:val="20"/>
                <w:lang w:eastAsia="en-AU"/>
              </w:rPr>
            </w:pPr>
            <w:r w:rsidRPr="005A53B3">
              <w:rPr>
                <w:rFonts w:cs="Arial"/>
                <w:color w:val="000000"/>
                <w:szCs w:val="20"/>
                <w:lang w:eastAsia="en-AU"/>
              </w:rPr>
              <w:t>GLTIM C1 S9</w:t>
            </w:r>
          </w:p>
          <w:p w:rsidR="00423C6C" w:rsidRPr="005A53B3" w:rsidRDefault="00423C6C" w:rsidP="005A53B3">
            <w:pPr>
              <w:spacing w:after="0" w:line="240" w:lineRule="auto"/>
              <w:jc w:val="left"/>
              <w:rPr>
                <w:rFonts w:cs="Arial"/>
                <w:color w:val="000000"/>
                <w:szCs w:val="20"/>
                <w:lang w:eastAsia="en-AU"/>
              </w:rPr>
            </w:pPr>
          </w:p>
        </w:tc>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0</w:t>
            </w:r>
          </w:p>
        </w:tc>
        <w:tc>
          <w:tcPr>
            <w:tcW w:w="961"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0</w:t>
            </w:r>
          </w:p>
        </w:tc>
        <w:tc>
          <w:tcPr>
            <w:tcW w:w="951"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0</w:t>
            </w:r>
          </w:p>
        </w:tc>
        <w:tc>
          <w:tcPr>
            <w:tcW w:w="1020"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0</w:t>
            </w:r>
          </w:p>
        </w:tc>
      </w:tr>
      <w:tr w:rsidR="00423C6C" w:rsidRPr="005A53B3" w:rsidTr="005A53B3">
        <w:trPr>
          <w:trHeight w:val="113"/>
        </w:trPr>
        <w:tc>
          <w:tcPr>
            <w:tcW w:w="1150" w:type="pct"/>
            <w:vMerge/>
            <w:tcBorders>
              <w:left w:val="single" w:sz="4" w:space="0" w:color="auto"/>
              <w:bottom w:val="single" w:sz="4" w:space="0" w:color="auto"/>
              <w:right w:val="nil"/>
            </w:tcBorders>
            <w:shd w:val="clear" w:color="auto" w:fill="auto"/>
            <w:noWrap/>
            <w:vAlign w:val="center"/>
            <w:hideMark/>
          </w:tcPr>
          <w:p w:rsidR="00423C6C" w:rsidRPr="005A53B3" w:rsidRDefault="00423C6C" w:rsidP="005A53B3">
            <w:pPr>
              <w:spacing w:after="0" w:line="240" w:lineRule="auto"/>
              <w:jc w:val="left"/>
              <w:rPr>
                <w:rFonts w:cs="Arial"/>
                <w:color w:val="000000"/>
                <w:szCs w:val="20"/>
                <w:lang w:eastAsia="en-AU"/>
              </w:rPr>
            </w:pPr>
          </w:p>
        </w:tc>
        <w:tc>
          <w:tcPr>
            <w:tcW w:w="918" w:type="pct"/>
            <w:tcBorders>
              <w:top w:val="single" w:sz="4" w:space="0" w:color="auto"/>
              <w:left w:val="single" w:sz="4" w:space="0" w:color="auto"/>
              <w:bottom w:val="single" w:sz="4" w:space="0" w:color="auto"/>
              <w:right w:val="single" w:sz="4" w:space="0" w:color="auto"/>
            </w:tcBorders>
            <w:shd w:val="clear" w:color="000000" w:fill="FFFF00"/>
            <w:noWrap/>
            <w:vAlign w:val="center"/>
          </w:tcPr>
          <w:p w:rsidR="00423C6C" w:rsidRPr="005A53B3" w:rsidRDefault="00423C6C" w:rsidP="005A53B3">
            <w:pPr>
              <w:spacing w:after="0" w:line="240" w:lineRule="auto"/>
              <w:jc w:val="center"/>
              <w:rPr>
                <w:rFonts w:cs="Arial"/>
                <w:color w:val="000000"/>
                <w:szCs w:val="20"/>
                <w:lang w:eastAsia="en-AU"/>
              </w:rPr>
            </w:pPr>
          </w:p>
        </w:tc>
        <w:tc>
          <w:tcPr>
            <w:tcW w:w="961" w:type="pct"/>
            <w:tcBorders>
              <w:top w:val="single" w:sz="4" w:space="0" w:color="auto"/>
              <w:left w:val="single" w:sz="4" w:space="0" w:color="auto"/>
              <w:bottom w:val="single" w:sz="4" w:space="0" w:color="auto"/>
              <w:right w:val="single" w:sz="4" w:space="0" w:color="auto"/>
            </w:tcBorders>
            <w:shd w:val="clear" w:color="000000" w:fill="FFFF00"/>
            <w:noWrap/>
            <w:vAlign w:val="center"/>
          </w:tcPr>
          <w:p w:rsidR="00423C6C" w:rsidRPr="005A53B3" w:rsidRDefault="00423C6C" w:rsidP="005A53B3">
            <w:pPr>
              <w:spacing w:after="0" w:line="240" w:lineRule="auto"/>
              <w:jc w:val="center"/>
              <w:rPr>
                <w:rFonts w:cs="Arial"/>
                <w:color w:val="000000"/>
                <w:szCs w:val="20"/>
                <w:lang w:eastAsia="en-AU"/>
              </w:rPr>
            </w:pPr>
          </w:p>
        </w:tc>
        <w:tc>
          <w:tcPr>
            <w:tcW w:w="951" w:type="pct"/>
            <w:tcBorders>
              <w:top w:val="single" w:sz="4" w:space="0" w:color="auto"/>
              <w:left w:val="single" w:sz="4" w:space="0" w:color="auto"/>
              <w:bottom w:val="single" w:sz="4" w:space="0" w:color="auto"/>
              <w:right w:val="single" w:sz="4" w:space="0" w:color="auto"/>
            </w:tcBorders>
            <w:shd w:val="clear" w:color="000000" w:fill="FFFF00"/>
            <w:noWrap/>
            <w:vAlign w:val="center"/>
          </w:tcPr>
          <w:p w:rsidR="00423C6C" w:rsidRPr="005A53B3" w:rsidRDefault="00423C6C" w:rsidP="005A53B3">
            <w:pPr>
              <w:spacing w:after="0" w:line="240" w:lineRule="auto"/>
              <w:jc w:val="center"/>
              <w:rPr>
                <w:rFonts w:cs="Arial"/>
                <w:color w:val="000000"/>
                <w:szCs w:val="20"/>
                <w:lang w:eastAsia="en-AU"/>
              </w:rPr>
            </w:pPr>
          </w:p>
        </w:tc>
        <w:tc>
          <w:tcPr>
            <w:tcW w:w="1020" w:type="pct"/>
            <w:tcBorders>
              <w:top w:val="single" w:sz="4" w:space="0" w:color="auto"/>
              <w:left w:val="single" w:sz="4" w:space="0" w:color="auto"/>
              <w:bottom w:val="single" w:sz="4" w:space="0" w:color="auto"/>
              <w:right w:val="single" w:sz="4" w:space="0" w:color="auto"/>
            </w:tcBorders>
            <w:shd w:val="clear" w:color="000000" w:fill="FFFF00"/>
            <w:noWrap/>
            <w:vAlign w:val="center"/>
          </w:tcPr>
          <w:p w:rsidR="00423C6C" w:rsidRPr="005A53B3" w:rsidRDefault="00423C6C" w:rsidP="005A53B3">
            <w:pPr>
              <w:spacing w:after="0" w:line="240" w:lineRule="auto"/>
              <w:jc w:val="center"/>
              <w:rPr>
                <w:rFonts w:cs="Arial"/>
                <w:color w:val="000000"/>
                <w:szCs w:val="20"/>
                <w:lang w:eastAsia="en-AU"/>
              </w:rPr>
            </w:pPr>
          </w:p>
        </w:tc>
      </w:tr>
      <w:tr w:rsidR="00423C6C" w:rsidRPr="005A53B3" w:rsidTr="005A53B3">
        <w:trPr>
          <w:trHeight w:val="300"/>
        </w:trPr>
        <w:tc>
          <w:tcPr>
            <w:tcW w:w="1150" w:type="pct"/>
            <w:vMerge w:val="restart"/>
            <w:tcBorders>
              <w:top w:val="nil"/>
              <w:left w:val="single" w:sz="4" w:space="0" w:color="auto"/>
              <w:right w:val="nil"/>
            </w:tcBorders>
            <w:shd w:val="clear" w:color="auto" w:fill="auto"/>
            <w:noWrap/>
            <w:vAlign w:val="center"/>
            <w:hideMark/>
          </w:tcPr>
          <w:p w:rsidR="00423C6C" w:rsidRPr="005A53B3" w:rsidRDefault="00423C6C" w:rsidP="005A53B3">
            <w:pPr>
              <w:spacing w:after="0" w:line="240" w:lineRule="auto"/>
              <w:jc w:val="left"/>
              <w:rPr>
                <w:rFonts w:cs="Arial"/>
                <w:color w:val="000000"/>
                <w:szCs w:val="20"/>
                <w:lang w:eastAsia="en-AU"/>
              </w:rPr>
            </w:pPr>
            <w:r w:rsidRPr="005A53B3">
              <w:rPr>
                <w:rFonts w:cs="Arial"/>
                <w:color w:val="000000"/>
                <w:szCs w:val="20"/>
                <w:lang w:eastAsia="en-AU"/>
              </w:rPr>
              <w:t>GLTIM C1 S2</w:t>
            </w:r>
          </w:p>
          <w:p w:rsidR="00423C6C" w:rsidRPr="005A53B3" w:rsidRDefault="00423C6C" w:rsidP="005A53B3">
            <w:pPr>
              <w:spacing w:after="0" w:line="240" w:lineRule="auto"/>
              <w:jc w:val="left"/>
              <w:rPr>
                <w:rFonts w:cs="Arial"/>
                <w:color w:val="000000"/>
                <w:szCs w:val="20"/>
                <w:lang w:eastAsia="en-AU"/>
              </w:rPr>
            </w:pPr>
          </w:p>
        </w:tc>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28.7</w:t>
            </w:r>
          </w:p>
        </w:tc>
        <w:tc>
          <w:tcPr>
            <w:tcW w:w="961" w:type="pct"/>
            <w:tcBorders>
              <w:top w:val="nil"/>
              <w:left w:val="nil"/>
              <w:bottom w:val="nil"/>
              <w:right w:val="nil"/>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90</w:t>
            </w:r>
          </w:p>
        </w:tc>
        <w:tc>
          <w:tcPr>
            <w:tcW w:w="951" w:type="pct"/>
            <w:tcBorders>
              <w:top w:val="nil"/>
              <w:left w:val="nil"/>
              <w:bottom w:val="nil"/>
              <w:right w:val="nil"/>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73</w:t>
            </w:r>
          </w:p>
        </w:tc>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51.4</w:t>
            </w:r>
          </w:p>
        </w:tc>
      </w:tr>
      <w:tr w:rsidR="00423C6C" w:rsidRPr="005A53B3" w:rsidTr="005A53B3">
        <w:trPr>
          <w:trHeight w:val="113"/>
        </w:trPr>
        <w:tc>
          <w:tcPr>
            <w:tcW w:w="1150" w:type="pct"/>
            <w:vMerge/>
            <w:tcBorders>
              <w:left w:val="single" w:sz="4" w:space="0" w:color="auto"/>
              <w:bottom w:val="single" w:sz="4" w:space="0" w:color="auto"/>
              <w:right w:val="nil"/>
            </w:tcBorders>
            <w:shd w:val="clear" w:color="auto" w:fill="auto"/>
            <w:noWrap/>
            <w:vAlign w:val="center"/>
            <w:hideMark/>
          </w:tcPr>
          <w:p w:rsidR="00423C6C" w:rsidRPr="005A53B3" w:rsidRDefault="00423C6C" w:rsidP="005A53B3">
            <w:pPr>
              <w:spacing w:after="0" w:line="240" w:lineRule="auto"/>
              <w:jc w:val="left"/>
              <w:rPr>
                <w:rFonts w:cs="Arial"/>
                <w:color w:val="000000"/>
                <w:szCs w:val="20"/>
                <w:lang w:eastAsia="en-AU"/>
              </w:rPr>
            </w:pPr>
          </w:p>
        </w:tc>
        <w:tc>
          <w:tcPr>
            <w:tcW w:w="918" w:type="pct"/>
            <w:tcBorders>
              <w:top w:val="single" w:sz="4" w:space="0" w:color="auto"/>
              <w:left w:val="single" w:sz="4" w:space="0" w:color="auto"/>
              <w:bottom w:val="single" w:sz="4" w:space="0" w:color="auto"/>
              <w:right w:val="single" w:sz="4" w:space="0" w:color="auto"/>
            </w:tcBorders>
            <w:shd w:val="clear" w:color="000000" w:fill="C1E52D"/>
            <w:noWrap/>
            <w:vAlign w:val="center"/>
          </w:tcPr>
          <w:p w:rsidR="00423C6C" w:rsidRPr="005A53B3" w:rsidRDefault="00423C6C" w:rsidP="005A53B3">
            <w:pPr>
              <w:spacing w:after="0" w:line="240" w:lineRule="auto"/>
              <w:jc w:val="center"/>
              <w:rPr>
                <w:rFonts w:cs="Arial"/>
                <w:color w:val="000000"/>
                <w:szCs w:val="20"/>
                <w:lang w:eastAsia="en-AU"/>
              </w:rPr>
            </w:pPr>
          </w:p>
        </w:tc>
        <w:tc>
          <w:tcPr>
            <w:tcW w:w="961" w:type="pct"/>
            <w:tcBorders>
              <w:top w:val="single" w:sz="4" w:space="0" w:color="auto"/>
              <w:left w:val="single" w:sz="4" w:space="0" w:color="auto"/>
              <w:bottom w:val="single" w:sz="4" w:space="0" w:color="auto"/>
              <w:right w:val="single" w:sz="4" w:space="0" w:color="auto"/>
            </w:tcBorders>
            <w:shd w:val="clear" w:color="000000" w:fill="1E445C"/>
            <w:noWrap/>
            <w:vAlign w:val="center"/>
          </w:tcPr>
          <w:p w:rsidR="00423C6C" w:rsidRPr="005A53B3" w:rsidRDefault="00423C6C" w:rsidP="005A53B3">
            <w:pPr>
              <w:spacing w:after="0" w:line="240" w:lineRule="auto"/>
              <w:jc w:val="center"/>
              <w:rPr>
                <w:rFonts w:cs="Arial"/>
                <w:color w:val="000000"/>
                <w:szCs w:val="20"/>
                <w:lang w:eastAsia="en-AU"/>
              </w:rPr>
            </w:pPr>
          </w:p>
        </w:tc>
        <w:tc>
          <w:tcPr>
            <w:tcW w:w="951" w:type="pct"/>
            <w:tcBorders>
              <w:top w:val="single" w:sz="4" w:space="0" w:color="auto"/>
              <w:left w:val="single" w:sz="4" w:space="0" w:color="auto"/>
              <w:bottom w:val="single" w:sz="4" w:space="0" w:color="auto"/>
              <w:right w:val="single" w:sz="4" w:space="0" w:color="auto"/>
            </w:tcBorders>
            <w:shd w:val="clear" w:color="000000" w:fill="4F8057"/>
            <w:noWrap/>
            <w:vAlign w:val="center"/>
          </w:tcPr>
          <w:p w:rsidR="00423C6C" w:rsidRPr="005A53B3" w:rsidRDefault="00423C6C" w:rsidP="005A53B3">
            <w:pPr>
              <w:spacing w:after="0" w:line="240" w:lineRule="auto"/>
              <w:jc w:val="center"/>
              <w:rPr>
                <w:rFonts w:cs="Arial"/>
                <w:color w:val="000000"/>
                <w:szCs w:val="20"/>
                <w:lang w:eastAsia="en-AU"/>
              </w:rPr>
            </w:pPr>
          </w:p>
        </w:tc>
        <w:tc>
          <w:tcPr>
            <w:tcW w:w="1020" w:type="pct"/>
            <w:tcBorders>
              <w:top w:val="single" w:sz="4" w:space="0" w:color="auto"/>
              <w:left w:val="single" w:sz="4" w:space="0" w:color="auto"/>
              <w:bottom w:val="single" w:sz="4" w:space="0" w:color="auto"/>
              <w:right w:val="single" w:sz="4" w:space="0" w:color="auto"/>
            </w:tcBorders>
            <w:shd w:val="clear" w:color="000000" w:fill="8ECC50"/>
            <w:noWrap/>
            <w:vAlign w:val="center"/>
          </w:tcPr>
          <w:p w:rsidR="00423C6C" w:rsidRPr="005A53B3" w:rsidRDefault="00423C6C" w:rsidP="005A53B3">
            <w:pPr>
              <w:spacing w:after="0" w:line="240" w:lineRule="auto"/>
              <w:jc w:val="center"/>
              <w:rPr>
                <w:rFonts w:cs="Arial"/>
                <w:color w:val="000000"/>
                <w:szCs w:val="20"/>
                <w:lang w:eastAsia="en-AU"/>
              </w:rPr>
            </w:pPr>
          </w:p>
        </w:tc>
      </w:tr>
      <w:tr w:rsidR="00423C6C" w:rsidRPr="005A53B3" w:rsidTr="005A53B3">
        <w:trPr>
          <w:trHeight w:val="300"/>
        </w:trPr>
        <w:tc>
          <w:tcPr>
            <w:tcW w:w="1150" w:type="pct"/>
            <w:vMerge w:val="restart"/>
            <w:tcBorders>
              <w:top w:val="nil"/>
              <w:left w:val="single" w:sz="4" w:space="0" w:color="auto"/>
              <w:right w:val="nil"/>
            </w:tcBorders>
            <w:shd w:val="clear" w:color="auto" w:fill="auto"/>
            <w:noWrap/>
            <w:vAlign w:val="center"/>
            <w:hideMark/>
          </w:tcPr>
          <w:p w:rsidR="00423C6C" w:rsidRPr="005A53B3" w:rsidRDefault="00423C6C" w:rsidP="005A53B3">
            <w:pPr>
              <w:spacing w:after="0" w:line="240" w:lineRule="auto"/>
              <w:jc w:val="left"/>
              <w:rPr>
                <w:rFonts w:cs="Arial"/>
                <w:color w:val="000000"/>
                <w:szCs w:val="20"/>
                <w:lang w:eastAsia="en-AU"/>
              </w:rPr>
            </w:pPr>
            <w:r w:rsidRPr="005A53B3">
              <w:rPr>
                <w:rFonts w:cs="Arial"/>
                <w:color w:val="000000"/>
                <w:szCs w:val="20"/>
                <w:lang w:eastAsia="en-AU"/>
              </w:rPr>
              <w:t>Brageen Crossing</w:t>
            </w:r>
          </w:p>
          <w:p w:rsidR="00423C6C" w:rsidRPr="005A53B3" w:rsidRDefault="00423C6C" w:rsidP="005A53B3">
            <w:pPr>
              <w:spacing w:after="0" w:line="240" w:lineRule="auto"/>
              <w:jc w:val="left"/>
              <w:rPr>
                <w:rFonts w:cs="Arial"/>
                <w:color w:val="000000"/>
                <w:szCs w:val="20"/>
                <w:lang w:eastAsia="en-AU"/>
              </w:rPr>
            </w:pPr>
          </w:p>
        </w:tc>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0</w:t>
            </w:r>
          </w:p>
        </w:tc>
        <w:tc>
          <w:tcPr>
            <w:tcW w:w="961"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0</w:t>
            </w:r>
          </w:p>
        </w:tc>
        <w:tc>
          <w:tcPr>
            <w:tcW w:w="951"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0</w:t>
            </w:r>
          </w:p>
        </w:tc>
        <w:tc>
          <w:tcPr>
            <w:tcW w:w="1020"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0</w:t>
            </w:r>
          </w:p>
        </w:tc>
      </w:tr>
      <w:tr w:rsidR="00423C6C" w:rsidRPr="005A53B3" w:rsidTr="005A53B3">
        <w:trPr>
          <w:trHeight w:val="113"/>
        </w:trPr>
        <w:tc>
          <w:tcPr>
            <w:tcW w:w="1150" w:type="pct"/>
            <w:vMerge/>
            <w:tcBorders>
              <w:left w:val="single" w:sz="4" w:space="0" w:color="auto"/>
              <w:bottom w:val="single" w:sz="4" w:space="0" w:color="auto"/>
              <w:right w:val="nil"/>
            </w:tcBorders>
            <w:shd w:val="clear" w:color="auto" w:fill="auto"/>
            <w:noWrap/>
            <w:vAlign w:val="center"/>
            <w:hideMark/>
          </w:tcPr>
          <w:p w:rsidR="00423C6C" w:rsidRPr="005A53B3" w:rsidRDefault="00423C6C" w:rsidP="005A53B3">
            <w:pPr>
              <w:spacing w:after="0" w:line="240" w:lineRule="auto"/>
              <w:jc w:val="left"/>
              <w:rPr>
                <w:rFonts w:cs="Arial"/>
                <w:color w:val="000000"/>
                <w:szCs w:val="20"/>
                <w:lang w:eastAsia="en-AU"/>
              </w:rPr>
            </w:pPr>
          </w:p>
        </w:tc>
        <w:tc>
          <w:tcPr>
            <w:tcW w:w="918" w:type="pct"/>
            <w:tcBorders>
              <w:top w:val="single" w:sz="4" w:space="0" w:color="auto"/>
              <w:left w:val="single" w:sz="4" w:space="0" w:color="auto"/>
              <w:bottom w:val="single" w:sz="4" w:space="0" w:color="auto"/>
              <w:right w:val="single" w:sz="4" w:space="0" w:color="auto"/>
            </w:tcBorders>
            <w:shd w:val="clear" w:color="000000" w:fill="FFFF00"/>
            <w:noWrap/>
            <w:vAlign w:val="center"/>
          </w:tcPr>
          <w:p w:rsidR="00423C6C" w:rsidRPr="005A53B3" w:rsidRDefault="00423C6C" w:rsidP="005A53B3">
            <w:pPr>
              <w:spacing w:after="0" w:line="240" w:lineRule="auto"/>
              <w:jc w:val="center"/>
              <w:rPr>
                <w:rFonts w:cs="Arial"/>
                <w:color w:val="000000"/>
                <w:szCs w:val="20"/>
                <w:lang w:eastAsia="en-AU"/>
              </w:rPr>
            </w:pPr>
          </w:p>
        </w:tc>
        <w:tc>
          <w:tcPr>
            <w:tcW w:w="961" w:type="pct"/>
            <w:tcBorders>
              <w:top w:val="single" w:sz="4" w:space="0" w:color="auto"/>
              <w:left w:val="single" w:sz="4" w:space="0" w:color="auto"/>
              <w:bottom w:val="single" w:sz="4" w:space="0" w:color="auto"/>
              <w:right w:val="single" w:sz="4" w:space="0" w:color="auto"/>
            </w:tcBorders>
            <w:shd w:val="clear" w:color="000000" w:fill="FFFF00"/>
            <w:noWrap/>
            <w:vAlign w:val="center"/>
          </w:tcPr>
          <w:p w:rsidR="00423C6C" w:rsidRPr="005A53B3" w:rsidRDefault="00423C6C" w:rsidP="005A53B3">
            <w:pPr>
              <w:spacing w:after="0" w:line="240" w:lineRule="auto"/>
              <w:jc w:val="center"/>
              <w:rPr>
                <w:rFonts w:cs="Arial"/>
                <w:color w:val="000000"/>
                <w:szCs w:val="20"/>
                <w:lang w:eastAsia="en-AU"/>
              </w:rPr>
            </w:pPr>
          </w:p>
        </w:tc>
        <w:tc>
          <w:tcPr>
            <w:tcW w:w="951" w:type="pct"/>
            <w:tcBorders>
              <w:top w:val="single" w:sz="4" w:space="0" w:color="auto"/>
              <w:left w:val="single" w:sz="4" w:space="0" w:color="auto"/>
              <w:bottom w:val="single" w:sz="4" w:space="0" w:color="auto"/>
              <w:right w:val="single" w:sz="4" w:space="0" w:color="auto"/>
            </w:tcBorders>
            <w:shd w:val="clear" w:color="000000" w:fill="FFFF00"/>
            <w:noWrap/>
            <w:vAlign w:val="center"/>
          </w:tcPr>
          <w:p w:rsidR="00423C6C" w:rsidRPr="005A53B3" w:rsidRDefault="00423C6C" w:rsidP="005A53B3">
            <w:pPr>
              <w:spacing w:after="0" w:line="240" w:lineRule="auto"/>
              <w:jc w:val="center"/>
              <w:rPr>
                <w:rFonts w:cs="Arial"/>
                <w:color w:val="000000"/>
                <w:szCs w:val="20"/>
                <w:lang w:eastAsia="en-AU"/>
              </w:rPr>
            </w:pPr>
          </w:p>
        </w:tc>
        <w:tc>
          <w:tcPr>
            <w:tcW w:w="1020" w:type="pct"/>
            <w:tcBorders>
              <w:top w:val="single" w:sz="4" w:space="0" w:color="auto"/>
              <w:left w:val="single" w:sz="4" w:space="0" w:color="auto"/>
              <w:bottom w:val="single" w:sz="4" w:space="0" w:color="auto"/>
              <w:right w:val="single" w:sz="4" w:space="0" w:color="auto"/>
            </w:tcBorders>
            <w:shd w:val="clear" w:color="000000" w:fill="FFFF00"/>
            <w:noWrap/>
            <w:vAlign w:val="center"/>
          </w:tcPr>
          <w:p w:rsidR="00423C6C" w:rsidRPr="005A53B3" w:rsidRDefault="00423C6C" w:rsidP="005A53B3">
            <w:pPr>
              <w:spacing w:after="0" w:line="240" w:lineRule="auto"/>
              <w:jc w:val="center"/>
              <w:rPr>
                <w:rFonts w:cs="Arial"/>
                <w:color w:val="000000"/>
                <w:szCs w:val="20"/>
                <w:lang w:eastAsia="en-AU"/>
              </w:rPr>
            </w:pPr>
          </w:p>
        </w:tc>
      </w:tr>
      <w:tr w:rsidR="00423C6C" w:rsidRPr="005A53B3" w:rsidTr="005A53B3">
        <w:trPr>
          <w:trHeight w:val="300"/>
        </w:trPr>
        <w:tc>
          <w:tcPr>
            <w:tcW w:w="1150" w:type="pct"/>
            <w:vMerge w:val="restart"/>
            <w:tcBorders>
              <w:top w:val="nil"/>
              <w:left w:val="single" w:sz="4" w:space="0" w:color="auto"/>
              <w:right w:val="nil"/>
            </w:tcBorders>
            <w:shd w:val="clear" w:color="auto" w:fill="auto"/>
            <w:noWrap/>
            <w:vAlign w:val="center"/>
            <w:hideMark/>
          </w:tcPr>
          <w:p w:rsidR="00423C6C" w:rsidRPr="005A53B3" w:rsidRDefault="00423C6C" w:rsidP="005A53B3">
            <w:pPr>
              <w:spacing w:after="0" w:line="240" w:lineRule="auto"/>
              <w:jc w:val="left"/>
              <w:rPr>
                <w:rFonts w:cs="Arial"/>
                <w:color w:val="000000"/>
                <w:szCs w:val="20"/>
                <w:lang w:eastAsia="en-AU"/>
              </w:rPr>
            </w:pPr>
            <w:r w:rsidRPr="005A53B3">
              <w:rPr>
                <w:rFonts w:cs="Arial"/>
                <w:color w:val="000000"/>
                <w:szCs w:val="20"/>
                <w:lang w:eastAsia="en-AU"/>
              </w:rPr>
              <w:t>GLTIM C1 S6</w:t>
            </w:r>
          </w:p>
          <w:p w:rsidR="00423C6C" w:rsidRPr="005A53B3" w:rsidRDefault="00423C6C" w:rsidP="005A53B3">
            <w:pPr>
              <w:spacing w:after="0" w:line="240" w:lineRule="auto"/>
              <w:jc w:val="left"/>
              <w:rPr>
                <w:rFonts w:cs="Arial"/>
                <w:color w:val="000000"/>
                <w:szCs w:val="20"/>
                <w:lang w:eastAsia="en-AU"/>
              </w:rPr>
            </w:pPr>
          </w:p>
        </w:tc>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0</w:t>
            </w:r>
          </w:p>
        </w:tc>
        <w:tc>
          <w:tcPr>
            <w:tcW w:w="961"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0</w:t>
            </w:r>
          </w:p>
        </w:tc>
        <w:tc>
          <w:tcPr>
            <w:tcW w:w="951"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0</w:t>
            </w:r>
          </w:p>
        </w:tc>
        <w:tc>
          <w:tcPr>
            <w:tcW w:w="1020"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0</w:t>
            </w:r>
          </w:p>
        </w:tc>
      </w:tr>
      <w:tr w:rsidR="00423C6C" w:rsidRPr="005A53B3" w:rsidTr="005A53B3">
        <w:trPr>
          <w:trHeight w:val="113"/>
        </w:trPr>
        <w:tc>
          <w:tcPr>
            <w:tcW w:w="1150" w:type="pct"/>
            <w:vMerge/>
            <w:tcBorders>
              <w:left w:val="single" w:sz="4" w:space="0" w:color="auto"/>
              <w:bottom w:val="single" w:sz="4" w:space="0" w:color="auto"/>
              <w:right w:val="nil"/>
            </w:tcBorders>
            <w:shd w:val="clear" w:color="auto" w:fill="auto"/>
            <w:noWrap/>
            <w:vAlign w:val="center"/>
            <w:hideMark/>
          </w:tcPr>
          <w:p w:rsidR="00423C6C" w:rsidRPr="005A53B3" w:rsidRDefault="00423C6C" w:rsidP="005A53B3">
            <w:pPr>
              <w:spacing w:after="0" w:line="240" w:lineRule="auto"/>
              <w:jc w:val="left"/>
              <w:rPr>
                <w:rFonts w:cs="Arial"/>
                <w:color w:val="000000"/>
                <w:szCs w:val="20"/>
                <w:lang w:eastAsia="en-AU"/>
              </w:rPr>
            </w:pPr>
          </w:p>
        </w:tc>
        <w:tc>
          <w:tcPr>
            <w:tcW w:w="918" w:type="pct"/>
            <w:tcBorders>
              <w:top w:val="single" w:sz="4" w:space="0" w:color="auto"/>
              <w:left w:val="single" w:sz="4" w:space="0" w:color="auto"/>
              <w:bottom w:val="single" w:sz="4" w:space="0" w:color="auto"/>
              <w:right w:val="single" w:sz="4" w:space="0" w:color="auto"/>
            </w:tcBorders>
            <w:shd w:val="clear" w:color="000000" w:fill="FFFF00"/>
            <w:noWrap/>
            <w:vAlign w:val="center"/>
          </w:tcPr>
          <w:p w:rsidR="00423C6C" w:rsidRPr="005A53B3" w:rsidRDefault="00423C6C" w:rsidP="005A53B3">
            <w:pPr>
              <w:spacing w:after="0" w:line="240" w:lineRule="auto"/>
              <w:jc w:val="center"/>
              <w:rPr>
                <w:rFonts w:cs="Arial"/>
                <w:color w:val="000000"/>
                <w:szCs w:val="20"/>
                <w:lang w:eastAsia="en-AU"/>
              </w:rPr>
            </w:pPr>
          </w:p>
        </w:tc>
        <w:tc>
          <w:tcPr>
            <w:tcW w:w="961" w:type="pct"/>
            <w:tcBorders>
              <w:top w:val="single" w:sz="4" w:space="0" w:color="auto"/>
              <w:left w:val="single" w:sz="4" w:space="0" w:color="auto"/>
              <w:bottom w:val="single" w:sz="4" w:space="0" w:color="auto"/>
              <w:right w:val="single" w:sz="4" w:space="0" w:color="auto"/>
            </w:tcBorders>
            <w:shd w:val="clear" w:color="000000" w:fill="FFFF00"/>
            <w:noWrap/>
            <w:vAlign w:val="center"/>
          </w:tcPr>
          <w:p w:rsidR="00423C6C" w:rsidRPr="005A53B3" w:rsidRDefault="00423C6C" w:rsidP="005A53B3">
            <w:pPr>
              <w:spacing w:after="0" w:line="240" w:lineRule="auto"/>
              <w:jc w:val="center"/>
              <w:rPr>
                <w:rFonts w:cs="Arial"/>
                <w:color w:val="000000"/>
                <w:szCs w:val="20"/>
                <w:lang w:eastAsia="en-AU"/>
              </w:rPr>
            </w:pPr>
          </w:p>
        </w:tc>
        <w:tc>
          <w:tcPr>
            <w:tcW w:w="951" w:type="pct"/>
            <w:tcBorders>
              <w:top w:val="single" w:sz="4" w:space="0" w:color="auto"/>
              <w:left w:val="single" w:sz="4" w:space="0" w:color="auto"/>
              <w:bottom w:val="single" w:sz="4" w:space="0" w:color="auto"/>
              <w:right w:val="single" w:sz="4" w:space="0" w:color="auto"/>
            </w:tcBorders>
            <w:shd w:val="clear" w:color="000000" w:fill="FFFF00"/>
            <w:noWrap/>
            <w:vAlign w:val="center"/>
          </w:tcPr>
          <w:p w:rsidR="00423C6C" w:rsidRPr="005A53B3" w:rsidRDefault="00423C6C" w:rsidP="005A53B3">
            <w:pPr>
              <w:spacing w:after="0" w:line="240" w:lineRule="auto"/>
              <w:jc w:val="center"/>
              <w:rPr>
                <w:rFonts w:cs="Arial"/>
                <w:color w:val="000000"/>
                <w:szCs w:val="20"/>
                <w:lang w:eastAsia="en-AU"/>
              </w:rPr>
            </w:pPr>
          </w:p>
        </w:tc>
        <w:tc>
          <w:tcPr>
            <w:tcW w:w="1020" w:type="pct"/>
            <w:tcBorders>
              <w:top w:val="single" w:sz="4" w:space="0" w:color="auto"/>
              <w:left w:val="single" w:sz="4" w:space="0" w:color="auto"/>
              <w:bottom w:val="single" w:sz="4" w:space="0" w:color="auto"/>
              <w:right w:val="single" w:sz="4" w:space="0" w:color="auto"/>
            </w:tcBorders>
            <w:shd w:val="clear" w:color="000000" w:fill="FFFF00"/>
            <w:noWrap/>
            <w:vAlign w:val="center"/>
          </w:tcPr>
          <w:p w:rsidR="00423C6C" w:rsidRPr="005A53B3" w:rsidRDefault="00423C6C" w:rsidP="005A53B3">
            <w:pPr>
              <w:spacing w:after="0" w:line="240" w:lineRule="auto"/>
              <w:jc w:val="center"/>
              <w:rPr>
                <w:rFonts w:cs="Arial"/>
                <w:color w:val="000000"/>
                <w:szCs w:val="20"/>
                <w:lang w:eastAsia="en-AU"/>
              </w:rPr>
            </w:pPr>
          </w:p>
        </w:tc>
      </w:tr>
      <w:tr w:rsidR="00423C6C" w:rsidRPr="005A53B3" w:rsidTr="005A53B3">
        <w:trPr>
          <w:trHeight w:val="300"/>
        </w:trPr>
        <w:tc>
          <w:tcPr>
            <w:tcW w:w="1150" w:type="pct"/>
            <w:vMerge w:val="restart"/>
            <w:tcBorders>
              <w:top w:val="nil"/>
              <w:left w:val="single" w:sz="4" w:space="0" w:color="auto"/>
              <w:right w:val="nil"/>
            </w:tcBorders>
            <w:shd w:val="clear" w:color="auto" w:fill="auto"/>
            <w:noWrap/>
            <w:vAlign w:val="center"/>
            <w:hideMark/>
          </w:tcPr>
          <w:p w:rsidR="00423C6C" w:rsidRPr="005A53B3" w:rsidRDefault="00423C6C" w:rsidP="005A53B3">
            <w:pPr>
              <w:spacing w:after="0" w:line="240" w:lineRule="auto"/>
              <w:jc w:val="left"/>
              <w:rPr>
                <w:rFonts w:cs="Arial"/>
                <w:color w:val="000000"/>
                <w:szCs w:val="20"/>
                <w:lang w:eastAsia="en-AU"/>
              </w:rPr>
            </w:pPr>
            <w:r w:rsidRPr="005A53B3">
              <w:rPr>
                <w:rFonts w:cs="Arial"/>
                <w:color w:val="000000"/>
                <w:szCs w:val="20"/>
                <w:lang w:eastAsia="en-AU"/>
              </w:rPr>
              <w:t>Norwood</w:t>
            </w:r>
          </w:p>
          <w:p w:rsidR="00423C6C" w:rsidRPr="005A53B3" w:rsidRDefault="00423C6C" w:rsidP="005A53B3">
            <w:pPr>
              <w:spacing w:after="0" w:line="240" w:lineRule="auto"/>
              <w:jc w:val="left"/>
              <w:rPr>
                <w:rFonts w:cs="Arial"/>
                <w:color w:val="000000"/>
                <w:szCs w:val="20"/>
                <w:lang w:eastAsia="en-AU"/>
              </w:rPr>
            </w:pPr>
          </w:p>
        </w:tc>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28.7</w:t>
            </w:r>
          </w:p>
        </w:tc>
        <w:tc>
          <w:tcPr>
            <w:tcW w:w="961"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92.5</w:t>
            </w:r>
          </w:p>
        </w:tc>
        <w:tc>
          <w:tcPr>
            <w:tcW w:w="951"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73</w:t>
            </w:r>
          </w:p>
        </w:tc>
        <w:tc>
          <w:tcPr>
            <w:tcW w:w="1020"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51.6</w:t>
            </w:r>
          </w:p>
        </w:tc>
      </w:tr>
      <w:tr w:rsidR="00423C6C" w:rsidRPr="005A53B3" w:rsidTr="005A53B3">
        <w:trPr>
          <w:trHeight w:val="113"/>
        </w:trPr>
        <w:tc>
          <w:tcPr>
            <w:tcW w:w="1150" w:type="pct"/>
            <w:vMerge/>
            <w:tcBorders>
              <w:left w:val="single" w:sz="4" w:space="0" w:color="auto"/>
              <w:bottom w:val="single" w:sz="4" w:space="0" w:color="auto"/>
              <w:right w:val="nil"/>
            </w:tcBorders>
            <w:shd w:val="clear" w:color="auto" w:fill="auto"/>
            <w:noWrap/>
            <w:vAlign w:val="center"/>
            <w:hideMark/>
          </w:tcPr>
          <w:p w:rsidR="00423C6C" w:rsidRPr="005A53B3" w:rsidRDefault="00423C6C" w:rsidP="005A53B3">
            <w:pPr>
              <w:spacing w:after="0" w:line="240" w:lineRule="auto"/>
              <w:jc w:val="left"/>
              <w:rPr>
                <w:rFonts w:cs="Arial"/>
                <w:color w:val="000000"/>
                <w:szCs w:val="20"/>
                <w:lang w:eastAsia="en-AU"/>
              </w:rPr>
            </w:pPr>
          </w:p>
        </w:tc>
        <w:tc>
          <w:tcPr>
            <w:tcW w:w="918" w:type="pct"/>
            <w:tcBorders>
              <w:top w:val="single" w:sz="4" w:space="0" w:color="auto"/>
              <w:left w:val="single" w:sz="4" w:space="0" w:color="auto"/>
              <w:bottom w:val="single" w:sz="4" w:space="0" w:color="auto"/>
              <w:right w:val="single" w:sz="4" w:space="0" w:color="auto"/>
            </w:tcBorders>
            <w:shd w:val="clear" w:color="000000" w:fill="C1E52D"/>
            <w:noWrap/>
            <w:vAlign w:val="center"/>
          </w:tcPr>
          <w:p w:rsidR="00423C6C" w:rsidRPr="005A53B3" w:rsidRDefault="00423C6C" w:rsidP="005A53B3">
            <w:pPr>
              <w:spacing w:after="0" w:line="240" w:lineRule="auto"/>
              <w:jc w:val="center"/>
              <w:rPr>
                <w:rFonts w:cs="Arial"/>
                <w:color w:val="000000"/>
                <w:szCs w:val="20"/>
                <w:lang w:eastAsia="en-AU"/>
              </w:rPr>
            </w:pPr>
          </w:p>
        </w:tc>
        <w:tc>
          <w:tcPr>
            <w:tcW w:w="961" w:type="pct"/>
            <w:tcBorders>
              <w:top w:val="single" w:sz="4" w:space="0" w:color="auto"/>
              <w:left w:val="single" w:sz="4" w:space="0" w:color="auto"/>
              <w:bottom w:val="single" w:sz="4" w:space="0" w:color="auto"/>
              <w:right w:val="single" w:sz="4" w:space="0" w:color="auto"/>
            </w:tcBorders>
            <w:shd w:val="clear" w:color="000000" w:fill="163B5D"/>
            <w:noWrap/>
            <w:vAlign w:val="center"/>
          </w:tcPr>
          <w:p w:rsidR="00423C6C" w:rsidRPr="005A53B3" w:rsidRDefault="00423C6C" w:rsidP="005A53B3">
            <w:pPr>
              <w:spacing w:after="0" w:line="240" w:lineRule="auto"/>
              <w:jc w:val="center"/>
              <w:rPr>
                <w:rFonts w:cs="Arial"/>
                <w:color w:val="000000"/>
                <w:szCs w:val="20"/>
                <w:lang w:eastAsia="en-AU"/>
              </w:rPr>
            </w:pPr>
          </w:p>
        </w:tc>
        <w:tc>
          <w:tcPr>
            <w:tcW w:w="951" w:type="pct"/>
            <w:tcBorders>
              <w:top w:val="single" w:sz="4" w:space="0" w:color="auto"/>
              <w:left w:val="single" w:sz="4" w:space="0" w:color="auto"/>
              <w:bottom w:val="single" w:sz="4" w:space="0" w:color="auto"/>
              <w:right w:val="single" w:sz="4" w:space="0" w:color="auto"/>
            </w:tcBorders>
            <w:shd w:val="clear" w:color="000000" w:fill="4F8057"/>
            <w:noWrap/>
            <w:vAlign w:val="center"/>
          </w:tcPr>
          <w:p w:rsidR="00423C6C" w:rsidRPr="005A53B3" w:rsidRDefault="00423C6C" w:rsidP="005A53B3">
            <w:pPr>
              <w:spacing w:after="0" w:line="240" w:lineRule="auto"/>
              <w:jc w:val="center"/>
              <w:rPr>
                <w:rFonts w:cs="Arial"/>
                <w:color w:val="000000"/>
                <w:szCs w:val="20"/>
                <w:lang w:eastAsia="en-AU"/>
              </w:rPr>
            </w:pPr>
          </w:p>
        </w:tc>
        <w:tc>
          <w:tcPr>
            <w:tcW w:w="1020" w:type="pct"/>
            <w:tcBorders>
              <w:top w:val="single" w:sz="4" w:space="0" w:color="auto"/>
              <w:left w:val="single" w:sz="4" w:space="0" w:color="auto"/>
              <w:bottom w:val="single" w:sz="4" w:space="0" w:color="auto"/>
              <w:right w:val="single" w:sz="4" w:space="0" w:color="auto"/>
            </w:tcBorders>
            <w:shd w:val="clear" w:color="000000" w:fill="8ECB50"/>
            <w:noWrap/>
            <w:vAlign w:val="center"/>
          </w:tcPr>
          <w:p w:rsidR="00423C6C" w:rsidRPr="005A53B3" w:rsidRDefault="00423C6C" w:rsidP="005A53B3">
            <w:pPr>
              <w:spacing w:after="0" w:line="240" w:lineRule="auto"/>
              <w:jc w:val="center"/>
              <w:rPr>
                <w:rFonts w:cs="Arial"/>
                <w:color w:val="000000"/>
                <w:szCs w:val="20"/>
                <w:lang w:eastAsia="en-AU"/>
              </w:rPr>
            </w:pPr>
          </w:p>
        </w:tc>
      </w:tr>
      <w:tr w:rsidR="00423C6C" w:rsidRPr="005A53B3" w:rsidTr="005A53B3">
        <w:trPr>
          <w:trHeight w:val="300"/>
        </w:trPr>
        <w:tc>
          <w:tcPr>
            <w:tcW w:w="1150" w:type="pct"/>
            <w:vMerge w:val="restart"/>
            <w:tcBorders>
              <w:top w:val="nil"/>
              <w:left w:val="single" w:sz="4" w:space="0" w:color="auto"/>
              <w:right w:val="nil"/>
            </w:tcBorders>
            <w:shd w:val="clear" w:color="auto" w:fill="auto"/>
            <w:noWrap/>
            <w:vAlign w:val="center"/>
            <w:hideMark/>
          </w:tcPr>
          <w:p w:rsidR="00423C6C" w:rsidRPr="005A53B3" w:rsidRDefault="00423C6C" w:rsidP="005A53B3">
            <w:pPr>
              <w:spacing w:after="0" w:line="240" w:lineRule="auto"/>
              <w:jc w:val="left"/>
              <w:rPr>
                <w:rFonts w:cs="Arial"/>
                <w:color w:val="000000"/>
                <w:szCs w:val="20"/>
                <w:lang w:eastAsia="en-AU"/>
              </w:rPr>
            </w:pPr>
            <w:r w:rsidRPr="005A53B3">
              <w:rPr>
                <w:rFonts w:cs="Arial"/>
                <w:color w:val="000000"/>
                <w:szCs w:val="20"/>
                <w:lang w:eastAsia="en-AU"/>
              </w:rPr>
              <w:t>Redbank</w:t>
            </w:r>
          </w:p>
          <w:p w:rsidR="00423C6C" w:rsidRPr="005A53B3" w:rsidRDefault="00423C6C" w:rsidP="005A53B3">
            <w:pPr>
              <w:spacing w:after="0" w:line="240" w:lineRule="auto"/>
              <w:jc w:val="left"/>
              <w:rPr>
                <w:rFonts w:cs="Arial"/>
                <w:color w:val="000000"/>
                <w:szCs w:val="20"/>
                <w:lang w:eastAsia="en-AU"/>
              </w:rPr>
            </w:pPr>
          </w:p>
        </w:tc>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28.7</w:t>
            </w:r>
          </w:p>
        </w:tc>
        <w:tc>
          <w:tcPr>
            <w:tcW w:w="961"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94.8</w:t>
            </w:r>
          </w:p>
        </w:tc>
        <w:tc>
          <w:tcPr>
            <w:tcW w:w="951"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54</w:t>
            </w:r>
          </w:p>
        </w:tc>
        <w:tc>
          <w:tcPr>
            <w:tcW w:w="1020"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39.1</w:t>
            </w:r>
          </w:p>
        </w:tc>
      </w:tr>
      <w:tr w:rsidR="00423C6C" w:rsidRPr="005A53B3" w:rsidTr="005A53B3">
        <w:trPr>
          <w:trHeight w:val="113"/>
        </w:trPr>
        <w:tc>
          <w:tcPr>
            <w:tcW w:w="1150" w:type="pct"/>
            <w:vMerge/>
            <w:tcBorders>
              <w:left w:val="single" w:sz="4" w:space="0" w:color="auto"/>
              <w:bottom w:val="single" w:sz="4" w:space="0" w:color="auto"/>
              <w:right w:val="nil"/>
            </w:tcBorders>
            <w:shd w:val="clear" w:color="auto" w:fill="auto"/>
            <w:noWrap/>
            <w:vAlign w:val="center"/>
            <w:hideMark/>
          </w:tcPr>
          <w:p w:rsidR="00423C6C" w:rsidRPr="005A53B3" w:rsidRDefault="00423C6C" w:rsidP="005A53B3">
            <w:pPr>
              <w:spacing w:after="0" w:line="240" w:lineRule="auto"/>
              <w:jc w:val="left"/>
              <w:rPr>
                <w:rFonts w:cs="Arial"/>
                <w:color w:val="000000"/>
                <w:szCs w:val="20"/>
                <w:lang w:eastAsia="en-AU"/>
              </w:rPr>
            </w:pPr>
          </w:p>
        </w:tc>
        <w:tc>
          <w:tcPr>
            <w:tcW w:w="918" w:type="pct"/>
            <w:tcBorders>
              <w:top w:val="single" w:sz="4" w:space="0" w:color="auto"/>
              <w:left w:val="single" w:sz="4" w:space="0" w:color="auto"/>
              <w:bottom w:val="single" w:sz="4" w:space="0" w:color="auto"/>
              <w:right w:val="single" w:sz="4" w:space="0" w:color="auto"/>
            </w:tcBorders>
            <w:shd w:val="clear" w:color="000000" w:fill="C1E52D"/>
            <w:noWrap/>
            <w:vAlign w:val="center"/>
          </w:tcPr>
          <w:p w:rsidR="00423C6C" w:rsidRPr="005A53B3" w:rsidRDefault="00423C6C" w:rsidP="005A53B3">
            <w:pPr>
              <w:spacing w:after="0" w:line="240" w:lineRule="auto"/>
              <w:jc w:val="center"/>
              <w:rPr>
                <w:rFonts w:cs="Arial"/>
                <w:color w:val="000000"/>
                <w:szCs w:val="20"/>
                <w:lang w:eastAsia="en-AU"/>
              </w:rPr>
            </w:pPr>
          </w:p>
        </w:tc>
        <w:tc>
          <w:tcPr>
            <w:tcW w:w="961" w:type="pct"/>
            <w:tcBorders>
              <w:top w:val="single" w:sz="4" w:space="0" w:color="auto"/>
              <w:left w:val="single" w:sz="4" w:space="0" w:color="auto"/>
              <w:bottom w:val="single" w:sz="4" w:space="0" w:color="auto"/>
              <w:right w:val="single" w:sz="4" w:space="0" w:color="auto"/>
            </w:tcBorders>
            <w:shd w:val="clear" w:color="000000" w:fill="10335E"/>
            <w:noWrap/>
            <w:vAlign w:val="center"/>
          </w:tcPr>
          <w:p w:rsidR="00423C6C" w:rsidRPr="005A53B3" w:rsidRDefault="00423C6C" w:rsidP="005A53B3">
            <w:pPr>
              <w:spacing w:after="0" w:line="240" w:lineRule="auto"/>
              <w:jc w:val="center"/>
              <w:rPr>
                <w:rFonts w:cs="Arial"/>
                <w:color w:val="000000"/>
                <w:szCs w:val="20"/>
                <w:lang w:eastAsia="en-AU"/>
              </w:rPr>
            </w:pPr>
          </w:p>
        </w:tc>
        <w:tc>
          <w:tcPr>
            <w:tcW w:w="951" w:type="pct"/>
            <w:tcBorders>
              <w:top w:val="single" w:sz="4" w:space="0" w:color="auto"/>
              <w:left w:val="single" w:sz="4" w:space="0" w:color="auto"/>
              <w:bottom w:val="single" w:sz="4" w:space="0" w:color="auto"/>
              <w:right w:val="single" w:sz="4" w:space="0" w:color="auto"/>
            </w:tcBorders>
            <w:shd w:val="clear" w:color="000000" w:fill="87C251"/>
            <w:noWrap/>
            <w:vAlign w:val="center"/>
          </w:tcPr>
          <w:p w:rsidR="00423C6C" w:rsidRPr="005A53B3" w:rsidRDefault="00423C6C" w:rsidP="005A53B3">
            <w:pPr>
              <w:spacing w:after="0" w:line="240" w:lineRule="auto"/>
              <w:jc w:val="center"/>
              <w:rPr>
                <w:rFonts w:cs="Arial"/>
                <w:color w:val="000000"/>
                <w:szCs w:val="20"/>
                <w:lang w:eastAsia="en-AU"/>
              </w:rPr>
            </w:pPr>
          </w:p>
        </w:tc>
        <w:tc>
          <w:tcPr>
            <w:tcW w:w="1020" w:type="pct"/>
            <w:tcBorders>
              <w:top w:val="single" w:sz="4" w:space="0" w:color="auto"/>
              <w:left w:val="single" w:sz="4" w:space="0" w:color="auto"/>
              <w:bottom w:val="single" w:sz="4" w:space="0" w:color="auto"/>
              <w:right w:val="single" w:sz="4" w:space="0" w:color="auto"/>
            </w:tcBorders>
            <w:shd w:val="clear" w:color="000000" w:fill="AADB3E"/>
            <w:noWrap/>
            <w:vAlign w:val="center"/>
          </w:tcPr>
          <w:p w:rsidR="00423C6C" w:rsidRPr="005A53B3" w:rsidRDefault="00423C6C" w:rsidP="005A53B3">
            <w:pPr>
              <w:spacing w:after="0" w:line="240" w:lineRule="auto"/>
              <w:jc w:val="center"/>
              <w:rPr>
                <w:rFonts w:cs="Arial"/>
                <w:color w:val="000000"/>
                <w:szCs w:val="20"/>
                <w:lang w:eastAsia="en-AU"/>
              </w:rPr>
            </w:pPr>
          </w:p>
        </w:tc>
      </w:tr>
      <w:tr w:rsidR="00423C6C" w:rsidRPr="005A53B3" w:rsidTr="005A53B3">
        <w:trPr>
          <w:trHeight w:val="300"/>
        </w:trPr>
        <w:tc>
          <w:tcPr>
            <w:tcW w:w="1150" w:type="pct"/>
            <w:vMerge w:val="restart"/>
            <w:tcBorders>
              <w:top w:val="nil"/>
              <w:left w:val="single" w:sz="4" w:space="0" w:color="auto"/>
              <w:right w:val="nil"/>
            </w:tcBorders>
            <w:shd w:val="clear" w:color="auto" w:fill="auto"/>
            <w:noWrap/>
            <w:vAlign w:val="center"/>
            <w:hideMark/>
          </w:tcPr>
          <w:p w:rsidR="00423C6C" w:rsidRPr="005A53B3" w:rsidRDefault="00423C6C" w:rsidP="005A53B3">
            <w:pPr>
              <w:spacing w:after="0" w:line="240" w:lineRule="auto"/>
              <w:jc w:val="left"/>
              <w:rPr>
                <w:rFonts w:cs="Arial"/>
                <w:b/>
                <w:color w:val="000000"/>
                <w:szCs w:val="20"/>
                <w:lang w:eastAsia="en-AU"/>
              </w:rPr>
            </w:pPr>
            <w:r w:rsidRPr="005A53B3">
              <w:rPr>
                <w:rFonts w:cs="Arial"/>
                <w:b/>
                <w:color w:val="000000"/>
                <w:szCs w:val="20"/>
                <w:lang w:eastAsia="en-AU"/>
              </w:rPr>
              <w:t>Average (± S.E.)</w:t>
            </w:r>
          </w:p>
          <w:p w:rsidR="00423C6C" w:rsidRPr="005A53B3" w:rsidRDefault="00423C6C" w:rsidP="005A53B3">
            <w:pPr>
              <w:spacing w:after="0" w:line="240" w:lineRule="auto"/>
              <w:jc w:val="left"/>
              <w:rPr>
                <w:rFonts w:cs="Arial"/>
                <w:color w:val="000000"/>
                <w:szCs w:val="20"/>
                <w:lang w:eastAsia="en-AU"/>
              </w:rPr>
            </w:pPr>
          </w:p>
        </w:tc>
        <w:tc>
          <w:tcPr>
            <w:tcW w:w="918" w:type="pct"/>
            <w:vMerge w:val="restart"/>
            <w:tcBorders>
              <w:top w:val="nil"/>
              <w:left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NA</w:t>
            </w:r>
          </w:p>
          <w:p w:rsidR="00423C6C" w:rsidRPr="005A53B3" w:rsidRDefault="00423C6C" w:rsidP="005A53B3">
            <w:pPr>
              <w:spacing w:after="0" w:line="240" w:lineRule="auto"/>
              <w:jc w:val="center"/>
              <w:rPr>
                <w:rFonts w:cs="Arial"/>
                <w:color w:val="000000"/>
                <w:szCs w:val="20"/>
                <w:lang w:eastAsia="en-AU"/>
              </w:rPr>
            </w:pPr>
          </w:p>
        </w:tc>
        <w:tc>
          <w:tcPr>
            <w:tcW w:w="961"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46.2 (20.68)</w:t>
            </w:r>
          </w:p>
        </w:tc>
        <w:tc>
          <w:tcPr>
            <w:tcW w:w="951"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33.3 (15.17)</w:t>
            </w:r>
          </w:p>
        </w:tc>
        <w:tc>
          <w:tcPr>
            <w:tcW w:w="1020"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23.7 (10.75)</w:t>
            </w:r>
          </w:p>
        </w:tc>
      </w:tr>
      <w:tr w:rsidR="00423C6C" w:rsidRPr="005A53B3" w:rsidTr="005A53B3">
        <w:trPr>
          <w:trHeight w:val="113"/>
        </w:trPr>
        <w:tc>
          <w:tcPr>
            <w:tcW w:w="1150" w:type="pct"/>
            <w:vMerge/>
            <w:tcBorders>
              <w:left w:val="single" w:sz="4" w:space="0" w:color="auto"/>
              <w:bottom w:val="single" w:sz="4" w:space="0" w:color="auto"/>
              <w:right w:val="nil"/>
            </w:tcBorders>
            <w:shd w:val="clear" w:color="auto" w:fill="auto"/>
            <w:noWrap/>
            <w:vAlign w:val="center"/>
            <w:hideMark/>
          </w:tcPr>
          <w:p w:rsidR="00423C6C" w:rsidRPr="005A53B3" w:rsidRDefault="00423C6C" w:rsidP="005A53B3">
            <w:pPr>
              <w:spacing w:after="0" w:line="240" w:lineRule="auto"/>
              <w:jc w:val="left"/>
              <w:rPr>
                <w:rFonts w:cs="Arial"/>
                <w:color w:val="000000"/>
                <w:szCs w:val="20"/>
                <w:lang w:eastAsia="en-AU"/>
              </w:rPr>
            </w:pPr>
          </w:p>
        </w:tc>
        <w:tc>
          <w:tcPr>
            <w:tcW w:w="918" w:type="pct"/>
            <w:vMerge/>
            <w:tcBorders>
              <w:left w:val="single" w:sz="4" w:space="0" w:color="auto"/>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p>
        </w:tc>
        <w:tc>
          <w:tcPr>
            <w:tcW w:w="961" w:type="pct"/>
            <w:tcBorders>
              <w:top w:val="single" w:sz="4" w:space="0" w:color="auto"/>
              <w:left w:val="single" w:sz="4" w:space="0" w:color="auto"/>
              <w:bottom w:val="single" w:sz="4" w:space="0" w:color="auto"/>
              <w:right w:val="single" w:sz="4" w:space="0" w:color="auto"/>
            </w:tcBorders>
            <w:shd w:val="clear" w:color="000000" w:fill="9BD449"/>
            <w:noWrap/>
            <w:vAlign w:val="center"/>
          </w:tcPr>
          <w:p w:rsidR="00423C6C" w:rsidRPr="005A53B3" w:rsidRDefault="00423C6C" w:rsidP="005A53B3">
            <w:pPr>
              <w:spacing w:after="0" w:line="240" w:lineRule="auto"/>
              <w:jc w:val="center"/>
              <w:rPr>
                <w:rFonts w:cs="Arial"/>
                <w:color w:val="000000"/>
                <w:szCs w:val="20"/>
                <w:lang w:eastAsia="en-AU"/>
              </w:rPr>
            </w:pPr>
          </w:p>
        </w:tc>
        <w:tc>
          <w:tcPr>
            <w:tcW w:w="951" w:type="pct"/>
            <w:tcBorders>
              <w:top w:val="single" w:sz="4" w:space="0" w:color="auto"/>
              <w:left w:val="single" w:sz="4" w:space="0" w:color="auto"/>
              <w:bottom w:val="single" w:sz="4" w:space="0" w:color="auto"/>
              <w:right w:val="single" w:sz="4" w:space="0" w:color="auto"/>
            </w:tcBorders>
            <w:shd w:val="clear" w:color="000000" w:fill="B7E035"/>
            <w:noWrap/>
            <w:vAlign w:val="center"/>
          </w:tcPr>
          <w:p w:rsidR="00423C6C" w:rsidRPr="005A53B3" w:rsidRDefault="00423C6C" w:rsidP="005A53B3">
            <w:pPr>
              <w:spacing w:after="0" w:line="240" w:lineRule="auto"/>
              <w:jc w:val="center"/>
              <w:rPr>
                <w:rFonts w:cs="Arial"/>
                <w:color w:val="000000"/>
                <w:szCs w:val="20"/>
                <w:lang w:eastAsia="en-AU"/>
              </w:rPr>
            </w:pPr>
          </w:p>
        </w:tc>
        <w:tc>
          <w:tcPr>
            <w:tcW w:w="1020" w:type="pct"/>
            <w:tcBorders>
              <w:top w:val="single" w:sz="4" w:space="0" w:color="auto"/>
              <w:left w:val="single" w:sz="4" w:space="0" w:color="auto"/>
              <w:bottom w:val="single" w:sz="4" w:space="0" w:color="auto"/>
              <w:right w:val="single" w:sz="4" w:space="0" w:color="auto"/>
            </w:tcBorders>
            <w:shd w:val="clear" w:color="000000" w:fill="CCE925"/>
            <w:noWrap/>
            <w:vAlign w:val="center"/>
          </w:tcPr>
          <w:p w:rsidR="00423C6C" w:rsidRPr="005A53B3" w:rsidRDefault="00423C6C" w:rsidP="005A53B3">
            <w:pPr>
              <w:spacing w:after="0" w:line="240" w:lineRule="auto"/>
              <w:jc w:val="center"/>
              <w:rPr>
                <w:rFonts w:cs="Arial"/>
                <w:color w:val="000000"/>
                <w:szCs w:val="20"/>
                <w:lang w:eastAsia="en-AU"/>
              </w:rPr>
            </w:pPr>
          </w:p>
        </w:tc>
      </w:tr>
      <w:tr w:rsidR="00423C6C" w:rsidRPr="005A53B3" w:rsidTr="005A53B3">
        <w:trPr>
          <w:trHeight w:hRule="exact" w:val="113"/>
        </w:trPr>
        <w:tc>
          <w:tcPr>
            <w:tcW w:w="1150" w:type="pct"/>
            <w:tcBorders>
              <w:top w:val="single" w:sz="4" w:space="0" w:color="auto"/>
              <w:bottom w:val="single" w:sz="4" w:space="0" w:color="auto"/>
              <w:right w:val="nil"/>
            </w:tcBorders>
            <w:shd w:val="clear" w:color="auto" w:fill="auto"/>
            <w:noWrap/>
            <w:vAlign w:val="center"/>
            <w:hideMark/>
          </w:tcPr>
          <w:p w:rsidR="00423C6C" w:rsidRPr="005A53B3" w:rsidRDefault="00423C6C" w:rsidP="005A53B3">
            <w:pPr>
              <w:spacing w:after="0" w:line="240" w:lineRule="auto"/>
              <w:jc w:val="left"/>
              <w:rPr>
                <w:rFonts w:cs="Arial"/>
                <w:color w:val="000000"/>
                <w:szCs w:val="20"/>
                <w:lang w:eastAsia="en-AU"/>
              </w:rPr>
            </w:pPr>
          </w:p>
        </w:tc>
        <w:tc>
          <w:tcPr>
            <w:tcW w:w="918" w:type="pct"/>
            <w:tcBorders>
              <w:top w:val="nil"/>
              <w:left w:val="single" w:sz="4" w:space="0" w:color="auto"/>
              <w:bottom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p>
        </w:tc>
        <w:tc>
          <w:tcPr>
            <w:tcW w:w="961" w:type="pct"/>
            <w:tcBorders>
              <w:top w:val="single" w:sz="4" w:space="0" w:color="auto"/>
              <w:bottom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p>
        </w:tc>
        <w:tc>
          <w:tcPr>
            <w:tcW w:w="951" w:type="pct"/>
            <w:tcBorders>
              <w:top w:val="single" w:sz="4" w:space="0" w:color="auto"/>
              <w:bottom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p>
        </w:tc>
        <w:tc>
          <w:tcPr>
            <w:tcW w:w="1020" w:type="pct"/>
            <w:tcBorders>
              <w:top w:val="single" w:sz="4" w:space="0" w:color="auto"/>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p>
        </w:tc>
      </w:tr>
      <w:tr w:rsidR="00423C6C" w:rsidRPr="005A53B3" w:rsidTr="005A53B3">
        <w:trPr>
          <w:trHeight w:val="300"/>
        </w:trPr>
        <w:tc>
          <w:tcPr>
            <w:tcW w:w="1150" w:type="pct"/>
            <w:vMerge w:val="restart"/>
            <w:tcBorders>
              <w:top w:val="nil"/>
              <w:left w:val="single" w:sz="4" w:space="0" w:color="auto"/>
              <w:right w:val="nil"/>
            </w:tcBorders>
            <w:shd w:val="clear" w:color="auto" w:fill="auto"/>
            <w:noWrap/>
            <w:vAlign w:val="center"/>
            <w:hideMark/>
          </w:tcPr>
          <w:p w:rsidR="00423C6C" w:rsidRPr="005A53B3" w:rsidRDefault="00423C6C" w:rsidP="005A53B3">
            <w:pPr>
              <w:spacing w:after="0" w:line="240" w:lineRule="auto"/>
              <w:jc w:val="left"/>
              <w:rPr>
                <w:rFonts w:cs="Arial"/>
                <w:color w:val="000000"/>
                <w:szCs w:val="20"/>
                <w:lang w:eastAsia="en-AU"/>
              </w:rPr>
            </w:pPr>
            <w:r w:rsidRPr="005A53B3">
              <w:rPr>
                <w:rFonts w:cs="Arial"/>
                <w:color w:val="000000"/>
                <w:szCs w:val="20"/>
                <w:lang w:eastAsia="en-AU"/>
              </w:rPr>
              <w:t>Mehi 16</w:t>
            </w:r>
          </w:p>
          <w:p w:rsidR="00423C6C" w:rsidRPr="005A53B3" w:rsidRDefault="00423C6C" w:rsidP="005A53B3">
            <w:pPr>
              <w:spacing w:after="0" w:line="240" w:lineRule="auto"/>
              <w:jc w:val="left"/>
              <w:rPr>
                <w:rFonts w:cs="Arial"/>
                <w:color w:val="000000"/>
                <w:szCs w:val="20"/>
                <w:lang w:eastAsia="en-AU"/>
              </w:rPr>
            </w:pPr>
          </w:p>
        </w:tc>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0</w:t>
            </w:r>
          </w:p>
        </w:tc>
        <w:tc>
          <w:tcPr>
            <w:tcW w:w="961"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0</w:t>
            </w:r>
          </w:p>
        </w:tc>
        <w:tc>
          <w:tcPr>
            <w:tcW w:w="951"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0</w:t>
            </w:r>
          </w:p>
        </w:tc>
        <w:tc>
          <w:tcPr>
            <w:tcW w:w="1020"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0</w:t>
            </w:r>
          </w:p>
        </w:tc>
      </w:tr>
      <w:tr w:rsidR="00423C6C" w:rsidRPr="005A53B3" w:rsidTr="005A53B3">
        <w:trPr>
          <w:trHeight w:val="113"/>
        </w:trPr>
        <w:tc>
          <w:tcPr>
            <w:tcW w:w="1150" w:type="pct"/>
            <w:vMerge/>
            <w:tcBorders>
              <w:left w:val="single" w:sz="4" w:space="0" w:color="auto"/>
              <w:bottom w:val="single" w:sz="4" w:space="0" w:color="auto"/>
              <w:right w:val="nil"/>
            </w:tcBorders>
            <w:shd w:val="clear" w:color="auto" w:fill="auto"/>
            <w:noWrap/>
            <w:vAlign w:val="center"/>
            <w:hideMark/>
          </w:tcPr>
          <w:p w:rsidR="00423C6C" w:rsidRPr="005A53B3" w:rsidRDefault="00423C6C" w:rsidP="005A53B3">
            <w:pPr>
              <w:spacing w:after="0" w:line="240" w:lineRule="auto"/>
              <w:jc w:val="left"/>
              <w:rPr>
                <w:rFonts w:cs="Arial"/>
                <w:color w:val="000000"/>
                <w:szCs w:val="20"/>
                <w:lang w:eastAsia="en-AU"/>
              </w:rPr>
            </w:pPr>
          </w:p>
        </w:tc>
        <w:tc>
          <w:tcPr>
            <w:tcW w:w="918" w:type="pct"/>
            <w:tcBorders>
              <w:top w:val="single" w:sz="4" w:space="0" w:color="auto"/>
              <w:left w:val="single" w:sz="4" w:space="0" w:color="auto"/>
              <w:bottom w:val="single" w:sz="4" w:space="0" w:color="auto"/>
              <w:right w:val="single" w:sz="4" w:space="0" w:color="auto"/>
            </w:tcBorders>
            <w:shd w:val="clear" w:color="000000" w:fill="FFFF00"/>
            <w:noWrap/>
            <w:vAlign w:val="center"/>
          </w:tcPr>
          <w:p w:rsidR="00423C6C" w:rsidRPr="005A53B3" w:rsidRDefault="00423C6C" w:rsidP="005A53B3">
            <w:pPr>
              <w:spacing w:after="0" w:line="240" w:lineRule="auto"/>
              <w:jc w:val="center"/>
              <w:rPr>
                <w:rFonts w:cs="Arial"/>
                <w:color w:val="000000"/>
                <w:szCs w:val="20"/>
                <w:lang w:eastAsia="en-AU"/>
              </w:rPr>
            </w:pPr>
          </w:p>
        </w:tc>
        <w:tc>
          <w:tcPr>
            <w:tcW w:w="961" w:type="pct"/>
            <w:tcBorders>
              <w:top w:val="single" w:sz="4" w:space="0" w:color="auto"/>
              <w:left w:val="single" w:sz="4" w:space="0" w:color="auto"/>
              <w:bottom w:val="single" w:sz="4" w:space="0" w:color="auto"/>
              <w:right w:val="single" w:sz="4" w:space="0" w:color="auto"/>
            </w:tcBorders>
            <w:shd w:val="clear" w:color="000000" w:fill="FFFF00"/>
            <w:noWrap/>
            <w:vAlign w:val="center"/>
          </w:tcPr>
          <w:p w:rsidR="00423C6C" w:rsidRPr="005A53B3" w:rsidRDefault="00423C6C" w:rsidP="005A53B3">
            <w:pPr>
              <w:spacing w:after="0" w:line="240" w:lineRule="auto"/>
              <w:jc w:val="center"/>
              <w:rPr>
                <w:rFonts w:cs="Arial"/>
                <w:color w:val="000000"/>
                <w:szCs w:val="20"/>
                <w:lang w:eastAsia="en-AU"/>
              </w:rPr>
            </w:pPr>
          </w:p>
        </w:tc>
        <w:tc>
          <w:tcPr>
            <w:tcW w:w="951" w:type="pct"/>
            <w:tcBorders>
              <w:top w:val="single" w:sz="4" w:space="0" w:color="auto"/>
              <w:left w:val="single" w:sz="4" w:space="0" w:color="auto"/>
              <w:bottom w:val="single" w:sz="4" w:space="0" w:color="auto"/>
              <w:right w:val="single" w:sz="4" w:space="0" w:color="auto"/>
            </w:tcBorders>
            <w:shd w:val="clear" w:color="000000" w:fill="FFFF00"/>
            <w:noWrap/>
            <w:vAlign w:val="center"/>
          </w:tcPr>
          <w:p w:rsidR="00423C6C" w:rsidRPr="005A53B3" w:rsidRDefault="00423C6C" w:rsidP="005A53B3">
            <w:pPr>
              <w:spacing w:after="0" w:line="240" w:lineRule="auto"/>
              <w:jc w:val="center"/>
              <w:rPr>
                <w:rFonts w:cs="Arial"/>
                <w:color w:val="000000"/>
                <w:szCs w:val="20"/>
                <w:lang w:eastAsia="en-AU"/>
              </w:rPr>
            </w:pPr>
          </w:p>
        </w:tc>
        <w:tc>
          <w:tcPr>
            <w:tcW w:w="1020" w:type="pct"/>
            <w:tcBorders>
              <w:top w:val="single" w:sz="4" w:space="0" w:color="auto"/>
              <w:left w:val="single" w:sz="4" w:space="0" w:color="auto"/>
              <w:bottom w:val="single" w:sz="4" w:space="0" w:color="auto"/>
              <w:right w:val="single" w:sz="4" w:space="0" w:color="auto"/>
            </w:tcBorders>
            <w:shd w:val="clear" w:color="000000" w:fill="FFFF00"/>
            <w:noWrap/>
            <w:vAlign w:val="center"/>
          </w:tcPr>
          <w:p w:rsidR="00423C6C" w:rsidRPr="005A53B3" w:rsidRDefault="00423C6C" w:rsidP="005A53B3">
            <w:pPr>
              <w:spacing w:after="0" w:line="240" w:lineRule="auto"/>
              <w:jc w:val="center"/>
              <w:rPr>
                <w:rFonts w:cs="Arial"/>
                <w:color w:val="000000"/>
                <w:szCs w:val="20"/>
                <w:lang w:eastAsia="en-AU"/>
              </w:rPr>
            </w:pPr>
          </w:p>
        </w:tc>
      </w:tr>
      <w:tr w:rsidR="00423C6C" w:rsidRPr="005A53B3" w:rsidTr="005A53B3">
        <w:trPr>
          <w:trHeight w:val="300"/>
        </w:trPr>
        <w:tc>
          <w:tcPr>
            <w:tcW w:w="1150" w:type="pct"/>
            <w:vMerge w:val="restart"/>
            <w:tcBorders>
              <w:top w:val="nil"/>
              <w:left w:val="single" w:sz="4" w:space="0" w:color="auto"/>
              <w:right w:val="nil"/>
            </w:tcBorders>
            <w:shd w:val="clear" w:color="auto" w:fill="auto"/>
            <w:noWrap/>
            <w:vAlign w:val="center"/>
            <w:hideMark/>
          </w:tcPr>
          <w:p w:rsidR="00423C6C" w:rsidRPr="005A53B3" w:rsidRDefault="00423C6C" w:rsidP="005A53B3">
            <w:pPr>
              <w:spacing w:after="0" w:line="240" w:lineRule="auto"/>
              <w:jc w:val="left"/>
              <w:rPr>
                <w:rFonts w:cs="Arial"/>
                <w:color w:val="000000"/>
                <w:szCs w:val="20"/>
                <w:lang w:eastAsia="en-AU"/>
              </w:rPr>
            </w:pPr>
            <w:r w:rsidRPr="005A53B3">
              <w:rPr>
                <w:rFonts w:cs="Arial"/>
                <w:color w:val="000000"/>
                <w:szCs w:val="20"/>
                <w:lang w:eastAsia="en-AU"/>
              </w:rPr>
              <w:t>Mehi 49</w:t>
            </w:r>
          </w:p>
          <w:p w:rsidR="00423C6C" w:rsidRPr="005A53B3" w:rsidRDefault="00423C6C" w:rsidP="005A53B3">
            <w:pPr>
              <w:spacing w:after="0" w:line="240" w:lineRule="auto"/>
              <w:jc w:val="left"/>
              <w:rPr>
                <w:rFonts w:cs="Arial"/>
                <w:color w:val="000000"/>
                <w:szCs w:val="20"/>
                <w:lang w:eastAsia="en-AU"/>
              </w:rPr>
            </w:pPr>
          </w:p>
        </w:tc>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47.3</w:t>
            </w:r>
          </w:p>
        </w:tc>
        <w:tc>
          <w:tcPr>
            <w:tcW w:w="961"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51.1</w:t>
            </w:r>
          </w:p>
        </w:tc>
        <w:tc>
          <w:tcPr>
            <w:tcW w:w="951"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58.6</w:t>
            </w:r>
          </w:p>
        </w:tc>
        <w:tc>
          <w:tcPr>
            <w:tcW w:w="1020"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43.3</w:t>
            </w:r>
          </w:p>
        </w:tc>
      </w:tr>
      <w:tr w:rsidR="00423C6C" w:rsidRPr="005A53B3" w:rsidTr="005A53B3">
        <w:trPr>
          <w:trHeight w:val="113"/>
        </w:trPr>
        <w:tc>
          <w:tcPr>
            <w:tcW w:w="1150" w:type="pct"/>
            <w:vMerge/>
            <w:tcBorders>
              <w:left w:val="single" w:sz="4" w:space="0" w:color="auto"/>
              <w:bottom w:val="single" w:sz="4" w:space="0" w:color="auto"/>
              <w:right w:val="nil"/>
            </w:tcBorders>
            <w:shd w:val="clear" w:color="auto" w:fill="auto"/>
            <w:noWrap/>
            <w:vAlign w:val="center"/>
            <w:hideMark/>
          </w:tcPr>
          <w:p w:rsidR="00423C6C" w:rsidRPr="005A53B3" w:rsidRDefault="00423C6C" w:rsidP="005A53B3">
            <w:pPr>
              <w:spacing w:after="0" w:line="240" w:lineRule="auto"/>
              <w:jc w:val="left"/>
              <w:rPr>
                <w:rFonts w:cs="Arial"/>
                <w:color w:val="000000"/>
                <w:szCs w:val="20"/>
                <w:lang w:eastAsia="en-AU"/>
              </w:rPr>
            </w:pPr>
          </w:p>
        </w:tc>
        <w:tc>
          <w:tcPr>
            <w:tcW w:w="918" w:type="pct"/>
            <w:tcBorders>
              <w:top w:val="single" w:sz="4" w:space="0" w:color="auto"/>
              <w:left w:val="single" w:sz="4" w:space="0" w:color="auto"/>
              <w:bottom w:val="single" w:sz="4" w:space="0" w:color="auto"/>
              <w:right w:val="single" w:sz="4" w:space="0" w:color="auto"/>
            </w:tcBorders>
            <w:shd w:val="clear" w:color="000000" w:fill="98D34B"/>
            <w:noWrap/>
            <w:vAlign w:val="center"/>
          </w:tcPr>
          <w:p w:rsidR="00423C6C" w:rsidRPr="005A53B3" w:rsidRDefault="00423C6C" w:rsidP="005A53B3">
            <w:pPr>
              <w:spacing w:after="0" w:line="240" w:lineRule="auto"/>
              <w:jc w:val="center"/>
              <w:rPr>
                <w:rFonts w:cs="Arial"/>
                <w:color w:val="000000"/>
                <w:szCs w:val="20"/>
                <w:lang w:eastAsia="en-AU"/>
              </w:rPr>
            </w:pPr>
          </w:p>
        </w:tc>
        <w:tc>
          <w:tcPr>
            <w:tcW w:w="961" w:type="pct"/>
            <w:tcBorders>
              <w:top w:val="single" w:sz="4" w:space="0" w:color="auto"/>
              <w:left w:val="single" w:sz="4" w:space="0" w:color="auto"/>
              <w:bottom w:val="single" w:sz="4" w:space="0" w:color="auto"/>
              <w:right w:val="single" w:sz="4" w:space="0" w:color="auto"/>
            </w:tcBorders>
            <w:shd w:val="clear" w:color="000000" w:fill="8FCD50"/>
            <w:noWrap/>
            <w:vAlign w:val="center"/>
          </w:tcPr>
          <w:p w:rsidR="00423C6C" w:rsidRPr="005A53B3" w:rsidRDefault="00423C6C" w:rsidP="005A53B3">
            <w:pPr>
              <w:spacing w:after="0" w:line="240" w:lineRule="auto"/>
              <w:jc w:val="center"/>
              <w:rPr>
                <w:rFonts w:cs="Arial"/>
                <w:color w:val="000000"/>
                <w:szCs w:val="20"/>
                <w:lang w:eastAsia="en-AU"/>
              </w:rPr>
            </w:pPr>
          </w:p>
        </w:tc>
        <w:tc>
          <w:tcPr>
            <w:tcW w:w="951" w:type="pct"/>
            <w:tcBorders>
              <w:top w:val="single" w:sz="4" w:space="0" w:color="auto"/>
              <w:left w:val="single" w:sz="4" w:space="0" w:color="auto"/>
              <w:bottom w:val="single" w:sz="4" w:space="0" w:color="auto"/>
              <w:right w:val="single" w:sz="4" w:space="0" w:color="auto"/>
            </w:tcBorders>
            <w:shd w:val="clear" w:color="000000" w:fill="79B252"/>
            <w:noWrap/>
            <w:vAlign w:val="center"/>
          </w:tcPr>
          <w:p w:rsidR="00423C6C" w:rsidRPr="005A53B3" w:rsidRDefault="00423C6C" w:rsidP="005A53B3">
            <w:pPr>
              <w:spacing w:after="0" w:line="240" w:lineRule="auto"/>
              <w:jc w:val="center"/>
              <w:rPr>
                <w:rFonts w:cs="Arial"/>
                <w:color w:val="000000"/>
                <w:szCs w:val="20"/>
                <w:lang w:eastAsia="en-AU"/>
              </w:rPr>
            </w:pPr>
          </w:p>
        </w:tc>
        <w:tc>
          <w:tcPr>
            <w:tcW w:w="1020" w:type="pct"/>
            <w:tcBorders>
              <w:top w:val="single" w:sz="4" w:space="0" w:color="auto"/>
              <w:left w:val="single" w:sz="4" w:space="0" w:color="auto"/>
              <w:bottom w:val="single" w:sz="4" w:space="0" w:color="auto"/>
              <w:right w:val="single" w:sz="4" w:space="0" w:color="auto"/>
            </w:tcBorders>
            <w:shd w:val="clear" w:color="000000" w:fill="A1D745"/>
            <w:noWrap/>
            <w:vAlign w:val="center"/>
          </w:tcPr>
          <w:p w:rsidR="00423C6C" w:rsidRPr="005A53B3" w:rsidRDefault="00423C6C" w:rsidP="005A53B3">
            <w:pPr>
              <w:spacing w:after="0" w:line="240" w:lineRule="auto"/>
              <w:jc w:val="center"/>
              <w:rPr>
                <w:rFonts w:cs="Arial"/>
                <w:color w:val="000000"/>
                <w:szCs w:val="20"/>
                <w:lang w:eastAsia="en-AU"/>
              </w:rPr>
            </w:pPr>
          </w:p>
        </w:tc>
      </w:tr>
      <w:tr w:rsidR="00423C6C" w:rsidRPr="005A53B3" w:rsidTr="005A53B3">
        <w:trPr>
          <w:trHeight w:val="300"/>
        </w:trPr>
        <w:tc>
          <w:tcPr>
            <w:tcW w:w="1150" w:type="pct"/>
            <w:vMerge w:val="restart"/>
            <w:tcBorders>
              <w:top w:val="nil"/>
              <w:left w:val="single" w:sz="4" w:space="0" w:color="auto"/>
              <w:right w:val="nil"/>
            </w:tcBorders>
            <w:shd w:val="clear" w:color="auto" w:fill="auto"/>
            <w:noWrap/>
            <w:vAlign w:val="center"/>
            <w:hideMark/>
          </w:tcPr>
          <w:p w:rsidR="00423C6C" w:rsidRPr="005A53B3" w:rsidRDefault="00423C6C" w:rsidP="005A53B3">
            <w:pPr>
              <w:spacing w:after="0" w:line="240" w:lineRule="auto"/>
              <w:jc w:val="left"/>
              <w:rPr>
                <w:rFonts w:cs="Arial"/>
                <w:color w:val="000000"/>
                <w:szCs w:val="20"/>
                <w:lang w:eastAsia="en-AU"/>
              </w:rPr>
            </w:pPr>
            <w:r w:rsidRPr="005A53B3">
              <w:rPr>
                <w:rFonts w:cs="Arial"/>
                <w:color w:val="000000"/>
                <w:szCs w:val="20"/>
                <w:lang w:eastAsia="en-AU"/>
              </w:rPr>
              <w:t>Mehi 82</w:t>
            </w:r>
          </w:p>
          <w:p w:rsidR="00423C6C" w:rsidRPr="005A53B3" w:rsidRDefault="00423C6C" w:rsidP="005A53B3">
            <w:pPr>
              <w:spacing w:after="0" w:line="240" w:lineRule="auto"/>
              <w:jc w:val="left"/>
              <w:rPr>
                <w:rFonts w:cs="Arial"/>
                <w:color w:val="000000"/>
                <w:szCs w:val="20"/>
                <w:lang w:eastAsia="en-AU"/>
              </w:rPr>
            </w:pPr>
          </w:p>
        </w:tc>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47.3</w:t>
            </w:r>
          </w:p>
        </w:tc>
        <w:tc>
          <w:tcPr>
            <w:tcW w:w="961"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69.8</w:t>
            </w:r>
          </w:p>
        </w:tc>
        <w:tc>
          <w:tcPr>
            <w:tcW w:w="951"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54.4</w:t>
            </w:r>
          </w:p>
        </w:tc>
        <w:tc>
          <w:tcPr>
            <w:tcW w:w="1020"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46.2</w:t>
            </w:r>
          </w:p>
        </w:tc>
      </w:tr>
      <w:tr w:rsidR="00423C6C" w:rsidRPr="005A53B3" w:rsidTr="005A53B3">
        <w:trPr>
          <w:trHeight w:val="113"/>
        </w:trPr>
        <w:tc>
          <w:tcPr>
            <w:tcW w:w="1150" w:type="pct"/>
            <w:vMerge/>
            <w:tcBorders>
              <w:left w:val="single" w:sz="4" w:space="0" w:color="auto"/>
              <w:bottom w:val="single" w:sz="4" w:space="0" w:color="auto"/>
              <w:right w:val="nil"/>
            </w:tcBorders>
            <w:shd w:val="clear" w:color="auto" w:fill="auto"/>
            <w:noWrap/>
            <w:vAlign w:val="center"/>
            <w:hideMark/>
          </w:tcPr>
          <w:p w:rsidR="00423C6C" w:rsidRPr="005A53B3" w:rsidRDefault="00423C6C" w:rsidP="005A53B3">
            <w:pPr>
              <w:spacing w:after="0" w:line="240" w:lineRule="auto"/>
              <w:jc w:val="left"/>
              <w:rPr>
                <w:rFonts w:cs="Arial"/>
                <w:color w:val="000000"/>
                <w:szCs w:val="20"/>
                <w:lang w:eastAsia="en-AU"/>
              </w:rPr>
            </w:pPr>
          </w:p>
        </w:tc>
        <w:tc>
          <w:tcPr>
            <w:tcW w:w="918" w:type="pct"/>
            <w:tcBorders>
              <w:top w:val="single" w:sz="4" w:space="0" w:color="auto"/>
              <w:left w:val="single" w:sz="4" w:space="0" w:color="auto"/>
              <w:bottom w:val="single" w:sz="4" w:space="0" w:color="auto"/>
              <w:right w:val="single" w:sz="4" w:space="0" w:color="auto"/>
            </w:tcBorders>
            <w:shd w:val="clear" w:color="000000" w:fill="98D34B"/>
            <w:noWrap/>
            <w:vAlign w:val="center"/>
          </w:tcPr>
          <w:p w:rsidR="00423C6C" w:rsidRPr="005A53B3" w:rsidRDefault="00423C6C" w:rsidP="005A53B3">
            <w:pPr>
              <w:spacing w:after="0" w:line="240" w:lineRule="auto"/>
              <w:jc w:val="center"/>
              <w:rPr>
                <w:rFonts w:cs="Arial"/>
                <w:color w:val="000000"/>
                <w:szCs w:val="20"/>
                <w:lang w:eastAsia="en-AU"/>
              </w:rPr>
            </w:pPr>
          </w:p>
        </w:tc>
        <w:tc>
          <w:tcPr>
            <w:tcW w:w="961" w:type="pct"/>
            <w:tcBorders>
              <w:top w:val="single" w:sz="4" w:space="0" w:color="auto"/>
              <w:left w:val="single" w:sz="4" w:space="0" w:color="auto"/>
              <w:bottom w:val="single" w:sz="4" w:space="0" w:color="auto"/>
              <w:right w:val="single" w:sz="4" w:space="0" w:color="auto"/>
            </w:tcBorders>
            <w:shd w:val="clear" w:color="000000" w:fill="598B56"/>
            <w:noWrap/>
            <w:vAlign w:val="center"/>
          </w:tcPr>
          <w:p w:rsidR="00423C6C" w:rsidRPr="005A53B3" w:rsidRDefault="00423C6C" w:rsidP="005A53B3">
            <w:pPr>
              <w:spacing w:after="0" w:line="240" w:lineRule="auto"/>
              <w:jc w:val="center"/>
              <w:rPr>
                <w:rFonts w:cs="Arial"/>
                <w:color w:val="000000"/>
                <w:szCs w:val="20"/>
                <w:lang w:eastAsia="en-AU"/>
              </w:rPr>
            </w:pPr>
          </w:p>
        </w:tc>
        <w:tc>
          <w:tcPr>
            <w:tcW w:w="951" w:type="pct"/>
            <w:tcBorders>
              <w:top w:val="single" w:sz="4" w:space="0" w:color="auto"/>
              <w:left w:val="single" w:sz="4" w:space="0" w:color="auto"/>
              <w:bottom w:val="single" w:sz="4" w:space="0" w:color="auto"/>
              <w:right w:val="single" w:sz="4" w:space="0" w:color="auto"/>
            </w:tcBorders>
            <w:shd w:val="clear" w:color="000000" w:fill="86C151"/>
            <w:noWrap/>
            <w:vAlign w:val="center"/>
          </w:tcPr>
          <w:p w:rsidR="00423C6C" w:rsidRPr="005A53B3" w:rsidRDefault="00423C6C" w:rsidP="005A53B3">
            <w:pPr>
              <w:spacing w:after="0" w:line="240" w:lineRule="auto"/>
              <w:jc w:val="center"/>
              <w:rPr>
                <w:rFonts w:cs="Arial"/>
                <w:color w:val="000000"/>
                <w:szCs w:val="20"/>
                <w:lang w:eastAsia="en-AU"/>
              </w:rPr>
            </w:pPr>
          </w:p>
        </w:tc>
        <w:tc>
          <w:tcPr>
            <w:tcW w:w="1020" w:type="pct"/>
            <w:tcBorders>
              <w:top w:val="single" w:sz="4" w:space="0" w:color="auto"/>
              <w:left w:val="single" w:sz="4" w:space="0" w:color="auto"/>
              <w:bottom w:val="single" w:sz="4" w:space="0" w:color="auto"/>
              <w:right w:val="single" w:sz="4" w:space="0" w:color="auto"/>
            </w:tcBorders>
            <w:shd w:val="clear" w:color="000000" w:fill="9BD449"/>
            <w:noWrap/>
            <w:vAlign w:val="center"/>
          </w:tcPr>
          <w:p w:rsidR="00423C6C" w:rsidRPr="005A53B3" w:rsidRDefault="00423C6C" w:rsidP="005A53B3">
            <w:pPr>
              <w:spacing w:after="0" w:line="240" w:lineRule="auto"/>
              <w:jc w:val="center"/>
              <w:rPr>
                <w:rFonts w:cs="Arial"/>
                <w:color w:val="000000"/>
                <w:szCs w:val="20"/>
                <w:lang w:eastAsia="en-AU"/>
              </w:rPr>
            </w:pPr>
          </w:p>
        </w:tc>
      </w:tr>
      <w:tr w:rsidR="00423C6C" w:rsidRPr="005A53B3" w:rsidTr="005A53B3">
        <w:trPr>
          <w:trHeight w:val="300"/>
        </w:trPr>
        <w:tc>
          <w:tcPr>
            <w:tcW w:w="1150" w:type="pct"/>
            <w:vMerge w:val="restart"/>
            <w:tcBorders>
              <w:top w:val="nil"/>
              <w:left w:val="single" w:sz="4" w:space="0" w:color="auto"/>
              <w:right w:val="nil"/>
            </w:tcBorders>
            <w:shd w:val="clear" w:color="auto" w:fill="auto"/>
            <w:noWrap/>
            <w:vAlign w:val="center"/>
            <w:hideMark/>
          </w:tcPr>
          <w:p w:rsidR="00423C6C" w:rsidRPr="005A53B3" w:rsidRDefault="00423C6C" w:rsidP="005A53B3">
            <w:pPr>
              <w:spacing w:after="0" w:line="240" w:lineRule="auto"/>
              <w:jc w:val="left"/>
              <w:rPr>
                <w:rFonts w:cs="Arial"/>
                <w:color w:val="000000"/>
                <w:szCs w:val="20"/>
                <w:lang w:eastAsia="en-AU"/>
              </w:rPr>
            </w:pPr>
            <w:r w:rsidRPr="005A53B3">
              <w:rPr>
                <w:rFonts w:cs="Arial"/>
                <w:color w:val="000000"/>
                <w:szCs w:val="20"/>
                <w:lang w:eastAsia="en-AU"/>
              </w:rPr>
              <w:t>Mehi 126</w:t>
            </w:r>
          </w:p>
          <w:p w:rsidR="00423C6C" w:rsidRPr="005A53B3" w:rsidRDefault="00423C6C" w:rsidP="005A53B3">
            <w:pPr>
              <w:spacing w:after="0" w:line="240" w:lineRule="auto"/>
              <w:jc w:val="left"/>
              <w:rPr>
                <w:rFonts w:cs="Arial"/>
                <w:color w:val="000000"/>
                <w:szCs w:val="20"/>
                <w:lang w:eastAsia="en-AU"/>
              </w:rPr>
            </w:pPr>
          </w:p>
        </w:tc>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47.3</w:t>
            </w:r>
          </w:p>
        </w:tc>
        <w:tc>
          <w:tcPr>
            <w:tcW w:w="961"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73</w:t>
            </w:r>
          </w:p>
        </w:tc>
        <w:tc>
          <w:tcPr>
            <w:tcW w:w="951"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54.4</w:t>
            </w:r>
          </w:p>
        </w:tc>
        <w:tc>
          <w:tcPr>
            <w:tcW w:w="1020"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47.4</w:t>
            </w:r>
          </w:p>
        </w:tc>
      </w:tr>
      <w:tr w:rsidR="00423C6C" w:rsidRPr="005A53B3" w:rsidTr="005A53B3">
        <w:trPr>
          <w:trHeight w:val="113"/>
        </w:trPr>
        <w:tc>
          <w:tcPr>
            <w:tcW w:w="1150" w:type="pct"/>
            <w:vMerge/>
            <w:tcBorders>
              <w:left w:val="single" w:sz="4" w:space="0" w:color="auto"/>
              <w:bottom w:val="single" w:sz="4" w:space="0" w:color="auto"/>
              <w:right w:val="nil"/>
            </w:tcBorders>
            <w:shd w:val="clear" w:color="auto" w:fill="auto"/>
            <w:noWrap/>
            <w:vAlign w:val="center"/>
            <w:hideMark/>
          </w:tcPr>
          <w:p w:rsidR="00423C6C" w:rsidRPr="005A53B3" w:rsidRDefault="00423C6C" w:rsidP="005A53B3">
            <w:pPr>
              <w:spacing w:after="0" w:line="240" w:lineRule="auto"/>
              <w:jc w:val="left"/>
              <w:rPr>
                <w:rFonts w:cs="Arial"/>
                <w:color w:val="000000"/>
                <w:szCs w:val="20"/>
                <w:lang w:eastAsia="en-AU"/>
              </w:rPr>
            </w:pPr>
          </w:p>
        </w:tc>
        <w:tc>
          <w:tcPr>
            <w:tcW w:w="918" w:type="pct"/>
            <w:tcBorders>
              <w:top w:val="single" w:sz="4" w:space="0" w:color="auto"/>
              <w:left w:val="single" w:sz="4" w:space="0" w:color="auto"/>
              <w:bottom w:val="single" w:sz="4" w:space="0" w:color="auto"/>
              <w:right w:val="single" w:sz="4" w:space="0" w:color="auto"/>
            </w:tcBorders>
            <w:shd w:val="clear" w:color="000000" w:fill="98D34B"/>
            <w:noWrap/>
            <w:vAlign w:val="center"/>
          </w:tcPr>
          <w:p w:rsidR="00423C6C" w:rsidRPr="005A53B3" w:rsidRDefault="00423C6C" w:rsidP="005A53B3">
            <w:pPr>
              <w:spacing w:after="0" w:line="240" w:lineRule="auto"/>
              <w:jc w:val="center"/>
              <w:rPr>
                <w:rFonts w:cs="Arial"/>
                <w:color w:val="000000"/>
                <w:szCs w:val="20"/>
                <w:lang w:eastAsia="en-AU"/>
              </w:rPr>
            </w:pPr>
          </w:p>
        </w:tc>
        <w:tc>
          <w:tcPr>
            <w:tcW w:w="961" w:type="pct"/>
            <w:tcBorders>
              <w:top w:val="single" w:sz="4" w:space="0" w:color="auto"/>
              <w:left w:val="single" w:sz="4" w:space="0" w:color="auto"/>
              <w:bottom w:val="single" w:sz="4" w:space="0" w:color="auto"/>
              <w:right w:val="single" w:sz="4" w:space="0" w:color="auto"/>
            </w:tcBorders>
            <w:shd w:val="clear" w:color="000000" w:fill="4F8057"/>
            <w:noWrap/>
            <w:vAlign w:val="center"/>
          </w:tcPr>
          <w:p w:rsidR="00423C6C" w:rsidRPr="005A53B3" w:rsidRDefault="00423C6C" w:rsidP="005A53B3">
            <w:pPr>
              <w:spacing w:after="0" w:line="240" w:lineRule="auto"/>
              <w:jc w:val="center"/>
              <w:rPr>
                <w:rFonts w:cs="Arial"/>
                <w:color w:val="000000"/>
                <w:szCs w:val="20"/>
                <w:lang w:eastAsia="en-AU"/>
              </w:rPr>
            </w:pPr>
          </w:p>
        </w:tc>
        <w:tc>
          <w:tcPr>
            <w:tcW w:w="951" w:type="pct"/>
            <w:tcBorders>
              <w:top w:val="single" w:sz="4" w:space="0" w:color="auto"/>
              <w:left w:val="single" w:sz="4" w:space="0" w:color="auto"/>
              <w:bottom w:val="single" w:sz="4" w:space="0" w:color="auto"/>
              <w:right w:val="single" w:sz="4" w:space="0" w:color="auto"/>
            </w:tcBorders>
            <w:shd w:val="clear" w:color="000000" w:fill="86C151"/>
            <w:noWrap/>
            <w:vAlign w:val="center"/>
          </w:tcPr>
          <w:p w:rsidR="00423C6C" w:rsidRPr="005A53B3" w:rsidRDefault="00423C6C" w:rsidP="005A53B3">
            <w:pPr>
              <w:spacing w:after="0" w:line="240" w:lineRule="auto"/>
              <w:jc w:val="center"/>
              <w:rPr>
                <w:rFonts w:cs="Arial"/>
                <w:color w:val="000000"/>
                <w:szCs w:val="20"/>
                <w:lang w:eastAsia="en-AU"/>
              </w:rPr>
            </w:pPr>
          </w:p>
        </w:tc>
        <w:tc>
          <w:tcPr>
            <w:tcW w:w="1020" w:type="pct"/>
            <w:tcBorders>
              <w:top w:val="single" w:sz="4" w:space="0" w:color="auto"/>
              <w:left w:val="single" w:sz="4" w:space="0" w:color="auto"/>
              <w:bottom w:val="single" w:sz="4" w:space="0" w:color="auto"/>
              <w:right w:val="single" w:sz="4" w:space="0" w:color="auto"/>
            </w:tcBorders>
            <w:shd w:val="clear" w:color="000000" w:fill="98D34B"/>
            <w:noWrap/>
            <w:vAlign w:val="center"/>
          </w:tcPr>
          <w:p w:rsidR="00423C6C" w:rsidRPr="005A53B3" w:rsidRDefault="00423C6C" w:rsidP="005A53B3">
            <w:pPr>
              <w:spacing w:after="0" w:line="240" w:lineRule="auto"/>
              <w:jc w:val="center"/>
              <w:rPr>
                <w:rFonts w:cs="Arial"/>
                <w:color w:val="000000"/>
                <w:szCs w:val="20"/>
                <w:lang w:eastAsia="en-AU"/>
              </w:rPr>
            </w:pPr>
          </w:p>
        </w:tc>
      </w:tr>
      <w:tr w:rsidR="00423C6C" w:rsidRPr="005A53B3" w:rsidTr="005A53B3">
        <w:trPr>
          <w:trHeight w:val="300"/>
        </w:trPr>
        <w:tc>
          <w:tcPr>
            <w:tcW w:w="1150" w:type="pct"/>
            <w:vMerge w:val="restart"/>
            <w:tcBorders>
              <w:top w:val="nil"/>
              <w:left w:val="single" w:sz="4" w:space="0" w:color="auto"/>
              <w:right w:val="nil"/>
            </w:tcBorders>
            <w:shd w:val="clear" w:color="auto" w:fill="auto"/>
            <w:noWrap/>
            <w:vAlign w:val="center"/>
            <w:hideMark/>
          </w:tcPr>
          <w:p w:rsidR="00423C6C" w:rsidRPr="005A53B3" w:rsidRDefault="00423C6C" w:rsidP="005A53B3">
            <w:pPr>
              <w:spacing w:after="0" w:line="240" w:lineRule="auto"/>
              <w:jc w:val="left"/>
              <w:rPr>
                <w:rFonts w:cs="Arial"/>
                <w:color w:val="000000"/>
                <w:szCs w:val="20"/>
                <w:lang w:eastAsia="en-AU"/>
              </w:rPr>
            </w:pPr>
            <w:r w:rsidRPr="005A53B3">
              <w:rPr>
                <w:rFonts w:cs="Arial"/>
                <w:color w:val="000000"/>
                <w:szCs w:val="20"/>
                <w:lang w:eastAsia="en-AU"/>
              </w:rPr>
              <w:t>Moree</w:t>
            </w:r>
          </w:p>
          <w:p w:rsidR="00423C6C" w:rsidRPr="005A53B3" w:rsidRDefault="00423C6C" w:rsidP="005A53B3">
            <w:pPr>
              <w:spacing w:after="0" w:line="240" w:lineRule="auto"/>
              <w:jc w:val="left"/>
              <w:rPr>
                <w:rFonts w:cs="Arial"/>
                <w:color w:val="000000"/>
                <w:szCs w:val="20"/>
                <w:lang w:eastAsia="en-AU"/>
              </w:rPr>
            </w:pPr>
          </w:p>
        </w:tc>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47.3</w:t>
            </w:r>
          </w:p>
        </w:tc>
        <w:tc>
          <w:tcPr>
            <w:tcW w:w="961"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98.9</w:t>
            </w:r>
          </w:p>
        </w:tc>
        <w:tc>
          <w:tcPr>
            <w:tcW w:w="951"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95</w:t>
            </w:r>
          </w:p>
        </w:tc>
        <w:tc>
          <w:tcPr>
            <w:tcW w:w="1020"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75</w:t>
            </w:r>
          </w:p>
        </w:tc>
      </w:tr>
      <w:tr w:rsidR="00423C6C" w:rsidRPr="005A53B3" w:rsidTr="005A53B3">
        <w:trPr>
          <w:trHeight w:val="113"/>
        </w:trPr>
        <w:tc>
          <w:tcPr>
            <w:tcW w:w="1150" w:type="pct"/>
            <w:vMerge/>
            <w:tcBorders>
              <w:left w:val="single" w:sz="4" w:space="0" w:color="auto"/>
              <w:bottom w:val="single" w:sz="4" w:space="0" w:color="auto"/>
              <w:right w:val="nil"/>
            </w:tcBorders>
            <w:shd w:val="clear" w:color="auto" w:fill="auto"/>
            <w:noWrap/>
            <w:vAlign w:val="center"/>
            <w:hideMark/>
          </w:tcPr>
          <w:p w:rsidR="00423C6C" w:rsidRPr="005A53B3" w:rsidRDefault="00423C6C" w:rsidP="005A53B3">
            <w:pPr>
              <w:spacing w:after="0" w:line="240" w:lineRule="auto"/>
              <w:jc w:val="left"/>
              <w:rPr>
                <w:rFonts w:cs="Arial"/>
                <w:color w:val="000000"/>
                <w:szCs w:val="20"/>
                <w:lang w:eastAsia="en-AU"/>
              </w:rPr>
            </w:pPr>
          </w:p>
        </w:tc>
        <w:tc>
          <w:tcPr>
            <w:tcW w:w="918" w:type="pct"/>
            <w:tcBorders>
              <w:top w:val="single" w:sz="4" w:space="0" w:color="auto"/>
              <w:left w:val="single" w:sz="4" w:space="0" w:color="auto"/>
              <w:bottom w:val="single" w:sz="4" w:space="0" w:color="auto"/>
              <w:right w:val="single" w:sz="4" w:space="0" w:color="auto"/>
            </w:tcBorders>
            <w:shd w:val="clear" w:color="000000" w:fill="98D34B"/>
            <w:noWrap/>
            <w:vAlign w:val="center"/>
          </w:tcPr>
          <w:p w:rsidR="00423C6C" w:rsidRPr="005A53B3" w:rsidRDefault="00423C6C" w:rsidP="005A53B3">
            <w:pPr>
              <w:spacing w:after="0" w:line="240" w:lineRule="auto"/>
              <w:jc w:val="center"/>
              <w:rPr>
                <w:rFonts w:cs="Arial"/>
                <w:color w:val="000000"/>
                <w:szCs w:val="20"/>
                <w:lang w:eastAsia="en-AU"/>
              </w:rPr>
            </w:pPr>
          </w:p>
        </w:tc>
        <w:tc>
          <w:tcPr>
            <w:tcW w:w="961" w:type="pct"/>
            <w:tcBorders>
              <w:top w:val="single" w:sz="4" w:space="0" w:color="auto"/>
              <w:left w:val="single" w:sz="4" w:space="0" w:color="auto"/>
              <w:bottom w:val="single" w:sz="4" w:space="0" w:color="auto"/>
              <w:right w:val="single" w:sz="4" w:space="0" w:color="auto"/>
            </w:tcBorders>
            <w:shd w:val="clear" w:color="000000" w:fill="04245F"/>
            <w:noWrap/>
            <w:vAlign w:val="center"/>
          </w:tcPr>
          <w:p w:rsidR="00423C6C" w:rsidRPr="005A53B3" w:rsidRDefault="00423C6C" w:rsidP="005A53B3">
            <w:pPr>
              <w:spacing w:after="0" w:line="240" w:lineRule="auto"/>
              <w:jc w:val="center"/>
              <w:rPr>
                <w:rFonts w:cs="Arial"/>
                <w:color w:val="000000"/>
                <w:szCs w:val="20"/>
                <w:lang w:eastAsia="en-AU"/>
              </w:rPr>
            </w:pPr>
          </w:p>
        </w:tc>
        <w:tc>
          <w:tcPr>
            <w:tcW w:w="951" w:type="pct"/>
            <w:tcBorders>
              <w:top w:val="single" w:sz="4" w:space="0" w:color="auto"/>
              <w:left w:val="single" w:sz="4" w:space="0" w:color="auto"/>
              <w:bottom w:val="single" w:sz="4" w:space="0" w:color="auto"/>
              <w:right w:val="single" w:sz="4" w:space="0" w:color="auto"/>
            </w:tcBorders>
            <w:shd w:val="clear" w:color="000000" w:fill="0F325E"/>
            <w:noWrap/>
            <w:vAlign w:val="center"/>
          </w:tcPr>
          <w:p w:rsidR="00423C6C" w:rsidRPr="005A53B3" w:rsidRDefault="00423C6C" w:rsidP="005A53B3">
            <w:pPr>
              <w:spacing w:after="0" w:line="240" w:lineRule="auto"/>
              <w:jc w:val="center"/>
              <w:rPr>
                <w:rFonts w:cs="Arial"/>
                <w:color w:val="000000"/>
                <w:szCs w:val="20"/>
                <w:lang w:eastAsia="en-AU"/>
              </w:rPr>
            </w:pPr>
          </w:p>
        </w:tc>
        <w:tc>
          <w:tcPr>
            <w:tcW w:w="1020" w:type="pct"/>
            <w:tcBorders>
              <w:top w:val="single" w:sz="4" w:space="0" w:color="auto"/>
              <w:left w:val="single" w:sz="4" w:space="0" w:color="auto"/>
              <w:bottom w:val="single" w:sz="4" w:space="0" w:color="auto"/>
              <w:right w:val="single" w:sz="4" w:space="0" w:color="auto"/>
            </w:tcBorders>
            <w:shd w:val="clear" w:color="000000" w:fill="497858"/>
            <w:noWrap/>
            <w:vAlign w:val="center"/>
          </w:tcPr>
          <w:p w:rsidR="00423C6C" w:rsidRPr="005A53B3" w:rsidRDefault="00423C6C" w:rsidP="005A53B3">
            <w:pPr>
              <w:spacing w:after="0" w:line="240" w:lineRule="auto"/>
              <w:jc w:val="center"/>
              <w:rPr>
                <w:rFonts w:cs="Arial"/>
                <w:color w:val="000000"/>
                <w:szCs w:val="20"/>
                <w:lang w:eastAsia="en-AU"/>
              </w:rPr>
            </w:pPr>
          </w:p>
        </w:tc>
      </w:tr>
      <w:tr w:rsidR="00423C6C" w:rsidRPr="005A53B3" w:rsidTr="005A53B3">
        <w:trPr>
          <w:trHeight w:val="300"/>
        </w:trPr>
        <w:tc>
          <w:tcPr>
            <w:tcW w:w="1150" w:type="pct"/>
            <w:vMerge w:val="restart"/>
            <w:tcBorders>
              <w:top w:val="nil"/>
              <w:left w:val="single" w:sz="4" w:space="0" w:color="auto"/>
              <w:right w:val="nil"/>
            </w:tcBorders>
            <w:shd w:val="clear" w:color="auto" w:fill="auto"/>
            <w:noWrap/>
            <w:vAlign w:val="center"/>
            <w:hideMark/>
          </w:tcPr>
          <w:p w:rsidR="00423C6C" w:rsidRPr="005A53B3" w:rsidRDefault="00423C6C" w:rsidP="005A53B3">
            <w:pPr>
              <w:spacing w:after="0" w:line="240" w:lineRule="auto"/>
              <w:jc w:val="left"/>
              <w:rPr>
                <w:rFonts w:cs="Arial"/>
                <w:color w:val="000000"/>
                <w:szCs w:val="20"/>
                <w:lang w:eastAsia="en-AU"/>
              </w:rPr>
            </w:pPr>
            <w:r w:rsidRPr="005A53B3">
              <w:rPr>
                <w:rFonts w:cs="Arial"/>
                <w:color w:val="000000"/>
                <w:szCs w:val="20"/>
                <w:lang w:eastAsia="en-AU"/>
              </w:rPr>
              <w:t>Chinook</w:t>
            </w:r>
          </w:p>
          <w:p w:rsidR="00423C6C" w:rsidRPr="005A53B3" w:rsidRDefault="00423C6C" w:rsidP="005A53B3">
            <w:pPr>
              <w:spacing w:after="0" w:line="240" w:lineRule="auto"/>
              <w:jc w:val="left"/>
              <w:rPr>
                <w:rFonts w:cs="Arial"/>
                <w:color w:val="000000"/>
                <w:szCs w:val="20"/>
                <w:lang w:eastAsia="en-AU"/>
              </w:rPr>
            </w:pPr>
          </w:p>
        </w:tc>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47.3</w:t>
            </w:r>
          </w:p>
        </w:tc>
        <w:tc>
          <w:tcPr>
            <w:tcW w:w="961"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95.4</w:t>
            </w:r>
          </w:p>
        </w:tc>
        <w:tc>
          <w:tcPr>
            <w:tcW w:w="951"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87.1</w:t>
            </w:r>
          </w:p>
        </w:tc>
        <w:tc>
          <w:tcPr>
            <w:tcW w:w="1020"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74.3</w:t>
            </w:r>
          </w:p>
        </w:tc>
      </w:tr>
      <w:tr w:rsidR="00423C6C" w:rsidRPr="005A53B3" w:rsidTr="005A53B3">
        <w:trPr>
          <w:trHeight w:val="113"/>
        </w:trPr>
        <w:tc>
          <w:tcPr>
            <w:tcW w:w="1150" w:type="pct"/>
            <w:vMerge/>
            <w:tcBorders>
              <w:left w:val="single" w:sz="4" w:space="0" w:color="auto"/>
              <w:bottom w:val="single" w:sz="4" w:space="0" w:color="auto"/>
              <w:right w:val="nil"/>
            </w:tcBorders>
            <w:shd w:val="clear" w:color="auto" w:fill="auto"/>
            <w:noWrap/>
            <w:vAlign w:val="center"/>
            <w:hideMark/>
          </w:tcPr>
          <w:p w:rsidR="00423C6C" w:rsidRPr="005A53B3" w:rsidRDefault="00423C6C" w:rsidP="005A53B3">
            <w:pPr>
              <w:spacing w:after="0" w:line="240" w:lineRule="auto"/>
              <w:jc w:val="left"/>
              <w:rPr>
                <w:rFonts w:cs="Arial"/>
                <w:color w:val="000000"/>
                <w:szCs w:val="20"/>
                <w:lang w:eastAsia="en-AU"/>
              </w:rPr>
            </w:pPr>
          </w:p>
        </w:tc>
        <w:tc>
          <w:tcPr>
            <w:tcW w:w="918" w:type="pct"/>
            <w:tcBorders>
              <w:top w:val="single" w:sz="4" w:space="0" w:color="auto"/>
              <w:left w:val="single" w:sz="4" w:space="0" w:color="auto"/>
              <w:bottom w:val="single" w:sz="4" w:space="0" w:color="auto"/>
              <w:right w:val="single" w:sz="4" w:space="0" w:color="auto"/>
            </w:tcBorders>
            <w:shd w:val="clear" w:color="000000" w:fill="98D34B"/>
            <w:noWrap/>
            <w:vAlign w:val="center"/>
          </w:tcPr>
          <w:p w:rsidR="00423C6C" w:rsidRPr="005A53B3" w:rsidRDefault="00423C6C" w:rsidP="005A53B3">
            <w:pPr>
              <w:spacing w:after="0" w:line="240" w:lineRule="auto"/>
              <w:jc w:val="center"/>
              <w:rPr>
                <w:rFonts w:cs="Arial"/>
                <w:color w:val="000000"/>
                <w:szCs w:val="20"/>
                <w:lang w:eastAsia="en-AU"/>
              </w:rPr>
            </w:pPr>
          </w:p>
        </w:tc>
        <w:tc>
          <w:tcPr>
            <w:tcW w:w="961" w:type="pct"/>
            <w:tcBorders>
              <w:top w:val="single" w:sz="4" w:space="0" w:color="auto"/>
              <w:left w:val="single" w:sz="4" w:space="0" w:color="auto"/>
              <w:bottom w:val="single" w:sz="4" w:space="0" w:color="auto"/>
              <w:right w:val="single" w:sz="4" w:space="0" w:color="auto"/>
            </w:tcBorders>
            <w:shd w:val="clear" w:color="000000" w:fill="0E315E"/>
            <w:noWrap/>
            <w:vAlign w:val="center"/>
          </w:tcPr>
          <w:p w:rsidR="00423C6C" w:rsidRPr="005A53B3" w:rsidRDefault="00423C6C" w:rsidP="005A53B3">
            <w:pPr>
              <w:spacing w:after="0" w:line="240" w:lineRule="auto"/>
              <w:jc w:val="center"/>
              <w:rPr>
                <w:rFonts w:cs="Arial"/>
                <w:color w:val="000000"/>
                <w:szCs w:val="20"/>
                <w:lang w:eastAsia="en-AU"/>
              </w:rPr>
            </w:pPr>
          </w:p>
        </w:tc>
        <w:tc>
          <w:tcPr>
            <w:tcW w:w="951" w:type="pct"/>
            <w:tcBorders>
              <w:top w:val="single" w:sz="4" w:space="0" w:color="auto"/>
              <w:left w:val="single" w:sz="4" w:space="0" w:color="auto"/>
              <w:bottom w:val="single" w:sz="4" w:space="0" w:color="auto"/>
              <w:right w:val="single" w:sz="4" w:space="0" w:color="auto"/>
            </w:tcBorders>
            <w:shd w:val="clear" w:color="000000" w:fill="264E5B"/>
            <w:noWrap/>
            <w:vAlign w:val="center"/>
          </w:tcPr>
          <w:p w:rsidR="00423C6C" w:rsidRPr="005A53B3" w:rsidRDefault="00423C6C" w:rsidP="005A53B3">
            <w:pPr>
              <w:spacing w:after="0" w:line="240" w:lineRule="auto"/>
              <w:jc w:val="center"/>
              <w:rPr>
                <w:rFonts w:cs="Arial"/>
                <w:color w:val="000000"/>
                <w:szCs w:val="20"/>
                <w:lang w:eastAsia="en-AU"/>
              </w:rPr>
            </w:pPr>
          </w:p>
        </w:tc>
        <w:tc>
          <w:tcPr>
            <w:tcW w:w="1020" w:type="pct"/>
            <w:tcBorders>
              <w:top w:val="single" w:sz="4" w:space="0" w:color="auto"/>
              <w:left w:val="single" w:sz="4" w:space="0" w:color="auto"/>
              <w:bottom w:val="single" w:sz="4" w:space="0" w:color="auto"/>
              <w:right w:val="single" w:sz="4" w:space="0" w:color="auto"/>
            </w:tcBorders>
            <w:shd w:val="clear" w:color="000000" w:fill="4C7B57"/>
            <w:noWrap/>
            <w:vAlign w:val="center"/>
          </w:tcPr>
          <w:p w:rsidR="00423C6C" w:rsidRPr="005A53B3" w:rsidRDefault="00423C6C" w:rsidP="005A53B3">
            <w:pPr>
              <w:spacing w:after="0" w:line="240" w:lineRule="auto"/>
              <w:jc w:val="center"/>
              <w:rPr>
                <w:rFonts w:cs="Arial"/>
                <w:color w:val="000000"/>
                <w:szCs w:val="20"/>
                <w:lang w:eastAsia="en-AU"/>
              </w:rPr>
            </w:pPr>
          </w:p>
        </w:tc>
      </w:tr>
      <w:tr w:rsidR="00423C6C" w:rsidRPr="005A53B3" w:rsidTr="005A53B3">
        <w:trPr>
          <w:trHeight w:val="300"/>
        </w:trPr>
        <w:tc>
          <w:tcPr>
            <w:tcW w:w="1150" w:type="pct"/>
            <w:vMerge w:val="restart"/>
            <w:tcBorders>
              <w:top w:val="nil"/>
              <w:left w:val="single" w:sz="4" w:space="0" w:color="auto"/>
              <w:right w:val="nil"/>
            </w:tcBorders>
            <w:shd w:val="clear" w:color="auto" w:fill="auto"/>
            <w:noWrap/>
            <w:vAlign w:val="center"/>
            <w:hideMark/>
          </w:tcPr>
          <w:p w:rsidR="00423C6C" w:rsidRPr="005A53B3" w:rsidRDefault="00423C6C" w:rsidP="005A53B3">
            <w:pPr>
              <w:spacing w:after="0" w:line="240" w:lineRule="auto"/>
              <w:jc w:val="left"/>
              <w:rPr>
                <w:rFonts w:cs="Arial"/>
                <w:b/>
                <w:color w:val="000000"/>
                <w:szCs w:val="20"/>
                <w:lang w:eastAsia="en-AU"/>
              </w:rPr>
            </w:pPr>
            <w:r w:rsidRPr="005A53B3">
              <w:rPr>
                <w:rFonts w:cs="Arial"/>
                <w:b/>
                <w:color w:val="000000"/>
                <w:szCs w:val="20"/>
                <w:lang w:eastAsia="en-AU"/>
              </w:rPr>
              <w:t>Average (± S.E.)</w:t>
            </w:r>
          </w:p>
          <w:p w:rsidR="00423C6C" w:rsidRPr="005A53B3" w:rsidRDefault="00423C6C" w:rsidP="005A53B3">
            <w:pPr>
              <w:spacing w:after="0" w:line="240" w:lineRule="auto"/>
              <w:jc w:val="left"/>
              <w:rPr>
                <w:rFonts w:cs="Arial"/>
                <w:color w:val="000000"/>
                <w:szCs w:val="20"/>
                <w:lang w:eastAsia="en-AU"/>
              </w:rPr>
            </w:pPr>
          </w:p>
        </w:tc>
        <w:tc>
          <w:tcPr>
            <w:tcW w:w="918" w:type="pct"/>
            <w:vMerge w:val="restart"/>
            <w:tcBorders>
              <w:top w:val="nil"/>
              <w:left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NA</w:t>
            </w:r>
          </w:p>
          <w:p w:rsidR="00423C6C" w:rsidRPr="005A53B3" w:rsidRDefault="00423C6C" w:rsidP="005A53B3">
            <w:pPr>
              <w:spacing w:after="0" w:line="240" w:lineRule="auto"/>
              <w:jc w:val="center"/>
              <w:rPr>
                <w:rFonts w:cs="Arial"/>
                <w:color w:val="000000"/>
                <w:szCs w:val="20"/>
                <w:lang w:eastAsia="en-AU"/>
              </w:rPr>
            </w:pPr>
          </w:p>
        </w:tc>
        <w:tc>
          <w:tcPr>
            <w:tcW w:w="961"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64.7 (14.81)</w:t>
            </w:r>
          </w:p>
        </w:tc>
        <w:tc>
          <w:tcPr>
            <w:tcW w:w="951"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58.3 (13.67)</w:t>
            </w:r>
          </w:p>
        </w:tc>
        <w:tc>
          <w:tcPr>
            <w:tcW w:w="1020" w:type="pct"/>
            <w:tcBorders>
              <w:top w:val="nil"/>
              <w:left w:val="nil"/>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r w:rsidRPr="005A53B3">
              <w:rPr>
                <w:rFonts w:cs="Arial"/>
                <w:color w:val="000000"/>
                <w:szCs w:val="20"/>
                <w:lang w:eastAsia="en-AU"/>
              </w:rPr>
              <w:t>47.7 (11.18)</w:t>
            </w:r>
          </w:p>
        </w:tc>
      </w:tr>
      <w:tr w:rsidR="00423C6C" w:rsidRPr="005A53B3" w:rsidTr="005A53B3">
        <w:trPr>
          <w:trHeight w:val="113"/>
        </w:trPr>
        <w:tc>
          <w:tcPr>
            <w:tcW w:w="1150" w:type="pct"/>
            <w:vMerge/>
            <w:tcBorders>
              <w:left w:val="single" w:sz="4" w:space="0" w:color="auto"/>
              <w:bottom w:val="single" w:sz="4" w:space="0" w:color="auto"/>
              <w:right w:val="nil"/>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p>
        </w:tc>
        <w:tc>
          <w:tcPr>
            <w:tcW w:w="918" w:type="pct"/>
            <w:vMerge/>
            <w:tcBorders>
              <w:left w:val="single" w:sz="4" w:space="0" w:color="auto"/>
              <w:bottom w:val="single" w:sz="4" w:space="0" w:color="auto"/>
              <w:right w:val="single" w:sz="4" w:space="0" w:color="auto"/>
            </w:tcBorders>
            <w:shd w:val="clear" w:color="auto" w:fill="auto"/>
            <w:noWrap/>
            <w:vAlign w:val="center"/>
            <w:hideMark/>
          </w:tcPr>
          <w:p w:rsidR="00423C6C" w:rsidRPr="005A53B3" w:rsidRDefault="00423C6C" w:rsidP="005A53B3">
            <w:pPr>
              <w:spacing w:after="0" w:line="240" w:lineRule="auto"/>
              <w:jc w:val="center"/>
              <w:rPr>
                <w:rFonts w:cs="Arial"/>
                <w:color w:val="000000"/>
                <w:szCs w:val="20"/>
                <w:lang w:eastAsia="en-AU"/>
              </w:rPr>
            </w:pPr>
          </w:p>
        </w:tc>
        <w:tc>
          <w:tcPr>
            <w:tcW w:w="961" w:type="pct"/>
            <w:tcBorders>
              <w:top w:val="single" w:sz="4" w:space="0" w:color="auto"/>
              <w:left w:val="single" w:sz="4" w:space="0" w:color="auto"/>
              <w:bottom w:val="single" w:sz="4" w:space="0" w:color="auto"/>
              <w:right w:val="single" w:sz="4" w:space="0" w:color="auto"/>
            </w:tcBorders>
            <w:shd w:val="clear" w:color="000000" w:fill="689D54"/>
            <w:noWrap/>
            <w:vAlign w:val="center"/>
          </w:tcPr>
          <w:p w:rsidR="00423C6C" w:rsidRPr="005A53B3" w:rsidRDefault="00423C6C" w:rsidP="005A53B3">
            <w:pPr>
              <w:spacing w:after="0" w:line="240" w:lineRule="auto"/>
              <w:jc w:val="center"/>
              <w:rPr>
                <w:rFonts w:cs="Arial"/>
                <w:color w:val="000000"/>
                <w:szCs w:val="20"/>
                <w:lang w:eastAsia="en-AU"/>
              </w:rPr>
            </w:pPr>
          </w:p>
        </w:tc>
        <w:tc>
          <w:tcPr>
            <w:tcW w:w="951" w:type="pct"/>
            <w:tcBorders>
              <w:top w:val="single" w:sz="4" w:space="0" w:color="auto"/>
              <w:left w:val="single" w:sz="4" w:space="0" w:color="auto"/>
              <w:bottom w:val="single" w:sz="4" w:space="0" w:color="auto"/>
              <w:right w:val="single" w:sz="4" w:space="0" w:color="auto"/>
            </w:tcBorders>
            <w:shd w:val="clear" w:color="000000" w:fill="7AB352"/>
            <w:noWrap/>
            <w:vAlign w:val="center"/>
          </w:tcPr>
          <w:p w:rsidR="00423C6C" w:rsidRPr="005A53B3" w:rsidRDefault="00423C6C" w:rsidP="005A53B3">
            <w:pPr>
              <w:spacing w:after="0" w:line="240" w:lineRule="auto"/>
              <w:jc w:val="center"/>
              <w:rPr>
                <w:rFonts w:cs="Arial"/>
                <w:color w:val="000000"/>
                <w:szCs w:val="20"/>
                <w:lang w:eastAsia="en-AU"/>
              </w:rPr>
            </w:pPr>
          </w:p>
        </w:tc>
        <w:tc>
          <w:tcPr>
            <w:tcW w:w="1020" w:type="pct"/>
            <w:tcBorders>
              <w:top w:val="single" w:sz="4" w:space="0" w:color="auto"/>
              <w:left w:val="single" w:sz="4" w:space="0" w:color="auto"/>
              <w:bottom w:val="single" w:sz="4" w:space="0" w:color="auto"/>
              <w:right w:val="single" w:sz="4" w:space="0" w:color="auto"/>
            </w:tcBorders>
            <w:shd w:val="clear" w:color="000000" w:fill="98D34C"/>
            <w:noWrap/>
            <w:vAlign w:val="center"/>
          </w:tcPr>
          <w:p w:rsidR="00423C6C" w:rsidRPr="005A53B3" w:rsidRDefault="00423C6C" w:rsidP="005A53B3">
            <w:pPr>
              <w:spacing w:after="0" w:line="240" w:lineRule="auto"/>
              <w:jc w:val="center"/>
              <w:rPr>
                <w:rFonts w:cs="Arial"/>
                <w:color w:val="000000"/>
                <w:szCs w:val="20"/>
                <w:lang w:eastAsia="en-AU"/>
              </w:rPr>
            </w:pPr>
          </w:p>
        </w:tc>
      </w:tr>
    </w:tbl>
    <w:p w:rsidR="00423C6C" w:rsidRDefault="00E23B8D" w:rsidP="00423C6C">
      <w:pPr>
        <w:spacing w:after="0" w:line="240" w:lineRule="auto"/>
        <w:ind w:left="720" w:hanging="720"/>
        <w:rPr>
          <w:b/>
          <w:i/>
        </w:rPr>
      </w:pPr>
      <w:r>
        <w:rPr>
          <w:b/>
          <w:i/>
        </w:rPr>
        <w:br w:type="page"/>
      </w:r>
    </w:p>
    <w:tbl>
      <w:tblPr>
        <w:tblW w:w="5000" w:type="pct"/>
        <w:tblLook w:val="04A0" w:firstRow="1" w:lastRow="0" w:firstColumn="1" w:lastColumn="0" w:noHBand="0" w:noVBand="1"/>
      </w:tblPr>
      <w:tblGrid>
        <w:gridCol w:w="2117"/>
        <w:gridCol w:w="1688"/>
        <w:gridCol w:w="1767"/>
        <w:gridCol w:w="1749"/>
        <w:gridCol w:w="1874"/>
      </w:tblGrid>
      <w:tr w:rsidR="00BE5847" w:rsidRPr="005A53B3" w:rsidTr="005A53B3">
        <w:trPr>
          <w:trHeight w:val="300"/>
        </w:trPr>
        <w:tc>
          <w:tcPr>
            <w:tcW w:w="1151" w:type="pct"/>
            <w:tcBorders>
              <w:top w:val="nil"/>
              <w:left w:val="nil"/>
              <w:bottom w:val="nil"/>
              <w:right w:val="nil"/>
            </w:tcBorders>
            <w:shd w:val="clear" w:color="auto" w:fill="auto"/>
            <w:noWrap/>
            <w:vAlign w:val="center"/>
            <w:hideMark/>
          </w:tcPr>
          <w:p w:rsidR="00BE5847" w:rsidRPr="00CD3111" w:rsidRDefault="00BE5847" w:rsidP="005A53B3">
            <w:pPr>
              <w:spacing w:after="0" w:line="240" w:lineRule="auto"/>
              <w:jc w:val="center"/>
              <w:rPr>
                <w:rFonts w:cs="Arial"/>
                <w:color w:val="000000"/>
                <w:szCs w:val="20"/>
                <w:lang w:eastAsia="en-AU"/>
              </w:rPr>
            </w:pPr>
          </w:p>
        </w:tc>
        <w:tc>
          <w:tcPr>
            <w:tcW w:w="3849"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5847" w:rsidRPr="00CD3111" w:rsidRDefault="00BE5847" w:rsidP="005A53B3">
            <w:pPr>
              <w:spacing w:after="0" w:line="240" w:lineRule="auto"/>
              <w:jc w:val="center"/>
              <w:rPr>
                <w:rFonts w:cs="Arial"/>
                <w:bCs/>
                <w:color w:val="000000"/>
                <w:szCs w:val="20"/>
                <w:lang w:eastAsia="en-AU"/>
              </w:rPr>
            </w:pPr>
            <w:r w:rsidRPr="00CD3111">
              <w:rPr>
                <w:rFonts w:cs="Arial"/>
                <w:bCs/>
                <w:color w:val="000000"/>
                <w:szCs w:val="20"/>
                <w:lang w:eastAsia="en-AU"/>
              </w:rPr>
              <w:t>Health Metrics</w:t>
            </w:r>
          </w:p>
        </w:tc>
      </w:tr>
      <w:tr w:rsidR="00BE5847" w:rsidRPr="005A53B3" w:rsidTr="005A53B3">
        <w:trPr>
          <w:trHeight w:val="300"/>
        </w:trPr>
        <w:tc>
          <w:tcPr>
            <w:tcW w:w="11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5847" w:rsidRPr="00CD3111" w:rsidRDefault="00BE5847" w:rsidP="005A53B3">
            <w:pPr>
              <w:spacing w:after="0" w:line="240" w:lineRule="auto"/>
              <w:jc w:val="center"/>
              <w:rPr>
                <w:rFonts w:cs="Arial"/>
                <w:bCs/>
                <w:color w:val="000000"/>
                <w:szCs w:val="20"/>
                <w:lang w:eastAsia="en-AU"/>
              </w:rPr>
            </w:pPr>
            <w:r w:rsidRPr="00CD3111">
              <w:rPr>
                <w:rFonts w:cs="Arial"/>
                <w:bCs/>
                <w:color w:val="000000"/>
                <w:szCs w:val="20"/>
                <w:lang w:eastAsia="en-AU"/>
              </w:rPr>
              <w:t>Site name</w:t>
            </w:r>
          </w:p>
        </w:tc>
        <w:tc>
          <w:tcPr>
            <w:tcW w:w="918" w:type="pct"/>
            <w:tcBorders>
              <w:top w:val="nil"/>
              <w:left w:val="nil"/>
              <w:bottom w:val="single" w:sz="4" w:space="0" w:color="auto"/>
              <w:right w:val="single" w:sz="4" w:space="0" w:color="auto"/>
            </w:tcBorders>
            <w:shd w:val="clear" w:color="auto" w:fill="auto"/>
            <w:noWrap/>
            <w:vAlign w:val="center"/>
            <w:hideMark/>
          </w:tcPr>
          <w:p w:rsidR="00BE5847" w:rsidRPr="00CD3111" w:rsidRDefault="00BE5847" w:rsidP="005A53B3">
            <w:pPr>
              <w:spacing w:after="0" w:line="240" w:lineRule="auto"/>
              <w:jc w:val="center"/>
              <w:rPr>
                <w:rFonts w:cs="Arial"/>
                <w:bCs/>
                <w:color w:val="000000"/>
                <w:szCs w:val="20"/>
                <w:lang w:eastAsia="en-AU"/>
              </w:rPr>
            </w:pPr>
            <w:r w:rsidRPr="00CD3111">
              <w:rPr>
                <w:rFonts w:cs="Arial"/>
                <w:bCs/>
                <w:color w:val="000000"/>
                <w:szCs w:val="20"/>
                <w:lang w:eastAsia="en-AU"/>
              </w:rPr>
              <w:t>Recruitment</w:t>
            </w:r>
          </w:p>
        </w:tc>
        <w:tc>
          <w:tcPr>
            <w:tcW w:w="961" w:type="pct"/>
            <w:tcBorders>
              <w:top w:val="nil"/>
              <w:left w:val="nil"/>
              <w:bottom w:val="single" w:sz="4" w:space="0" w:color="auto"/>
              <w:right w:val="single" w:sz="4" w:space="0" w:color="auto"/>
            </w:tcBorders>
            <w:shd w:val="clear" w:color="auto" w:fill="auto"/>
            <w:noWrap/>
            <w:vAlign w:val="center"/>
            <w:hideMark/>
          </w:tcPr>
          <w:p w:rsidR="00BE5847" w:rsidRPr="00CD3111" w:rsidRDefault="00BE5847" w:rsidP="005A53B3">
            <w:pPr>
              <w:spacing w:after="0" w:line="240" w:lineRule="auto"/>
              <w:jc w:val="center"/>
              <w:rPr>
                <w:rFonts w:cs="Arial"/>
                <w:bCs/>
                <w:color w:val="000000"/>
                <w:szCs w:val="20"/>
                <w:lang w:eastAsia="en-AU"/>
              </w:rPr>
            </w:pPr>
            <w:r w:rsidRPr="00CD3111">
              <w:rPr>
                <w:rFonts w:cs="Arial"/>
                <w:bCs/>
                <w:color w:val="000000"/>
                <w:szCs w:val="20"/>
                <w:lang w:eastAsia="en-AU"/>
              </w:rPr>
              <w:t>Nativeness</w:t>
            </w:r>
          </w:p>
        </w:tc>
        <w:tc>
          <w:tcPr>
            <w:tcW w:w="951" w:type="pct"/>
            <w:tcBorders>
              <w:top w:val="nil"/>
              <w:left w:val="nil"/>
              <w:bottom w:val="single" w:sz="4" w:space="0" w:color="auto"/>
              <w:right w:val="single" w:sz="4" w:space="0" w:color="auto"/>
            </w:tcBorders>
            <w:shd w:val="clear" w:color="auto" w:fill="auto"/>
            <w:noWrap/>
            <w:vAlign w:val="center"/>
            <w:hideMark/>
          </w:tcPr>
          <w:p w:rsidR="00BE5847" w:rsidRPr="00CD3111" w:rsidRDefault="00BE5847" w:rsidP="005A53B3">
            <w:pPr>
              <w:spacing w:after="0" w:line="240" w:lineRule="auto"/>
              <w:jc w:val="center"/>
              <w:rPr>
                <w:rFonts w:cs="Arial"/>
                <w:bCs/>
                <w:color w:val="000000"/>
                <w:szCs w:val="20"/>
                <w:lang w:eastAsia="en-AU"/>
              </w:rPr>
            </w:pPr>
            <w:r w:rsidRPr="00CD3111">
              <w:rPr>
                <w:rFonts w:cs="Arial"/>
                <w:bCs/>
                <w:color w:val="000000"/>
                <w:szCs w:val="20"/>
                <w:lang w:eastAsia="en-AU"/>
              </w:rPr>
              <w:t>Expectedness</w:t>
            </w:r>
          </w:p>
        </w:tc>
        <w:tc>
          <w:tcPr>
            <w:tcW w:w="1019" w:type="pct"/>
            <w:tcBorders>
              <w:top w:val="nil"/>
              <w:left w:val="nil"/>
              <w:bottom w:val="single" w:sz="4" w:space="0" w:color="auto"/>
              <w:right w:val="single" w:sz="4" w:space="0" w:color="auto"/>
            </w:tcBorders>
            <w:shd w:val="clear" w:color="auto" w:fill="auto"/>
            <w:noWrap/>
            <w:vAlign w:val="center"/>
            <w:hideMark/>
          </w:tcPr>
          <w:p w:rsidR="00BE5847" w:rsidRPr="00CD3111" w:rsidRDefault="00BE5847" w:rsidP="005A53B3">
            <w:pPr>
              <w:spacing w:after="0" w:line="240" w:lineRule="auto"/>
              <w:jc w:val="center"/>
              <w:rPr>
                <w:rFonts w:cs="Arial"/>
                <w:bCs/>
                <w:color w:val="000000"/>
                <w:szCs w:val="20"/>
                <w:lang w:eastAsia="en-AU"/>
              </w:rPr>
            </w:pPr>
            <w:r w:rsidRPr="00CD3111">
              <w:rPr>
                <w:rFonts w:cs="Arial"/>
                <w:bCs/>
                <w:color w:val="000000"/>
                <w:szCs w:val="20"/>
                <w:lang w:eastAsia="en-AU"/>
              </w:rPr>
              <w:t>ndxFS</w:t>
            </w:r>
          </w:p>
        </w:tc>
      </w:tr>
      <w:tr w:rsidR="00BE5847" w:rsidRPr="005A53B3" w:rsidTr="005A53B3">
        <w:trPr>
          <w:trHeight w:val="300"/>
        </w:trPr>
        <w:tc>
          <w:tcPr>
            <w:tcW w:w="1151" w:type="pct"/>
            <w:vMerge w:val="restart"/>
            <w:tcBorders>
              <w:top w:val="single" w:sz="4" w:space="0" w:color="auto"/>
              <w:left w:val="single" w:sz="4" w:space="0" w:color="auto"/>
              <w:right w:val="nil"/>
            </w:tcBorders>
            <w:shd w:val="clear" w:color="auto" w:fill="auto"/>
            <w:noWrap/>
            <w:vAlign w:val="center"/>
            <w:hideMark/>
          </w:tcPr>
          <w:p w:rsidR="00BE5847" w:rsidRPr="005A53B3" w:rsidRDefault="00BE5847" w:rsidP="005A53B3">
            <w:pPr>
              <w:spacing w:after="0" w:line="240" w:lineRule="auto"/>
              <w:jc w:val="left"/>
              <w:rPr>
                <w:rFonts w:cs="Arial"/>
                <w:color w:val="000000"/>
                <w:szCs w:val="20"/>
                <w:lang w:eastAsia="en-AU"/>
              </w:rPr>
            </w:pPr>
            <w:r w:rsidRPr="005A53B3">
              <w:rPr>
                <w:rFonts w:cs="Arial"/>
                <w:color w:val="000000"/>
                <w:szCs w:val="20"/>
                <w:lang w:eastAsia="en-AU"/>
              </w:rPr>
              <w:t>Moomin 45</w:t>
            </w:r>
          </w:p>
          <w:p w:rsidR="00BE5847" w:rsidRPr="005A53B3" w:rsidRDefault="00BE5847" w:rsidP="005A53B3">
            <w:pPr>
              <w:spacing w:after="0" w:line="240" w:lineRule="auto"/>
              <w:jc w:val="left"/>
              <w:rPr>
                <w:rFonts w:cs="Arial"/>
                <w:color w:val="000000"/>
                <w:szCs w:val="20"/>
                <w:lang w:eastAsia="en-AU"/>
              </w:rPr>
            </w:pPr>
          </w:p>
        </w:tc>
        <w:tc>
          <w:tcPr>
            <w:tcW w:w="9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5847" w:rsidRPr="005A53B3" w:rsidRDefault="00BE5847" w:rsidP="005A53B3">
            <w:pPr>
              <w:spacing w:after="0" w:line="240" w:lineRule="auto"/>
              <w:jc w:val="center"/>
              <w:rPr>
                <w:rFonts w:cs="Arial"/>
                <w:color w:val="000000"/>
                <w:szCs w:val="20"/>
                <w:lang w:eastAsia="en-AU"/>
              </w:rPr>
            </w:pPr>
            <w:r w:rsidRPr="005A53B3">
              <w:rPr>
                <w:rFonts w:cs="Arial"/>
                <w:color w:val="000000"/>
                <w:szCs w:val="20"/>
                <w:lang w:eastAsia="en-AU"/>
              </w:rPr>
              <w:t>41</w:t>
            </w:r>
          </w:p>
        </w:tc>
        <w:tc>
          <w:tcPr>
            <w:tcW w:w="961" w:type="pct"/>
            <w:tcBorders>
              <w:top w:val="single" w:sz="4" w:space="0" w:color="auto"/>
              <w:left w:val="nil"/>
              <w:bottom w:val="single" w:sz="4" w:space="0" w:color="auto"/>
              <w:right w:val="single" w:sz="4" w:space="0" w:color="auto"/>
            </w:tcBorders>
            <w:shd w:val="clear" w:color="auto" w:fill="auto"/>
            <w:noWrap/>
            <w:vAlign w:val="center"/>
            <w:hideMark/>
          </w:tcPr>
          <w:p w:rsidR="00BE5847" w:rsidRPr="005A53B3" w:rsidRDefault="00BE5847" w:rsidP="005A53B3">
            <w:pPr>
              <w:spacing w:after="0" w:line="240" w:lineRule="auto"/>
              <w:jc w:val="center"/>
              <w:rPr>
                <w:rFonts w:cs="Arial"/>
                <w:color w:val="000000"/>
                <w:szCs w:val="20"/>
                <w:lang w:eastAsia="en-AU"/>
              </w:rPr>
            </w:pPr>
            <w:r w:rsidRPr="005A53B3">
              <w:rPr>
                <w:rFonts w:cs="Arial"/>
                <w:color w:val="000000"/>
                <w:szCs w:val="20"/>
                <w:lang w:eastAsia="en-AU"/>
              </w:rPr>
              <w:t>48.4</w:t>
            </w:r>
          </w:p>
        </w:tc>
        <w:tc>
          <w:tcPr>
            <w:tcW w:w="951" w:type="pct"/>
            <w:tcBorders>
              <w:top w:val="single" w:sz="4" w:space="0" w:color="auto"/>
              <w:left w:val="nil"/>
              <w:bottom w:val="single" w:sz="4" w:space="0" w:color="auto"/>
              <w:right w:val="single" w:sz="4" w:space="0" w:color="auto"/>
            </w:tcBorders>
            <w:shd w:val="clear" w:color="auto" w:fill="auto"/>
            <w:noWrap/>
            <w:vAlign w:val="center"/>
            <w:hideMark/>
          </w:tcPr>
          <w:p w:rsidR="00BE5847" w:rsidRPr="005A53B3" w:rsidRDefault="00BE5847" w:rsidP="005A53B3">
            <w:pPr>
              <w:spacing w:after="0" w:line="240" w:lineRule="auto"/>
              <w:jc w:val="center"/>
              <w:rPr>
                <w:rFonts w:cs="Arial"/>
                <w:color w:val="000000"/>
                <w:szCs w:val="20"/>
                <w:lang w:eastAsia="en-AU"/>
              </w:rPr>
            </w:pPr>
            <w:r w:rsidRPr="005A53B3">
              <w:rPr>
                <w:rFonts w:cs="Arial"/>
                <w:color w:val="000000"/>
                <w:szCs w:val="20"/>
                <w:lang w:eastAsia="en-AU"/>
              </w:rPr>
              <w:t>37.3</w:t>
            </w:r>
          </w:p>
        </w:tc>
        <w:tc>
          <w:tcPr>
            <w:tcW w:w="1019" w:type="pct"/>
            <w:tcBorders>
              <w:top w:val="single" w:sz="4" w:space="0" w:color="auto"/>
              <w:left w:val="nil"/>
              <w:bottom w:val="single" w:sz="4" w:space="0" w:color="auto"/>
              <w:right w:val="single" w:sz="4" w:space="0" w:color="auto"/>
            </w:tcBorders>
            <w:shd w:val="clear" w:color="auto" w:fill="auto"/>
            <w:noWrap/>
            <w:vAlign w:val="center"/>
            <w:hideMark/>
          </w:tcPr>
          <w:p w:rsidR="00BE5847" w:rsidRPr="005A53B3" w:rsidRDefault="00BE5847" w:rsidP="005A53B3">
            <w:pPr>
              <w:spacing w:after="0" w:line="240" w:lineRule="auto"/>
              <w:jc w:val="center"/>
              <w:rPr>
                <w:rFonts w:cs="Arial"/>
                <w:color w:val="000000"/>
                <w:szCs w:val="20"/>
                <w:lang w:eastAsia="en-AU"/>
              </w:rPr>
            </w:pPr>
            <w:r w:rsidRPr="005A53B3">
              <w:rPr>
                <w:rFonts w:cs="Arial"/>
                <w:color w:val="000000"/>
                <w:szCs w:val="20"/>
                <w:lang w:eastAsia="en-AU"/>
              </w:rPr>
              <w:t>30.3</w:t>
            </w:r>
          </w:p>
        </w:tc>
      </w:tr>
      <w:tr w:rsidR="00BE5847" w:rsidRPr="005A53B3" w:rsidTr="005A53B3">
        <w:trPr>
          <w:trHeight w:val="113"/>
        </w:trPr>
        <w:tc>
          <w:tcPr>
            <w:tcW w:w="1151" w:type="pct"/>
            <w:vMerge/>
            <w:tcBorders>
              <w:left w:val="single" w:sz="4" w:space="0" w:color="auto"/>
              <w:bottom w:val="single" w:sz="4" w:space="0" w:color="auto"/>
              <w:right w:val="nil"/>
            </w:tcBorders>
            <w:shd w:val="clear" w:color="auto" w:fill="auto"/>
            <w:noWrap/>
            <w:vAlign w:val="center"/>
            <w:hideMark/>
          </w:tcPr>
          <w:p w:rsidR="00BE5847" w:rsidRPr="005A53B3" w:rsidRDefault="00BE5847" w:rsidP="005A53B3">
            <w:pPr>
              <w:spacing w:after="0" w:line="240" w:lineRule="auto"/>
              <w:jc w:val="left"/>
              <w:rPr>
                <w:rFonts w:cs="Arial"/>
                <w:color w:val="000000"/>
                <w:szCs w:val="20"/>
                <w:lang w:eastAsia="en-AU"/>
              </w:rPr>
            </w:pPr>
          </w:p>
        </w:tc>
        <w:tc>
          <w:tcPr>
            <w:tcW w:w="918" w:type="pct"/>
            <w:tcBorders>
              <w:top w:val="single" w:sz="4" w:space="0" w:color="auto"/>
              <w:left w:val="single" w:sz="4" w:space="0" w:color="auto"/>
              <w:bottom w:val="single" w:sz="4" w:space="0" w:color="auto"/>
              <w:right w:val="single" w:sz="4" w:space="0" w:color="auto"/>
            </w:tcBorders>
            <w:shd w:val="clear" w:color="000000" w:fill="A6D941"/>
            <w:noWrap/>
            <w:vAlign w:val="center"/>
          </w:tcPr>
          <w:p w:rsidR="00BE5847" w:rsidRPr="005A53B3" w:rsidRDefault="00BE5847" w:rsidP="005A53B3">
            <w:pPr>
              <w:spacing w:after="0" w:line="240" w:lineRule="auto"/>
              <w:jc w:val="center"/>
              <w:rPr>
                <w:rFonts w:cs="Arial"/>
                <w:color w:val="000000"/>
                <w:szCs w:val="20"/>
                <w:lang w:eastAsia="en-AU"/>
              </w:rPr>
            </w:pPr>
          </w:p>
        </w:tc>
        <w:tc>
          <w:tcPr>
            <w:tcW w:w="961" w:type="pct"/>
            <w:tcBorders>
              <w:top w:val="single" w:sz="4" w:space="0" w:color="auto"/>
              <w:left w:val="single" w:sz="4" w:space="0" w:color="auto"/>
              <w:bottom w:val="single" w:sz="4" w:space="0" w:color="auto"/>
              <w:right w:val="single" w:sz="4" w:space="0" w:color="auto"/>
            </w:tcBorders>
            <w:shd w:val="clear" w:color="000000" w:fill="96D24D"/>
            <w:noWrap/>
            <w:vAlign w:val="center"/>
          </w:tcPr>
          <w:p w:rsidR="00BE5847" w:rsidRPr="005A53B3" w:rsidRDefault="00BE5847" w:rsidP="005A53B3">
            <w:pPr>
              <w:spacing w:after="0" w:line="240" w:lineRule="auto"/>
              <w:jc w:val="center"/>
              <w:rPr>
                <w:rFonts w:cs="Arial"/>
                <w:color w:val="000000"/>
                <w:szCs w:val="20"/>
                <w:lang w:eastAsia="en-AU"/>
              </w:rPr>
            </w:pPr>
          </w:p>
        </w:tc>
        <w:tc>
          <w:tcPr>
            <w:tcW w:w="951" w:type="pct"/>
            <w:tcBorders>
              <w:top w:val="single" w:sz="4" w:space="0" w:color="auto"/>
              <w:left w:val="single" w:sz="4" w:space="0" w:color="auto"/>
              <w:bottom w:val="single" w:sz="4" w:space="0" w:color="auto"/>
              <w:right w:val="single" w:sz="4" w:space="0" w:color="auto"/>
            </w:tcBorders>
            <w:shd w:val="clear" w:color="000000" w:fill="AEDC3B"/>
            <w:noWrap/>
            <w:vAlign w:val="center"/>
          </w:tcPr>
          <w:p w:rsidR="00BE5847" w:rsidRPr="005A53B3" w:rsidRDefault="00BE5847" w:rsidP="005A53B3">
            <w:pPr>
              <w:spacing w:after="0" w:line="240" w:lineRule="auto"/>
              <w:jc w:val="center"/>
              <w:rPr>
                <w:rFonts w:cs="Arial"/>
                <w:color w:val="000000"/>
                <w:szCs w:val="20"/>
                <w:lang w:eastAsia="en-AU"/>
              </w:rPr>
            </w:pPr>
          </w:p>
        </w:tc>
        <w:tc>
          <w:tcPr>
            <w:tcW w:w="1019" w:type="pct"/>
            <w:tcBorders>
              <w:top w:val="single" w:sz="4" w:space="0" w:color="auto"/>
              <w:left w:val="single" w:sz="4" w:space="0" w:color="auto"/>
              <w:bottom w:val="single" w:sz="4" w:space="0" w:color="auto"/>
              <w:right w:val="single" w:sz="4" w:space="0" w:color="auto"/>
            </w:tcBorders>
            <w:shd w:val="clear" w:color="000000" w:fill="BDE330"/>
            <w:noWrap/>
            <w:vAlign w:val="center"/>
          </w:tcPr>
          <w:p w:rsidR="00BE5847" w:rsidRPr="005A53B3" w:rsidRDefault="00BE5847" w:rsidP="005A53B3">
            <w:pPr>
              <w:spacing w:after="0" w:line="240" w:lineRule="auto"/>
              <w:jc w:val="center"/>
              <w:rPr>
                <w:rFonts w:cs="Arial"/>
                <w:color w:val="000000"/>
                <w:szCs w:val="20"/>
                <w:lang w:eastAsia="en-AU"/>
              </w:rPr>
            </w:pPr>
          </w:p>
        </w:tc>
      </w:tr>
      <w:tr w:rsidR="00BE5847" w:rsidRPr="005A53B3" w:rsidTr="005A53B3">
        <w:trPr>
          <w:trHeight w:val="300"/>
        </w:trPr>
        <w:tc>
          <w:tcPr>
            <w:tcW w:w="1151" w:type="pct"/>
            <w:vMerge w:val="restart"/>
            <w:tcBorders>
              <w:top w:val="nil"/>
              <w:left w:val="single" w:sz="4" w:space="0" w:color="auto"/>
              <w:right w:val="nil"/>
            </w:tcBorders>
            <w:shd w:val="clear" w:color="auto" w:fill="auto"/>
            <w:noWrap/>
            <w:vAlign w:val="center"/>
            <w:hideMark/>
          </w:tcPr>
          <w:p w:rsidR="00BE5847" w:rsidRPr="005A53B3" w:rsidRDefault="00BE5847" w:rsidP="005A53B3">
            <w:pPr>
              <w:spacing w:after="0" w:line="240" w:lineRule="auto"/>
              <w:jc w:val="left"/>
              <w:rPr>
                <w:rFonts w:cs="Arial"/>
                <w:color w:val="000000"/>
                <w:szCs w:val="20"/>
                <w:lang w:eastAsia="en-AU"/>
              </w:rPr>
            </w:pPr>
            <w:r w:rsidRPr="005A53B3">
              <w:rPr>
                <w:rFonts w:cs="Arial"/>
                <w:color w:val="000000"/>
                <w:szCs w:val="20"/>
                <w:lang w:eastAsia="en-AU"/>
              </w:rPr>
              <w:t>Wirrallah</w:t>
            </w:r>
          </w:p>
          <w:p w:rsidR="00BE5847" w:rsidRPr="005A53B3" w:rsidRDefault="00BE5847" w:rsidP="005A53B3">
            <w:pPr>
              <w:spacing w:after="0" w:line="240" w:lineRule="auto"/>
              <w:jc w:val="left"/>
              <w:rPr>
                <w:rFonts w:cs="Arial"/>
                <w:color w:val="000000"/>
                <w:szCs w:val="20"/>
                <w:lang w:eastAsia="en-AU"/>
              </w:rPr>
            </w:pPr>
          </w:p>
        </w:tc>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BE5847" w:rsidRPr="005A53B3" w:rsidRDefault="00BE5847" w:rsidP="005A53B3">
            <w:pPr>
              <w:spacing w:after="0" w:line="240" w:lineRule="auto"/>
              <w:jc w:val="center"/>
              <w:rPr>
                <w:rFonts w:cs="Arial"/>
                <w:color w:val="000000"/>
                <w:szCs w:val="20"/>
                <w:lang w:eastAsia="en-AU"/>
              </w:rPr>
            </w:pPr>
            <w:r w:rsidRPr="005A53B3">
              <w:rPr>
                <w:rFonts w:cs="Arial"/>
                <w:color w:val="000000"/>
                <w:szCs w:val="20"/>
                <w:lang w:eastAsia="en-AU"/>
              </w:rPr>
              <w:t>0</w:t>
            </w:r>
          </w:p>
        </w:tc>
        <w:tc>
          <w:tcPr>
            <w:tcW w:w="961" w:type="pct"/>
            <w:tcBorders>
              <w:top w:val="nil"/>
              <w:left w:val="nil"/>
              <w:bottom w:val="single" w:sz="4" w:space="0" w:color="auto"/>
              <w:right w:val="single" w:sz="4" w:space="0" w:color="auto"/>
            </w:tcBorders>
            <w:shd w:val="clear" w:color="auto" w:fill="auto"/>
            <w:noWrap/>
            <w:vAlign w:val="center"/>
            <w:hideMark/>
          </w:tcPr>
          <w:p w:rsidR="00BE5847" w:rsidRPr="005A53B3" w:rsidRDefault="00BE5847" w:rsidP="005A53B3">
            <w:pPr>
              <w:spacing w:after="0" w:line="240" w:lineRule="auto"/>
              <w:jc w:val="center"/>
              <w:rPr>
                <w:rFonts w:cs="Arial"/>
                <w:color w:val="000000"/>
                <w:szCs w:val="20"/>
                <w:lang w:eastAsia="en-AU"/>
              </w:rPr>
            </w:pPr>
            <w:r w:rsidRPr="005A53B3">
              <w:rPr>
                <w:rFonts w:cs="Arial"/>
                <w:color w:val="000000"/>
                <w:szCs w:val="20"/>
                <w:lang w:eastAsia="en-AU"/>
              </w:rPr>
              <w:t>0</w:t>
            </w:r>
          </w:p>
        </w:tc>
        <w:tc>
          <w:tcPr>
            <w:tcW w:w="951" w:type="pct"/>
            <w:tcBorders>
              <w:top w:val="nil"/>
              <w:left w:val="nil"/>
              <w:bottom w:val="single" w:sz="4" w:space="0" w:color="auto"/>
              <w:right w:val="single" w:sz="4" w:space="0" w:color="auto"/>
            </w:tcBorders>
            <w:shd w:val="clear" w:color="auto" w:fill="auto"/>
            <w:noWrap/>
            <w:vAlign w:val="center"/>
            <w:hideMark/>
          </w:tcPr>
          <w:p w:rsidR="00BE5847" w:rsidRPr="005A53B3" w:rsidRDefault="00BE5847" w:rsidP="005A53B3">
            <w:pPr>
              <w:spacing w:after="0" w:line="240" w:lineRule="auto"/>
              <w:jc w:val="center"/>
              <w:rPr>
                <w:rFonts w:cs="Arial"/>
                <w:color w:val="000000"/>
                <w:szCs w:val="20"/>
                <w:lang w:eastAsia="en-AU"/>
              </w:rPr>
            </w:pPr>
            <w:r w:rsidRPr="005A53B3">
              <w:rPr>
                <w:rFonts w:cs="Arial"/>
                <w:color w:val="000000"/>
                <w:szCs w:val="20"/>
                <w:lang w:eastAsia="en-AU"/>
              </w:rPr>
              <w:t>0</w:t>
            </w:r>
          </w:p>
        </w:tc>
        <w:tc>
          <w:tcPr>
            <w:tcW w:w="1019" w:type="pct"/>
            <w:tcBorders>
              <w:top w:val="nil"/>
              <w:left w:val="nil"/>
              <w:bottom w:val="single" w:sz="4" w:space="0" w:color="auto"/>
              <w:right w:val="single" w:sz="4" w:space="0" w:color="auto"/>
            </w:tcBorders>
            <w:shd w:val="clear" w:color="auto" w:fill="auto"/>
            <w:noWrap/>
            <w:vAlign w:val="center"/>
            <w:hideMark/>
          </w:tcPr>
          <w:p w:rsidR="00BE5847" w:rsidRPr="005A53B3" w:rsidRDefault="00BE5847" w:rsidP="005A53B3">
            <w:pPr>
              <w:spacing w:after="0" w:line="240" w:lineRule="auto"/>
              <w:jc w:val="center"/>
              <w:rPr>
                <w:rFonts w:cs="Arial"/>
                <w:color w:val="000000"/>
                <w:szCs w:val="20"/>
                <w:lang w:eastAsia="en-AU"/>
              </w:rPr>
            </w:pPr>
            <w:r w:rsidRPr="005A53B3">
              <w:rPr>
                <w:rFonts w:cs="Arial"/>
                <w:color w:val="000000"/>
                <w:szCs w:val="20"/>
                <w:lang w:eastAsia="en-AU"/>
              </w:rPr>
              <w:t>0</w:t>
            </w:r>
          </w:p>
        </w:tc>
      </w:tr>
      <w:tr w:rsidR="00BE5847" w:rsidRPr="005A53B3" w:rsidTr="005A53B3">
        <w:trPr>
          <w:trHeight w:val="113"/>
        </w:trPr>
        <w:tc>
          <w:tcPr>
            <w:tcW w:w="1151" w:type="pct"/>
            <w:vMerge/>
            <w:tcBorders>
              <w:left w:val="single" w:sz="4" w:space="0" w:color="auto"/>
              <w:bottom w:val="single" w:sz="4" w:space="0" w:color="auto"/>
              <w:right w:val="nil"/>
            </w:tcBorders>
            <w:shd w:val="clear" w:color="auto" w:fill="auto"/>
            <w:noWrap/>
            <w:vAlign w:val="center"/>
            <w:hideMark/>
          </w:tcPr>
          <w:p w:rsidR="00BE5847" w:rsidRPr="005A53B3" w:rsidRDefault="00BE5847" w:rsidP="005A53B3">
            <w:pPr>
              <w:spacing w:after="0" w:line="240" w:lineRule="auto"/>
              <w:jc w:val="left"/>
              <w:rPr>
                <w:rFonts w:cs="Arial"/>
                <w:color w:val="000000"/>
                <w:szCs w:val="20"/>
                <w:lang w:eastAsia="en-AU"/>
              </w:rPr>
            </w:pPr>
          </w:p>
        </w:tc>
        <w:tc>
          <w:tcPr>
            <w:tcW w:w="918" w:type="pct"/>
            <w:tcBorders>
              <w:top w:val="single" w:sz="4" w:space="0" w:color="auto"/>
              <w:left w:val="single" w:sz="4" w:space="0" w:color="auto"/>
              <w:bottom w:val="single" w:sz="4" w:space="0" w:color="auto"/>
              <w:right w:val="single" w:sz="4" w:space="0" w:color="auto"/>
            </w:tcBorders>
            <w:shd w:val="clear" w:color="000000" w:fill="FFFF00"/>
            <w:noWrap/>
            <w:vAlign w:val="center"/>
          </w:tcPr>
          <w:p w:rsidR="00BE5847" w:rsidRPr="005A53B3" w:rsidRDefault="00BE5847" w:rsidP="005A53B3">
            <w:pPr>
              <w:spacing w:after="0" w:line="240" w:lineRule="auto"/>
              <w:jc w:val="center"/>
              <w:rPr>
                <w:rFonts w:cs="Arial"/>
                <w:color w:val="000000"/>
                <w:szCs w:val="20"/>
                <w:lang w:eastAsia="en-AU"/>
              </w:rPr>
            </w:pPr>
          </w:p>
        </w:tc>
        <w:tc>
          <w:tcPr>
            <w:tcW w:w="961" w:type="pct"/>
            <w:tcBorders>
              <w:top w:val="single" w:sz="4" w:space="0" w:color="auto"/>
              <w:left w:val="single" w:sz="4" w:space="0" w:color="auto"/>
              <w:bottom w:val="single" w:sz="4" w:space="0" w:color="auto"/>
              <w:right w:val="single" w:sz="4" w:space="0" w:color="auto"/>
            </w:tcBorders>
            <w:shd w:val="clear" w:color="000000" w:fill="FFFF00"/>
            <w:noWrap/>
            <w:vAlign w:val="center"/>
          </w:tcPr>
          <w:p w:rsidR="00BE5847" w:rsidRPr="005A53B3" w:rsidRDefault="00BE5847" w:rsidP="005A53B3">
            <w:pPr>
              <w:spacing w:after="0" w:line="240" w:lineRule="auto"/>
              <w:jc w:val="center"/>
              <w:rPr>
                <w:rFonts w:cs="Arial"/>
                <w:color w:val="000000"/>
                <w:szCs w:val="20"/>
                <w:lang w:eastAsia="en-AU"/>
              </w:rPr>
            </w:pPr>
          </w:p>
        </w:tc>
        <w:tc>
          <w:tcPr>
            <w:tcW w:w="951" w:type="pct"/>
            <w:tcBorders>
              <w:top w:val="single" w:sz="4" w:space="0" w:color="auto"/>
              <w:left w:val="single" w:sz="4" w:space="0" w:color="auto"/>
              <w:bottom w:val="single" w:sz="4" w:space="0" w:color="auto"/>
              <w:right w:val="single" w:sz="4" w:space="0" w:color="auto"/>
            </w:tcBorders>
            <w:shd w:val="clear" w:color="000000" w:fill="FFFF00"/>
            <w:noWrap/>
            <w:vAlign w:val="center"/>
          </w:tcPr>
          <w:p w:rsidR="00BE5847" w:rsidRPr="005A53B3" w:rsidRDefault="00BE5847" w:rsidP="005A53B3">
            <w:pPr>
              <w:spacing w:after="0" w:line="240" w:lineRule="auto"/>
              <w:jc w:val="center"/>
              <w:rPr>
                <w:rFonts w:cs="Arial"/>
                <w:color w:val="000000"/>
                <w:szCs w:val="20"/>
                <w:lang w:eastAsia="en-AU"/>
              </w:rPr>
            </w:pPr>
          </w:p>
        </w:tc>
        <w:tc>
          <w:tcPr>
            <w:tcW w:w="1019" w:type="pct"/>
            <w:tcBorders>
              <w:top w:val="single" w:sz="4" w:space="0" w:color="auto"/>
              <w:left w:val="single" w:sz="4" w:space="0" w:color="auto"/>
              <w:bottom w:val="single" w:sz="4" w:space="0" w:color="auto"/>
              <w:right w:val="single" w:sz="4" w:space="0" w:color="auto"/>
            </w:tcBorders>
            <w:shd w:val="clear" w:color="000000" w:fill="FFFF00"/>
            <w:noWrap/>
            <w:vAlign w:val="center"/>
          </w:tcPr>
          <w:p w:rsidR="00BE5847" w:rsidRPr="005A53B3" w:rsidRDefault="00BE5847" w:rsidP="005A53B3">
            <w:pPr>
              <w:spacing w:after="0" w:line="240" w:lineRule="auto"/>
              <w:jc w:val="center"/>
              <w:rPr>
                <w:rFonts w:cs="Arial"/>
                <w:color w:val="000000"/>
                <w:szCs w:val="20"/>
                <w:lang w:eastAsia="en-AU"/>
              </w:rPr>
            </w:pPr>
          </w:p>
        </w:tc>
      </w:tr>
      <w:tr w:rsidR="00BE5847" w:rsidRPr="005A53B3" w:rsidTr="005A53B3">
        <w:trPr>
          <w:trHeight w:val="300"/>
        </w:trPr>
        <w:tc>
          <w:tcPr>
            <w:tcW w:w="1151" w:type="pct"/>
            <w:vMerge w:val="restart"/>
            <w:tcBorders>
              <w:top w:val="nil"/>
              <w:left w:val="single" w:sz="4" w:space="0" w:color="auto"/>
              <w:right w:val="nil"/>
            </w:tcBorders>
            <w:shd w:val="clear" w:color="auto" w:fill="auto"/>
            <w:noWrap/>
            <w:vAlign w:val="center"/>
            <w:hideMark/>
          </w:tcPr>
          <w:p w:rsidR="00BE5847" w:rsidRPr="005A53B3" w:rsidRDefault="00BE5847" w:rsidP="005A53B3">
            <w:pPr>
              <w:spacing w:after="0" w:line="240" w:lineRule="auto"/>
              <w:jc w:val="left"/>
              <w:rPr>
                <w:rFonts w:cs="Arial"/>
                <w:color w:val="000000"/>
                <w:szCs w:val="20"/>
                <w:lang w:eastAsia="en-AU"/>
              </w:rPr>
            </w:pPr>
            <w:r w:rsidRPr="005A53B3">
              <w:rPr>
                <w:rFonts w:cs="Arial"/>
                <w:color w:val="000000"/>
                <w:szCs w:val="20"/>
                <w:lang w:eastAsia="en-AU"/>
              </w:rPr>
              <w:t>Heathfield</w:t>
            </w:r>
          </w:p>
          <w:p w:rsidR="00BE5847" w:rsidRPr="005A53B3" w:rsidRDefault="00BE5847" w:rsidP="005A53B3">
            <w:pPr>
              <w:spacing w:after="0" w:line="240" w:lineRule="auto"/>
              <w:jc w:val="left"/>
              <w:rPr>
                <w:rFonts w:cs="Arial"/>
                <w:color w:val="000000"/>
                <w:szCs w:val="20"/>
                <w:lang w:eastAsia="en-AU"/>
              </w:rPr>
            </w:pPr>
          </w:p>
        </w:tc>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BE5847" w:rsidRPr="005A53B3" w:rsidRDefault="00BE5847" w:rsidP="005A53B3">
            <w:pPr>
              <w:spacing w:after="0" w:line="240" w:lineRule="auto"/>
              <w:jc w:val="center"/>
              <w:rPr>
                <w:rFonts w:cs="Arial"/>
                <w:color w:val="000000"/>
                <w:szCs w:val="20"/>
                <w:lang w:eastAsia="en-AU"/>
              </w:rPr>
            </w:pPr>
            <w:r w:rsidRPr="005A53B3">
              <w:rPr>
                <w:rFonts w:cs="Arial"/>
                <w:color w:val="000000"/>
                <w:szCs w:val="20"/>
                <w:lang w:eastAsia="en-AU"/>
              </w:rPr>
              <w:t>41</w:t>
            </w:r>
          </w:p>
        </w:tc>
        <w:tc>
          <w:tcPr>
            <w:tcW w:w="961" w:type="pct"/>
            <w:tcBorders>
              <w:top w:val="nil"/>
              <w:left w:val="nil"/>
              <w:bottom w:val="single" w:sz="4" w:space="0" w:color="auto"/>
              <w:right w:val="single" w:sz="4" w:space="0" w:color="auto"/>
            </w:tcBorders>
            <w:shd w:val="clear" w:color="auto" w:fill="auto"/>
            <w:noWrap/>
            <w:vAlign w:val="center"/>
            <w:hideMark/>
          </w:tcPr>
          <w:p w:rsidR="00BE5847" w:rsidRPr="005A53B3" w:rsidRDefault="00BE5847" w:rsidP="005A53B3">
            <w:pPr>
              <w:spacing w:after="0" w:line="240" w:lineRule="auto"/>
              <w:jc w:val="center"/>
              <w:rPr>
                <w:rFonts w:cs="Arial"/>
                <w:color w:val="000000"/>
                <w:szCs w:val="20"/>
                <w:lang w:eastAsia="en-AU"/>
              </w:rPr>
            </w:pPr>
            <w:r w:rsidRPr="005A53B3">
              <w:rPr>
                <w:rFonts w:cs="Arial"/>
                <w:color w:val="000000"/>
                <w:szCs w:val="20"/>
                <w:lang w:eastAsia="en-AU"/>
              </w:rPr>
              <w:t>47.1</w:t>
            </w:r>
          </w:p>
        </w:tc>
        <w:tc>
          <w:tcPr>
            <w:tcW w:w="951" w:type="pct"/>
            <w:tcBorders>
              <w:top w:val="nil"/>
              <w:left w:val="nil"/>
              <w:bottom w:val="single" w:sz="4" w:space="0" w:color="auto"/>
              <w:right w:val="single" w:sz="4" w:space="0" w:color="auto"/>
            </w:tcBorders>
            <w:shd w:val="clear" w:color="auto" w:fill="auto"/>
            <w:noWrap/>
            <w:vAlign w:val="center"/>
            <w:hideMark/>
          </w:tcPr>
          <w:p w:rsidR="00BE5847" w:rsidRPr="005A53B3" w:rsidRDefault="00BE5847" w:rsidP="005A53B3">
            <w:pPr>
              <w:spacing w:after="0" w:line="240" w:lineRule="auto"/>
              <w:jc w:val="center"/>
              <w:rPr>
                <w:rFonts w:cs="Arial"/>
                <w:color w:val="000000"/>
                <w:szCs w:val="20"/>
                <w:lang w:eastAsia="en-AU"/>
              </w:rPr>
            </w:pPr>
            <w:r w:rsidRPr="005A53B3">
              <w:rPr>
                <w:rFonts w:cs="Arial"/>
                <w:color w:val="000000"/>
                <w:szCs w:val="20"/>
                <w:lang w:eastAsia="en-AU"/>
              </w:rPr>
              <w:t>25.5</w:t>
            </w:r>
          </w:p>
        </w:tc>
        <w:tc>
          <w:tcPr>
            <w:tcW w:w="1019" w:type="pct"/>
            <w:tcBorders>
              <w:top w:val="nil"/>
              <w:left w:val="nil"/>
              <w:bottom w:val="single" w:sz="4" w:space="0" w:color="auto"/>
              <w:right w:val="single" w:sz="4" w:space="0" w:color="auto"/>
            </w:tcBorders>
            <w:shd w:val="clear" w:color="auto" w:fill="auto"/>
            <w:noWrap/>
            <w:vAlign w:val="center"/>
            <w:hideMark/>
          </w:tcPr>
          <w:p w:rsidR="00BE5847" w:rsidRPr="005A53B3" w:rsidRDefault="00BE5847" w:rsidP="005A53B3">
            <w:pPr>
              <w:spacing w:after="0" w:line="240" w:lineRule="auto"/>
              <w:jc w:val="center"/>
              <w:rPr>
                <w:rFonts w:cs="Arial"/>
                <w:color w:val="000000"/>
                <w:szCs w:val="20"/>
                <w:lang w:eastAsia="en-AU"/>
              </w:rPr>
            </w:pPr>
            <w:r w:rsidRPr="005A53B3">
              <w:rPr>
                <w:rFonts w:cs="Arial"/>
                <w:color w:val="000000"/>
                <w:szCs w:val="20"/>
                <w:lang w:eastAsia="en-AU"/>
              </w:rPr>
              <w:t>21.1</w:t>
            </w:r>
          </w:p>
        </w:tc>
      </w:tr>
      <w:tr w:rsidR="00BE5847" w:rsidRPr="005A53B3" w:rsidTr="005A53B3">
        <w:trPr>
          <w:trHeight w:val="113"/>
        </w:trPr>
        <w:tc>
          <w:tcPr>
            <w:tcW w:w="1151" w:type="pct"/>
            <w:vMerge/>
            <w:tcBorders>
              <w:left w:val="single" w:sz="4" w:space="0" w:color="auto"/>
              <w:bottom w:val="single" w:sz="4" w:space="0" w:color="auto"/>
              <w:right w:val="nil"/>
            </w:tcBorders>
            <w:shd w:val="clear" w:color="auto" w:fill="auto"/>
            <w:noWrap/>
            <w:vAlign w:val="center"/>
            <w:hideMark/>
          </w:tcPr>
          <w:p w:rsidR="00BE5847" w:rsidRPr="005A53B3" w:rsidRDefault="00BE5847" w:rsidP="005A53B3">
            <w:pPr>
              <w:spacing w:after="0" w:line="240" w:lineRule="auto"/>
              <w:jc w:val="left"/>
              <w:rPr>
                <w:rFonts w:cs="Arial"/>
                <w:color w:val="000000"/>
                <w:szCs w:val="20"/>
                <w:lang w:eastAsia="en-AU"/>
              </w:rPr>
            </w:pPr>
          </w:p>
        </w:tc>
        <w:tc>
          <w:tcPr>
            <w:tcW w:w="918" w:type="pct"/>
            <w:tcBorders>
              <w:top w:val="single" w:sz="4" w:space="0" w:color="auto"/>
              <w:left w:val="single" w:sz="4" w:space="0" w:color="auto"/>
              <w:bottom w:val="single" w:sz="4" w:space="0" w:color="auto"/>
              <w:right w:val="single" w:sz="4" w:space="0" w:color="auto"/>
            </w:tcBorders>
            <w:shd w:val="clear" w:color="000000" w:fill="A6D941"/>
            <w:noWrap/>
            <w:vAlign w:val="center"/>
          </w:tcPr>
          <w:p w:rsidR="00BE5847" w:rsidRPr="005A53B3" w:rsidRDefault="00BE5847" w:rsidP="005A53B3">
            <w:pPr>
              <w:spacing w:after="0" w:line="240" w:lineRule="auto"/>
              <w:jc w:val="center"/>
              <w:rPr>
                <w:rFonts w:cs="Arial"/>
                <w:color w:val="000000"/>
                <w:szCs w:val="20"/>
                <w:lang w:eastAsia="en-AU"/>
              </w:rPr>
            </w:pPr>
          </w:p>
        </w:tc>
        <w:tc>
          <w:tcPr>
            <w:tcW w:w="961" w:type="pct"/>
            <w:tcBorders>
              <w:top w:val="single" w:sz="4" w:space="0" w:color="auto"/>
              <w:left w:val="single" w:sz="4" w:space="0" w:color="auto"/>
              <w:bottom w:val="single" w:sz="4" w:space="0" w:color="auto"/>
              <w:right w:val="single" w:sz="4" w:space="0" w:color="auto"/>
            </w:tcBorders>
            <w:shd w:val="clear" w:color="000000" w:fill="99D34B"/>
            <w:noWrap/>
            <w:vAlign w:val="center"/>
          </w:tcPr>
          <w:p w:rsidR="00BE5847" w:rsidRPr="005A53B3" w:rsidRDefault="00BE5847" w:rsidP="005A53B3">
            <w:pPr>
              <w:spacing w:after="0" w:line="240" w:lineRule="auto"/>
              <w:jc w:val="center"/>
              <w:rPr>
                <w:rFonts w:cs="Arial"/>
                <w:color w:val="000000"/>
                <w:szCs w:val="20"/>
                <w:lang w:eastAsia="en-AU"/>
              </w:rPr>
            </w:pPr>
          </w:p>
        </w:tc>
        <w:tc>
          <w:tcPr>
            <w:tcW w:w="951" w:type="pct"/>
            <w:tcBorders>
              <w:top w:val="single" w:sz="4" w:space="0" w:color="auto"/>
              <w:left w:val="single" w:sz="4" w:space="0" w:color="auto"/>
              <w:bottom w:val="single" w:sz="4" w:space="0" w:color="auto"/>
              <w:right w:val="single" w:sz="4" w:space="0" w:color="auto"/>
            </w:tcBorders>
            <w:shd w:val="clear" w:color="000000" w:fill="C8E828"/>
            <w:noWrap/>
            <w:vAlign w:val="center"/>
          </w:tcPr>
          <w:p w:rsidR="00BE5847" w:rsidRPr="005A53B3" w:rsidRDefault="00BE5847" w:rsidP="005A53B3">
            <w:pPr>
              <w:spacing w:after="0" w:line="240" w:lineRule="auto"/>
              <w:jc w:val="center"/>
              <w:rPr>
                <w:rFonts w:cs="Arial"/>
                <w:color w:val="000000"/>
                <w:szCs w:val="20"/>
                <w:lang w:eastAsia="en-AU"/>
              </w:rPr>
            </w:pPr>
          </w:p>
        </w:tc>
        <w:tc>
          <w:tcPr>
            <w:tcW w:w="1019" w:type="pct"/>
            <w:tcBorders>
              <w:top w:val="single" w:sz="4" w:space="0" w:color="auto"/>
              <w:left w:val="single" w:sz="4" w:space="0" w:color="auto"/>
              <w:bottom w:val="single" w:sz="4" w:space="0" w:color="auto"/>
              <w:right w:val="single" w:sz="4" w:space="0" w:color="auto"/>
            </w:tcBorders>
            <w:shd w:val="clear" w:color="000000" w:fill="D2EC21"/>
            <w:noWrap/>
            <w:vAlign w:val="center"/>
          </w:tcPr>
          <w:p w:rsidR="00BE5847" w:rsidRPr="005A53B3" w:rsidRDefault="00BE5847" w:rsidP="005A53B3">
            <w:pPr>
              <w:spacing w:after="0" w:line="240" w:lineRule="auto"/>
              <w:jc w:val="center"/>
              <w:rPr>
                <w:rFonts w:cs="Arial"/>
                <w:color w:val="000000"/>
                <w:szCs w:val="20"/>
                <w:lang w:eastAsia="en-AU"/>
              </w:rPr>
            </w:pPr>
          </w:p>
        </w:tc>
      </w:tr>
      <w:tr w:rsidR="00BE5847" w:rsidRPr="005A53B3" w:rsidTr="005A53B3">
        <w:trPr>
          <w:trHeight w:val="300"/>
        </w:trPr>
        <w:tc>
          <w:tcPr>
            <w:tcW w:w="1151" w:type="pct"/>
            <w:vMerge w:val="restart"/>
            <w:tcBorders>
              <w:top w:val="nil"/>
              <w:left w:val="single" w:sz="4" w:space="0" w:color="auto"/>
              <w:right w:val="nil"/>
            </w:tcBorders>
            <w:shd w:val="clear" w:color="auto" w:fill="auto"/>
            <w:noWrap/>
            <w:vAlign w:val="center"/>
            <w:hideMark/>
          </w:tcPr>
          <w:p w:rsidR="00BE5847" w:rsidRPr="005A53B3" w:rsidRDefault="00BE5847" w:rsidP="005A53B3">
            <w:pPr>
              <w:spacing w:after="0" w:line="240" w:lineRule="auto"/>
              <w:jc w:val="left"/>
              <w:rPr>
                <w:rFonts w:cs="Arial"/>
                <w:color w:val="000000"/>
                <w:szCs w:val="20"/>
                <w:lang w:eastAsia="en-AU"/>
              </w:rPr>
            </w:pPr>
            <w:r w:rsidRPr="005A53B3">
              <w:rPr>
                <w:rFonts w:cs="Arial"/>
                <w:color w:val="000000"/>
                <w:szCs w:val="20"/>
                <w:lang w:eastAsia="en-AU"/>
              </w:rPr>
              <w:t>Krui</w:t>
            </w:r>
          </w:p>
          <w:p w:rsidR="00BE5847" w:rsidRPr="005A53B3" w:rsidRDefault="00BE5847" w:rsidP="005A53B3">
            <w:pPr>
              <w:spacing w:after="0" w:line="240" w:lineRule="auto"/>
              <w:jc w:val="left"/>
              <w:rPr>
                <w:rFonts w:cs="Arial"/>
                <w:color w:val="000000"/>
                <w:szCs w:val="20"/>
                <w:lang w:eastAsia="en-AU"/>
              </w:rPr>
            </w:pPr>
          </w:p>
        </w:tc>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BE5847" w:rsidRPr="005A53B3" w:rsidRDefault="00BE5847" w:rsidP="005A53B3">
            <w:pPr>
              <w:spacing w:after="0" w:line="240" w:lineRule="auto"/>
              <w:jc w:val="center"/>
              <w:rPr>
                <w:rFonts w:cs="Arial"/>
                <w:color w:val="000000"/>
                <w:szCs w:val="20"/>
                <w:lang w:eastAsia="en-AU"/>
              </w:rPr>
            </w:pPr>
            <w:r w:rsidRPr="005A53B3">
              <w:rPr>
                <w:rFonts w:cs="Arial"/>
                <w:color w:val="000000"/>
                <w:szCs w:val="20"/>
                <w:lang w:eastAsia="en-AU"/>
              </w:rPr>
              <w:t>41</w:t>
            </w:r>
          </w:p>
        </w:tc>
        <w:tc>
          <w:tcPr>
            <w:tcW w:w="961" w:type="pct"/>
            <w:tcBorders>
              <w:top w:val="nil"/>
              <w:left w:val="nil"/>
              <w:bottom w:val="single" w:sz="4" w:space="0" w:color="auto"/>
              <w:right w:val="single" w:sz="4" w:space="0" w:color="auto"/>
            </w:tcBorders>
            <w:shd w:val="clear" w:color="auto" w:fill="auto"/>
            <w:noWrap/>
            <w:vAlign w:val="center"/>
            <w:hideMark/>
          </w:tcPr>
          <w:p w:rsidR="00BE5847" w:rsidRPr="005A53B3" w:rsidRDefault="00BE5847" w:rsidP="005A53B3">
            <w:pPr>
              <w:spacing w:after="0" w:line="240" w:lineRule="auto"/>
              <w:jc w:val="center"/>
              <w:rPr>
                <w:rFonts w:cs="Arial"/>
                <w:color w:val="000000"/>
                <w:szCs w:val="20"/>
                <w:lang w:eastAsia="en-AU"/>
              </w:rPr>
            </w:pPr>
            <w:r w:rsidRPr="005A53B3">
              <w:rPr>
                <w:rFonts w:cs="Arial"/>
                <w:color w:val="000000"/>
                <w:szCs w:val="20"/>
                <w:lang w:eastAsia="en-AU"/>
              </w:rPr>
              <w:t>77</w:t>
            </w:r>
          </w:p>
        </w:tc>
        <w:tc>
          <w:tcPr>
            <w:tcW w:w="951" w:type="pct"/>
            <w:tcBorders>
              <w:top w:val="nil"/>
              <w:left w:val="nil"/>
              <w:bottom w:val="single" w:sz="4" w:space="0" w:color="auto"/>
              <w:right w:val="single" w:sz="4" w:space="0" w:color="auto"/>
            </w:tcBorders>
            <w:shd w:val="clear" w:color="auto" w:fill="auto"/>
            <w:noWrap/>
            <w:vAlign w:val="center"/>
            <w:hideMark/>
          </w:tcPr>
          <w:p w:rsidR="00BE5847" w:rsidRPr="005A53B3" w:rsidRDefault="00BE5847" w:rsidP="005A53B3">
            <w:pPr>
              <w:spacing w:after="0" w:line="240" w:lineRule="auto"/>
              <w:jc w:val="center"/>
              <w:rPr>
                <w:rFonts w:cs="Arial"/>
                <w:color w:val="000000"/>
                <w:szCs w:val="20"/>
                <w:lang w:eastAsia="en-AU"/>
              </w:rPr>
            </w:pPr>
            <w:r w:rsidRPr="005A53B3">
              <w:rPr>
                <w:rFonts w:cs="Arial"/>
                <w:color w:val="000000"/>
                <w:szCs w:val="20"/>
                <w:lang w:eastAsia="en-AU"/>
              </w:rPr>
              <w:t>55.5</w:t>
            </w:r>
          </w:p>
        </w:tc>
        <w:tc>
          <w:tcPr>
            <w:tcW w:w="1019" w:type="pct"/>
            <w:tcBorders>
              <w:top w:val="nil"/>
              <w:left w:val="nil"/>
              <w:bottom w:val="single" w:sz="4" w:space="0" w:color="auto"/>
              <w:right w:val="single" w:sz="4" w:space="0" w:color="auto"/>
            </w:tcBorders>
            <w:shd w:val="clear" w:color="auto" w:fill="auto"/>
            <w:noWrap/>
            <w:vAlign w:val="center"/>
            <w:hideMark/>
          </w:tcPr>
          <w:p w:rsidR="00BE5847" w:rsidRPr="005A53B3" w:rsidRDefault="00BE5847" w:rsidP="005A53B3">
            <w:pPr>
              <w:spacing w:after="0" w:line="240" w:lineRule="auto"/>
              <w:jc w:val="center"/>
              <w:rPr>
                <w:rFonts w:cs="Arial"/>
                <w:color w:val="000000"/>
                <w:szCs w:val="20"/>
                <w:lang w:eastAsia="en-AU"/>
              </w:rPr>
            </w:pPr>
            <w:r w:rsidRPr="005A53B3">
              <w:rPr>
                <w:rFonts w:cs="Arial"/>
                <w:color w:val="000000"/>
                <w:szCs w:val="20"/>
                <w:lang w:eastAsia="en-AU"/>
              </w:rPr>
              <w:t>46.1</w:t>
            </w:r>
          </w:p>
        </w:tc>
      </w:tr>
      <w:tr w:rsidR="00BE5847" w:rsidRPr="005A53B3" w:rsidTr="005A53B3">
        <w:trPr>
          <w:trHeight w:val="113"/>
        </w:trPr>
        <w:tc>
          <w:tcPr>
            <w:tcW w:w="1151" w:type="pct"/>
            <w:vMerge/>
            <w:tcBorders>
              <w:left w:val="single" w:sz="4" w:space="0" w:color="auto"/>
              <w:bottom w:val="single" w:sz="4" w:space="0" w:color="auto"/>
              <w:right w:val="nil"/>
            </w:tcBorders>
            <w:shd w:val="clear" w:color="auto" w:fill="auto"/>
            <w:noWrap/>
            <w:vAlign w:val="center"/>
            <w:hideMark/>
          </w:tcPr>
          <w:p w:rsidR="00BE5847" w:rsidRPr="005A53B3" w:rsidRDefault="00BE5847" w:rsidP="005A53B3">
            <w:pPr>
              <w:spacing w:after="0" w:line="240" w:lineRule="auto"/>
              <w:jc w:val="left"/>
              <w:rPr>
                <w:rFonts w:cs="Arial"/>
                <w:color w:val="000000"/>
                <w:szCs w:val="20"/>
                <w:lang w:eastAsia="en-AU"/>
              </w:rPr>
            </w:pPr>
          </w:p>
        </w:tc>
        <w:tc>
          <w:tcPr>
            <w:tcW w:w="918" w:type="pct"/>
            <w:tcBorders>
              <w:top w:val="single" w:sz="4" w:space="0" w:color="auto"/>
              <w:left w:val="single" w:sz="4" w:space="0" w:color="auto"/>
              <w:bottom w:val="single" w:sz="4" w:space="0" w:color="auto"/>
              <w:right w:val="single" w:sz="4" w:space="0" w:color="auto"/>
            </w:tcBorders>
            <w:shd w:val="clear" w:color="000000" w:fill="A6D941"/>
            <w:noWrap/>
            <w:vAlign w:val="center"/>
          </w:tcPr>
          <w:p w:rsidR="00BE5847" w:rsidRPr="005A53B3" w:rsidRDefault="00BE5847" w:rsidP="005A53B3">
            <w:pPr>
              <w:spacing w:after="0" w:line="240" w:lineRule="auto"/>
              <w:jc w:val="center"/>
              <w:rPr>
                <w:rFonts w:cs="Arial"/>
                <w:color w:val="000000"/>
                <w:szCs w:val="20"/>
                <w:lang w:eastAsia="en-AU"/>
              </w:rPr>
            </w:pPr>
          </w:p>
        </w:tc>
        <w:tc>
          <w:tcPr>
            <w:tcW w:w="961" w:type="pct"/>
            <w:tcBorders>
              <w:top w:val="single" w:sz="4" w:space="0" w:color="auto"/>
              <w:left w:val="single" w:sz="4" w:space="0" w:color="auto"/>
              <w:bottom w:val="single" w:sz="4" w:space="0" w:color="auto"/>
              <w:right w:val="single" w:sz="4" w:space="0" w:color="auto"/>
            </w:tcBorders>
            <w:shd w:val="clear" w:color="000000" w:fill="447158"/>
            <w:noWrap/>
            <w:vAlign w:val="center"/>
          </w:tcPr>
          <w:p w:rsidR="00BE5847" w:rsidRPr="005A53B3" w:rsidRDefault="00BE5847" w:rsidP="005A53B3">
            <w:pPr>
              <w:spacing w:after="0" w:line="240" w:lineRule="auto"/>
              <w:jc w:val="center"/>
              <w:rPr>
                <w:rFonts w:cs="Arial"/>
                <w:color w:val="000000"/>
                <w:szCs w:val="20"/>
                <w:lang w:eastAsia="en-AU"/>
              </w:rPr>
            </w:pPr>
          </w:p>
        </w:tc>
        <w:tc>
          <w:tcPr>
            <w:tcW w:w="951" w:type="pct"/>
            <w:tcBorders>
              <w:top w:val="single" w:sz="4" w:space="0" w:color="auto"/>
              <w:left w:val="single" w:sz="4" w:space="0" w:color="auto"/>
              <w:bottom w:val="single" w:sz="4" w:space="0" w:color="auto"/>
              <w:right w:val="single" w:sz="4" w:space="0" w:color="auto"/>
            </w:tcBorders>
            <w:shd w:val="clear" w:color="000000" w:fill="82BD51"/>
            <w:noWrap/>
            <w:vAlign w:val="center"/>
          </w:tcPr>
          <w:p w:rsidR="00BE5847" w:rsidRPr="005A53B3" w:rsidRDefault="00BE5847" w:rsidP="005A53B3">
            <w:pPr>
              <w:spacing w:after="0" w:line="240" w:lineRule="auto"/>
              <w:jc w:val="center"/>
              <w:rPr>
                <w:rFonts w:cs="Arial"/>
                <w:color w:val="000000"/>
                <w:szCs w:val="20"/>
                <w:lang w:eastAsia="en-AU"/>
              </w:rPr>
            </w:pPr>
          </w:p>
        </w:tc>
        <w:tc>
          <w:tcPr>
            <w:tcW w:w="1019" w:type="pct"/>
            <w:tcBorders>
              <w:top w:val="single" w:sz="4" w:space="0" w:color="auto"/>
              <w:left w:val="single" w:sz="4" w:space="0" w:color="auto"/>
              <w:bottom w:val="single" w:sz="4" w:space="0" w:color="auto"/>
              <w:right w:val="single" w:sz="4" w:space="0" w:color="auto"/>
            </w:tcBorders>
            <w:shd w:val="clear" w:color="000000" w:fill="9BD449"/>
            <w:noWrap/>
            <w:vAlign w:val="center"/>
          </w:tcPr>
          <w:p w:rsidR="00BE5847" w:rsidRPr="005A53B3" w:rsidRDefault="00BE5847" w:rsidP="005A53B3">
            <w:pPr>
              <w:spacing w:after="0" w:line="240" w:lineRule="auto"/>
              <w:jc w:val="center"/>
              <w:rPr>
                <w:rFonts w:cs="Arial"/>
                <w:color w:val="000000"/>
                <w:szCs w:val="20"/>
                <w:lang w:eastAsia="en-AU"/>
              </w:rPr>
            </w:pPr>
          </w:p>
        </w:tc>
      </w:tr>
      <w:tr w:rsidR="00BE5847" w:rsidRPr="005A53B3" w:rsidTr="005A53B3">
        <w:trPr>
          <w:trHeight w:val="300"/>
        </w:trPr>
        <w:tc>
          <w:tcPr>
            <w:tcW w:w="1151" w:type="pct"/>
            <w:vMerge w:val="restart"/>
            <w:tcBorders>
              <w:top w:val="nil"/>
              <w:left w:val="single" w:sz="4" w:space="0" w:color="auto"/>
              <w:right w:val="nil"/>
            </w:tcBorders>
            <w:shd w:val="clear" w:color="auto" w:fill="auto"/>
            <w:noWrap/>
            <w:vAlign w:val="center"/>
            <w:hideMark/>
          </w:tcPr>
          <w:p w:rsidR="00BE5847" w:rsidRPr="005A53B3" w:rsidRDefault="00BE5847" w:rsidP="005A53B3">
            <w:pPr>
              <w:spacing w:after="0" w:line="240" w:lineRule="auto"/>
              <w:jc w:val="left"/>
              <w:rPr>
                <w:rFonts w:cs="Arial"/>
                <w:color w:val="000000"/>
                <w:szCs w:val="20"/>
                <w:lang w:eastAsia="en-AU"/>
              </w:rPr>
            </w:pPr>
            <w:r w:rsidRPr="005A53B3">
              <w:rPr>
                <w:rFonts w:cs="Arial"/>
                <w:color w:val="000000"/>
                <w:szCs w:val="20"/>
                <w:lang w:eastAsia="en-AU"/>
              </w:rPr>
              <w:t>Moomin 100</w:t>
            </w:r>
          </w:p>
          <w:p w:rsidR="00BE5847" w:rsidRPr="005A53B3" w:rsidRDefault="00BE5847" w:rsidP="005A53B3">
            <w:pPr>
              <w:spacing w:after="0" w:line="240" w:lineRule="auto"/>
              <w:jc w:val="left"/>
              <w:rPr>
                <w:rFonts w:cs="Arial"/>
                <w:color w:val="000000"/>
                <w:szCs w:val="20"/>
                <w:lang w:eastAsia="en-AU"/>
              </w:rPr>
            </w:pPr>
          </w:p>
        </w:tc>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BE5847" w:rsidRPr="005A53B3" w:rsidRDefault="00BE5847" w:rsidP="005A53B3">
            <w:pPr>
              <w:spacing w:after="0" w:line="240" w:lineRule="auto"/>
              <w:jc w:val="center"/>
              <w:rPr>
                <w:rFonts w:cs="Arial"/>
                <w:color w:val="000000"/>
                <w:szCs w:val="20"/>
                <w:lang w:eastAsia="en-AU"/>
              </w:rPr>
            </w:pPr>
            <w:r w:rsidRPr="005A53B3">
              <w:rPr>
                <w:rFonts w:cs="Arial"/>
                <w:color w:val="000000"/>
                <w:szCs w:val="20"/>
                <w:lang w:eastAsia="en-AU"/>
              </w:rPr>
              <w:t>0</w:t>
            </w:r>
          </w:p>
        </w:tc>
        <w:tc>
          <w:tcPr>
            <w:tcW w:w="961" w:type="pct"/>
            <w:tcBorders>
              <w:top w:val="nil"/>
              <w:left w:val="nil"/>
              <w:bottom w:val="single" w:sz="4" w:space="0" w:color="auto"/>
              <w:right w:val="single" w:sz="4" w:space="0" w:color="auto"/>
            </w:tcBorders>
            <w:shd w:val="clear" w:color="auto" w:fill="auto"/>
            <w:noWrap/>
            <w:vAlign w:val="center"/>
            <w:hideMark/>
          </w:tcPr>
          <w:p w:rsidR="00BE5847" w:rsidRPr="005A53B3" w:rsidRDefault="00BE5847" w:rsidP="005A53B3">
            <w:pPr>
              <w:spacing w:after="0" w:line="240" w:lineRule="auto"/>
              <w:jc w:val="center"/>
              <w:rPr>
                <w:rFonts w:cs="Arial"/>
                <w:color w:val="000000"/>
                <w:szCs w:val="20"/>
                <w:lang w:eastAsia="en-AU"/>
              </w:rPr>
            </w:pPr>
            <w:r w:rsidRPr="005A53B3">
              <w:rPr>
                <w:rFonts w:cs="Arial"/>
                <w:color w:val="000000"/>
                <w:szCs w:val="20"/>
                <w:lang w:eastAsia="en-AU"/>
              </w:rPr>
              <w:t>0</w:t>
            </w:r>
          </w:p>
        </w:tc>
        <w:tc>
          <w:tcPr>
            <w:tcW w:w="951" w:type="pct"/>
            <w:tcBorders>
              <w:top w:val="nil"/>
              <w:left w:val="nil"/>
              <w:bottom w:val="single" w:sz="4" w:space="0" w:color="auto"/>
              <w:right w:val="single" w:sz="4" w:space="0" w:color="auto"/>
            </w:tcBorders>
            <w:shd w:val="clear" w:color="auto" w:fill="auto"/>
            <w:noWrap/>
            <w:vAlign w:val="center"/>
            <w:hideMark/>
          </w:tcPr>
          <w:p w:rsidR="00BE5847" w:rsidRPr="005A53B3" w:rsidRDefault="00BE5847" w:rsidP="005A53B3">
            <w:pPr>
              <w:spacing w:after="0" w:line="240" w:lineRule="auto"/>
              <w:jc w:val="center"/>
              <w:rPr>
                <w:rFonts w:cs="Arial"/>
                <w:color w:val="000000"/>
                <w:szCs w:val="20"/>
                <w:lang w:eastAsia="en-AU"/>
              </w:rPr>
            </w:pPr>
            <w:r w:rsidRPr="005A53B3">
              <w:rPr>
                <w:rFonts w:cs="Arial"/>
                <w:color w:val="000000"/>
                <w:szCs w:val="20"/>
                <w:lang w:eastAsia="en-AU"/>
              </w:rPr>
              <w:t>0</w:t>
            </w:r>
          </w:p>
        </w:tc>
        <w:tc>
          <w:tcPr>
            <w:tcW w:w="1019" w:type="pct"/>
            <w:tcBorders>
              <w:top w:val="nil"/>
              <w:left w:val="nil"/>
              <w:bottom w:val="single" w:sz="4" w:space="0" w:color="auto"/>
              <w:right w:val="single" w:sz="4" w:space="0" w:color="auto"/>
            </w:tcBorders>
            <w:shd w:val="clear" w:color="auto" w:fill="auto"/>
            <w:noWrap/>
            <w:vAlign w:val="center"/>
            <w:hideMark/>
          </w:tcPr>
          <w:p w:rsidR="00BE5847" w:rsidRPr="005A53B3" w:rsidRDefault="00BE5847" w:rsidP="005A53B3">
            <w:pPr>
              <w:spacing w:after="0" w:line="240" w:lineRule="auto"/>
              <w:jc w:val="center"/>
              <w:rPr>
                <w:rFonts w:cs="Arial"/>
                <w:color w:val="000000"/>
                <w:szCs w:val="20"/>
                <w:lang w:eastAsia="en-AU"/>
              </w:rPr>
            </w:pPr>
            <w:r w:rsidRPr="005A53B3">
              <w:rPr>
                <w:rFonts w:cs="Arial"/>
                <w:color w:val="000000"/>
                <w:szCs w:val="20"/>
                <w:lang w:eastAsia="en-AU"/>
              </w:rPr>
              <w:t>0</w:t>
            </w:r>
          </w:p>
        </w:tc>
      </w:tr>
      <w:tr w:rsidR="00BE5847" w:rsidRPr="005A53B3" w:rsidTr="005A53B3">
        <w:trPr>
          <w:trHeight w:val="113"/>
        </w:trPr>
        <w:tc>
          <w:tcPr>
            <w:tcW w:w="1151" w:type="pct"/>
            <w:vMerge/>
            <w:tcBorders>
              <w:left w:val="single" w:sz="4" w:space="0" w:color="auto"/>
              <w:bottom w:val="single" w:sz="4" w:space="0" w:color="auto"/>
              <w:right w:val="nil"/>
            </w:tcBorders>
            <w:shd w:val="clear" w:color="auto" w:fill="auto"/>
            <w:noWrap/>
            <w:vAlign w:val="center"/>
            <w:hideMark/>
          </w:tcPr>
          <w:p w:rsidR="00BE5847" w:rsidRPr="005A53B3" w:rsidRDefault="00BE5847" w:rsidP="005A53B3">
            <w:pPr>
              <w:spacing w:after="0" w:line="240" w:lineRule="auto"/>
              <w:jc w:val="left"/>
              <w:rPr>
                <w:rFonts w:cs="Arial"/>
                <w:color w:val="000000"/>
                <w:szCs w:val="20"/>
                <w:lang w:eastAsia="en-AU"/>
              </w:rPr>
            </w:pPr>
          </w:p>
        </w:tc>
        <w:tc>
          <w:tcPr>
            <w:tcW w:w="918" w:type="pct"/>
            <w:tcBorders>
              <w:top w:val="single" w:sz="4" w:space="0" w:color="auto"/>
              <w:left w:val="single" w:sz="4" w:space="0" w:color="auto"/>
              <w:bottom w:val="single" w:sz="4" w:space="0" w:color="auto"/>
              <w:right w:val="single" w:sz="4" w:space="0" w:color="auto"/>
            </w:tcBorders>
            <w:shd w:val="clear" w:color="000000" w:fill="FFFF00"/>
            <w:noWrap/>
            <w:vAlign w:val="center"/>
          </w:tcPr>
          <w:p w:rsidR="00BE5847" w:rsidRPr="005A53B3" w:rsidRDefault="00BE5847" w:rsidP="005A53B3">
            <w:pPr>
              <w:spacing w:after="0" w:line="240" w:lineRule="auto"/>
              <w:jc w:val="center"/>
              <w:rPr>
                <w:rFonts w:cs="Arial"/>
                <w:color w:val="000000"/>
                <w:szCs w:val="20"/>
                <w:lang w:eastAsia="en-AU"/>
              </w:rPr>
            </w:pPr>
          </w:p>
        </w:tc>
        <w:tc>
          <w:tcPr>
            <w:tcW w:w="961" w:type="pct"/>
            <w:tcBorders>
              <w:top w:val="single" w:sz="4" w:space="0" w:color="auto"/>
              <w:left w:val="single" w:sz="4" w:space="0" w:color="auto"/>
              <w:bottom w:val="single" w:sz="4" w:space="0" w:color="auto"/>
              <w:right w:val="single" w:sz="4" w:space="0" w:color="auto"/>
            </w:tcBorders>
            <w:shd w:val="clear" w:color="000000" w:fill="FFFF00"/>
            <w:noWrap/>
            <w:vAlign w:val="center"/>
          </w:tcPr>
          <w:p w:rsidR="00BE5847" w:rsidRPr="005A53B3" w:rsidRDefault="00BE5847" w:rsidP="005A53B3">
            <w:pPr>
              <w:spacing w:after="0" w:line="240" w:lineRule="auto"/>
              <w:jc w:val="center"/>
              <w:rPr>
                <w:rFonts w:cs="Arial"/>
                <w:color w:val="000000"/>
                <w:szCs w:val="20"/>
                <w:lang w:eastAsia="en-AU"/>
              </w:rPr>
            </w:pPr>
          </w:p>
        </w:tc>
        <w:tc>
          <w:tcPr>
            <w:tcW w:w="951" w:type="pct"/>
            <w:tcBorders>
              <w:top w:val="single" w:sz="4" w:space="0" w:color="auto"/>
              <w:left w:val="single" w:sz="4" w:space="0" w:color="auto"/>
              <w:bottom w:val="single" w:sz="4" w:space="0" w:color="auto"/>
              <w:right w:val="single" w:sz="4" w:space="0" w:color="auto"/>
            </w:tcBorders>
            <w:shd w:val="clear" w:color="000000" w:fill="FFFF00"/>
            <w:noWrap/>
            <w:vAlign w:val="center"/>
          </w:tcPr>
          <w:p w:rsidR="00BE5847" w:rsidRPr="005A53B3" w:rsidRDefault="00BE5847" w:rsidP="005A53B3">
            <w:pPr>
              <w:spacing w:after="0" w:line="240" w:lineRule="auto"/>
              <w:jc w:val="center"/>
              <w:rPr>
                <w:rFonts w:cs="Arial"/>
                <w:color w:val="000000"/>
                <w:szCs w:val="20"/>
                <w:lang w:eastAsia="en-AU"/>
              </w:rPr>
            </w:pPr>
          </w:p>
        </w:tc>
        <w:tc>
          <w:tcPr>
            <w:tcW w:w="1019" w:type="pct"/>
            <w:tcBorders>
              <w:top w:val="single" w:sz="4" w:space="0" w:color="auto"/>
              <w:left w:val="single" w:sz="4" w:space="0" w:color="auto"/>
              <w:bottom w:val="single" w:sz="4" w:space="0" w:color="auto"/>
              <w:right w:val="single" w:sz="4" w:space="0" w:color="auto"/>
            </w:tcBorders>
            <w:shd w:val="clear" w:color="000000" w:fill="FFFF00"/>
            <w:noWrap/>
            <w:vAlign w:val="center"/>
          </w:tcPr>
          <w:p w:rsidR="00BE5847" w:rsidRPr="005A53B3" w:rsidRDefault="00BE5847" w:rsidP="005A53B3">
            <w:pPr>
              <w:spacing w:after="0" w:line="240" w:lineRule="auto"/>
              <w:jc w:val="center"/>
              <w:rPr>
                <w:rFonts w:cs="Arial"/>
                <w:color w:val="000000"/>
                <w:szCs w:val="20"/>
                <w:lang w:eastAsia="en-AU"/>
              </w:rPr>
            </w:pPr>
          </w:p>
        </w:tc>
      </w:tr>
      <w:tr w:rsidR="00BE5847" w:rsidRPr="005A53B3" w:rsidTr="005A53B3">
        <w:trPr>
          <w:trHeight w:val="300"/>
        </w:trPr>
        <w:tc>
          <w:tcPr>
            <w:tcW w:w="1151" w:type="pct"/>
            <w:vMerge w:val="restart"/>
            <w:tcBorders>
              <w:top w:val="nil"/>
              <w:left w:val="single" w:sz="4" w:space="0" w:color="auto"/>
              <w:right w:val="nil"/>
            </w:tcBorders>
            <w:shd w:val="clear" w:color="auto" w:fill="auto"/>
            <w:noWrap/>
            <w:vAlign w:val="center"/>
            <w:hideMark/>
          </w:tcPr>
          <w:p w:rsidR="00BE5847" w:rsidRPr="005A53B3" w:rsidRDefault="00BE5847" w:rsidP="005A53B3">
            <w:pPr>
              <w:spacing w:after="0" w:line="240" w:lineRule="auto"/>
              <w:jc w:val="left"/>
              <w:rPr>
                <w:rFonts w:cs="Arial"/>
                <w:color w:val="000000"/>
                <w:szCs w:val="20"/>
                <w:lang w:eastAsia="en-AU"/>
              </w:rPr>
            </w:pPr>
            <w:r w:rsidRPr="005A53B3">
              <w:rPr>
                <w:rFonts w:cs="Arial"/>
                <w:color w:val="000000"/>
                <w:szCs w:val="20"/>
                <w:lang w:eastAsia="en-AU"/>
              </w:rPr>
              <w:t>Courallie</w:t>
            </w:r>
          </w:p>
          <w:p w:rsidR="00BE5847" w:rsidRPr="005A53B3" w:rsidRDefault="00BE5847" w:rsidP="005A53B3">
            <w:pPr>
              <w:spacing w:after="0" w:line="240" w:lineRule="auto"/>
              <w:jc w:val="left"/>
              <w:rPr>
                <w:rFonts w:cs="Arial"/>
                <w:color w:val="000000"/>
                <w:szCs w:val="20"/>
                <w:lang w:eastAsia="en-AU"/>
              </w:rPr>
            </w:pPr>
          </w:p>
        </w:tc>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BE5847" w:rsidRPr="005A53B3" w:rsidRDefault="00BE5847" w:rsidP="005A53B3">
            <w:pPr>
              <w:spacing w:after="0" w:line="240" w:lineRule="auto"/>
              <w:jc w:val="center"/>
              <w:rPr>
                <w:rFonts w:cs="Arial"/>
                <w:color w:val="000000"/>
                <w:szCs w:val="20"/>
                <w:lang w:eastAsia="en-AU"/>
              </w:rPr>
            </w:pPr>
            <w:r w:rsidRPr="005A53B3">
              <w:rPr>
                <w:rFonts w:cs="Arial"/>
                <w:color w:val="000000"/>
                <w:szCs w:val="20"/>
                <w:lang w:eastAsia="en-AU"/>
              </w:rPr>
              <w:t>41</w:t>
            </w:r>
          </w:p>
        </w:tc>
        <w:tc>
          <w:tcPr>
            <w:tcW w:w="961" w:type="pct"/>
            <w:tcBorders>
              <w:top w:val="nil"/>
              <w:left w:val="nil"/>
              <w:bottom w:val="single" w:sz="4" w:space="0" w:color="auto"/>
              <w:right w:val="single" w:sz="4" w:space="0" w:color="auto"/>
            </w:tcBorders>
            <w:shd w:val="clear" w:color="auto" w:fill="auto"/>
            <w:noWrap/>
            <w:vAlign w:val="center"/>
            <w:hideMark/>
          </w:tcPr>
          <w:p w:rsidR="00BE5847" w:rsidRPr="005A53B3" w:rsidRDefault="00BE5847" w:rsidP="005A53B3">
            <w:pPr>
              <w:spacing w:after="0" w:line="240" w:lineRule="auto"/>
              <w:jc w:val="center"/>
              <w:rPr>
                <w:rFonts w:cs="Arial"/>
                <w:color w:val="000000"/>
                <w:szCs w:val="20"/>
                <w:lang w:eastAsia="en-AU"/>
              </w:rPr>
            </w:pPr>
            <w:r w:rsidRPr="005A53B3">
              <w:rPr>
                <w:rFonts w:cs="Arial"/>
                <w:color w:val="000000"/>
                <w:szCs w:val="20"/>
                <w:lang w:eastAsia="en-AU"/>
              </w:rPr>
              <w:t>92.4</w:t>
            </w:r>
          </w:p>
        </w:tc>
        <w:tc>
          <w:tcPr>
            <w:tcW w:w="951" w:type="pct"/>
            <w:tcBorders>
              <w:top w:val="nil"/>
              <w:left w:val="nil"/>
              <w:bottom w:val="single" w:sz="4" w:space="0" w:color="auto"/>
              <w:right w:val="single" w:sz="4" w:space="0" w:color="auto"/>
            </w:tcBorders>
            <w:shd w:val="clear" w:color="auto" w:fill="auto"/>
            <w:noWrap/>
            <w:vAlign w:val="center"/>
            <w:hideMark/>
          </w:tcPr>
          <w:p w:rsidR="00BE5847" w:rsidRPr="005A53B3" w:rsidRDefault="00BE5847" w:rsidP="005A53B3">
            <w:pPr>
              <w:spacing w:after="0" w:line="240" w:lineRule="auto"/>
              <w:jc w:val="center"/>
              <w:rPr>
                <w:rFonts w:cs="Arial"/>
                <w:color w:val="000000"/>
                <w:szCs w:val="20"/>
                <w:lang w:eastAsia="en-AU"/>
              </w:rPr>
            </w:pPr>
            <w:r w:rsidRPr="005A53B3">
              <w:rPr>
                <w:rFonts w:cs="Arial"/>
                <w:color w:val="000000"/>
                <w:szCs w:val="20"/>
                <w:lang w:eastAsia="en-AU"/>
              </w:rPr>
              <w:t>37.3</w:t>
            </w:r>
          </w:p>
        </w:tc>
        <w:tc>
          <w:tcPr>
            <w:tcW w:w="1019" w:type="pct"/>
            <w:tcBorders>
              <w:top w:val="nil"/>
              <w:left w:val="nil"/>
              <w:bottom w:val="single" w:sz="4" w:space="0" w:color="auto"/>
              <w:right w:val="single" w:sz="4" w:space="0" w:color="auto"/>
            </w:tcBorders>
            <w:shd w:val="clear" w:color="auto" w:fill="auto"/>
            <w:noWrap/>
            <w:vAlign w:val="center"/>
            <w:hideMark/>
          </w:tcPr>
          <w:p w:rsidR="00BE5847" w:rsidRPr="005A53B3" w:rsidRDefault="00BE5847" w:rsidP="005A53B3">
            <w:pPr>
              <w:spacing w:after="0" w:line="240" w:lineRule="auto"/>
              <w:jc w:val="center"/>
              <w:rPr>
                <w:rFonts w:cs="Arial"/>
                <w:color w:val="000000"/>
                <w:szCs w:val="20"/>
                <w:lang w:eastAsia="en-AU"/>
              </w:rPr>
            </w:pPr>
            <w:r w:rsidRPr="005A53B3">
              <w:rPr>
                <w:rFonts w:cs="Arial"/>
                <w:color w:val="000000"/>
                <w:szCs w:val="20"/>
                <w:lang w:eastAsia="en-AU"/>
              </w:rPr>
              <w:t>35.4</w:t>
            </w:r>
          </w:p>
        </w:tc>
      </w:tr>
      <w:tr w:rsidR="00BE5847" w:rsidRPr="005A53B3" w:rsidTr="005A53B3">
        <w:trPr>
          <w:trHeight w:val="113"/>
        </w:trPr>
        <w:tc>
          <w:tcPr>
            <w:tcW w:w="1151" w:type="pct"/>
            <w:vMerge/>
            <w:tcBorders>
              <w:left w:val="single" w:sz="4" w:space="0" w:color="auto"/>
              <w:bottom w:val="single" w:sz="4" w:space="0" w:color="auto"/>
              <w:right w:val="nil"/>
            </w:tcBorders>
            <w:shd w:val="clear" w:color="auto" w:fill="auto"/>
            <w:noWrap/>
            <w:vAlign w:val="center"/>
            <w:hideMark/>
          </w:tcPr>
          <w:p w:rsidR="00BE5847" w:rsidRPr="005A53B3" w:rsidRDefault="00BE5847" w:rsidP="005A53B3">
            <w:pPr>
              <w:spacing w:after="0" w:line="240" w:lineRule="auto"/>
              <w:jc w:val="left"/>
              <w:rPr>
                <w:rFonts w:cs="Arial"/>
                <w:color w:val="000000"/>
                <w:szCs w:val="20"/>
                <w:lang w:eastAsia="en-AU"/>
              </w:rPr>
            </w:pPr>
          </w:p>
        </w:tc>
        <w:tc>
          <w:tcPr>
            <w:tcW w:w="918" w:type="pct"/>
            <w:tcBorders>
              <w:top w:val="single" w:sz="4" w:space="0" w:color="auto"/>
              <w:left w:val="single" w:sz="4" w:space="0" w:color="auto"/>
              <w:bottom w:val="single" w:sz="4" w:space="0" w:color="auto"/>
              <w:right w:val="single" w:sz="4" w:space="0" w:color="auto"/>
            </w:tcBorders>
            <w:shd w:val="clear" w:color="000000" w:fill="A6D941"/>
            <w:noWrap/>
            <w:vAlign w:val="center"/>
          </w:tcPr>
          <w:p w:rsidR="00BE5847" w:rsidRPr="005A53B3" w:rsidRDefault="00BE5847" w:rsidP="005A53B3">
            <w:pPr>
              <w:spacing w:after="0" w:line="240" w:lineRule="auto"/>
              <w:jc w:val="center"/>
              <w:rPr>
                <w:rFonts w:cs="Arial"/>
                <w:color w:val="000000"/>
                <w:szCs w:val="20"/>
                <w:lang w:eastAsia="en-AU"/>
              </w:rPr>
            </w:pPr>
          </w:p>
        </w:tc>
        <w:tc>
          <w:tcPr>
            <w:tcW w:w="961" w:type="pct"/>
            <w:tcBorders>
              <w:top w:val="single" w:sz="4" w:space="0" w:color="auto"/>
              <w:left w:val="single" w:sz="4" w:space="0" w:color="auto"/>
              <w:bottom w:val="single" w:sz="4" w:space="0" w:color="auto"/>
              <w:right w:val="single" w:sz="4" w:space="0" w:color="auto"/>
            </w:tcBorders>
            <w:shd w:val="clear" w:color="000000" w:fill="173B5D"/>
            <w:noWrap/>
            <w:vAlign w:val="center"/>
          </w:tcPr>
          <w:p w:rsidR="00BE5847" w:rsidRPr="005A53B3" w:rsidRDefault="00BE5847" w:rsidP="005A53B3">
            <w:pPr>
              <w:spacing w:after="0" w:line="240" w:lineRule="auto"/>
              <w:jc w:val="center"/>
              <w:rPr>
                <w:rFonts w:cs="Arial"/>
                <w:color w:val="000000"/>
                <w:szCs w:val="20"/>
                <w:lang w:eastAsia="en-AU"/>
              </w:rPr>
            </w:pPr>
          </w:p>
        </w:tc>
        <w:tc>
          <w:tcPr>
            <w:tcW w:w="951" w:type="pct"/>
            <w:tcBorders>
              <w:top w:val="single" w:sz="4" w:space="0" w:color="auto"/>
              <w:left w:val="single" w:sz="4" w:space="0" w:color="auto"/>
              <w:bottom w:val="single" w:sz="4" w:space="0" w:color="auto"/>
              <w:right w:val="single" w:sz="4" w:space="0" w:color="auto"/>
            </w:tcBorders>
            <w:shd w:val="clear" w:color="000000" w:fill="AEDC3B"/>
            <w:noWrap/>
            <w:vAlign w:val="center"/>
          </w:tcPr>
          <w:p w:rsidR="00BE5847" w:rsidRPr="005A53B3" w:rsidRDefault="00BE5847" w:rsidP="005A53B3">
            <w:pPr>
              <w:spacing w:after="0" w:line="240" w:lineRule="auto"/>
              <w:jc w:val="center"/>
              <w:rPr>
                <w:rFonts w:cs="Arial"/>
                <w:color w:val="000000"/>
                <w:szCs w:val="20"/>
                <w:lang w:eastAsia="en-AU"/>
              </w:rPr>
            </w:pPr>
          </w:p>
        </w:tc>
        <w:tc>
          <w:tcPr>
            <w:tcW w:w="1019" w:type="pct"/>
            <w:tcBorders>
              <w:top w:val="single" w:sz="4" w:space="0" w:color="auto"/>
              <w:left w:val="single" w:sz="4" w:space="0" w:color="auto"/>
              <w:bottom w:val="single" w:sz="4" w:space="0" w:color="auto"/>
              <w:right w:val="single" w:sz="4" w:space="0" w:color="auto"/>
            </w:tcBorders>
            <w:shd w:val="clear" w:color="000000" w:fill="B2DE38"/>
            <w:noWrap/>
            <w:vAlign w:val="center"/>
          </w:tcPr>
          <w:p w:rsidR="00BE5847" w:rsidRPr="005A53B3" w:rsidRDefault="00BE5847" w:rsidP="005A53B3">
            <w:pPr>
              <w:spacing w:after="0" w:line="240" w:lineRule="auto"/>
              <w:jc w:val="center"/>
              <w:rPr>
                <w:rFonts w:cs="Arial"/>
                <w:color w:val="000000"/>
                <w:szCs w:val="20"/>
                <w:lang w:eastAsia="en-AU"/>
              </w:rPr>
            </w:pPr>
          </w:p>
        </w:tc>
      </w:tr>
      <w:tr w:rsidR="00BE5847" w:rsidRPr="005A53B3" w:rsidTr="005A53B3">
        <w:trPr>
          <w:trHeight w:val="300"/>
        </w:trPr>
        <w:tc>
          <w:tcPr>
            <w:tcW w:w="1151" w:type="pct"/>
            <w:vMerge w:val="restart"/>
            <w:tcBorders>
              <w:top w:val="single" w:sz="4" w:space="0" w:color="auto"/>
              <w:left w:val="single" w:sz="4" w:space="0" w:color="auto"/>
              <w:bottom w:val="single" w:sz="4" w:space="0" w:color="auto"/>
              <w:right w:val="nil"/>
            </w:tcBorders>
            <w:shd w:val="clear" w:color="auto" w:fill="auto"/>
            <w:noWrap/>
            <w:vAlign w:val="center"/>
            <w:hideMark/>
          </w:tcPr>
          <w:p w:rsidR="00BE5847" w:rsidRPr="005A53B3" w:rsidRDefault="00BE5847" w:rsidP="005A53B3">
            <w:pPr>
              <w:jc w:val="left"/>
              <w:rPr>
                <w:rFonts w:cs="Arial"/>
                <w:b/>
                <w:color w:val="000000"/>
                <w:szCs w:val="20"/>
              </w:rPr>
            </w:pPr>
            <w:r w:rsidRPr="005A53B3">
              <w:rPr>
                <w:rFonts w:cs="Arial"/>
                <w:b/>
                <w:color w:val="000000"/>
                <w:szCs w:val="20"/>
              </w:rPr>
              <w:t>Average (± S.E.)</w:t>
            </w:r>
          </w:p>
        </w:tc>
        <w:tc>
          <w:tcPr>
            <w:tcW w:w="918" w:type="pct"/>
            <w:vMerge w:val="restart"/>
            <w:tcBorders>
              <w:top w:val="nil"/>
              <w:left w:val="single" w:sz="4" w:space="0" w:color="auto"/>
              <w:right w:val="single" w:sz="4" w:space="0" w:color="auto"/>
            </w:tcBorders>
            <w:shd w:val="clear" w:color="auto" w:fill="auto"/>
            <w:noWrap/>
            <w:vAlign w:val="center"/>
            <w:hideMark/>
          </w:tcPr>
          <w:p w:rsidR="00BE5847" w:rsidRPr="005A53B3" w:rsidRDefault="00BE5847" w:rsidP="005A53B3">
            <w:pPr>
              <w:spacing w:after="0"/>
              <w:jc w:val="center"/>
              <w:rPr>
                <w:rFonts w:cs="Arial"/>
                <w:color w:val="000000"/>
                <w:szCs w:val="20"/>
              </w:rPr>
            </w:pPr>
            <w:r w:rsidRPr="005A53B3">
              <w:rPr>
                <w:rFonts w:cs="Arial"/>
                <w:color w:val="000000"/>
                <w:szCs w:val="20"/>
              </w:rPr>
              <w:t>NA</w:t>
            </w:r>
          </w:p>
        </w:tc>
        <w:tc>
          <w:tcPr>
            <w:tcW w:w="961" w:type="pct"/>
            <w:tcBorders>
              <w:top w:val="nil"/>
              <w:left w:val="nil"/>
              <w:bottom w:val="single" w:sz="4" w:space="0" w:color="auto"/>
              <w:right w:val="single" w:sz="4" w:space="0" w:color="auto"/>
            </w:tcBorders>
            <w:shd w:val="clear" w:color="auto" w:fill="auto"/>
            <w:noWrap/>
            <w:vAlign w:val="center"/>
            <w:hideMark/>
          </w:tcPr>
          <w:p w:rsidR="00BE5847" w:rsidRPr="005A53B3" w:rsidRDefault="00BE5847" w:rsidP="005A53B3">
            <w:pPr>
              <w:spacing w:after="0"/>
              <w:jc w:val="center"/>
              <w:rPr>
                <w:rFonts w:cs="Arial"/>
                <w:color w:val="000000"/>
                <w:szCs w:val="20"/>
              </w:rPr>
            </w:pPr>
            <w:r w:rsidRPr="005A53B3">
              <w:rPr>
                <w:rFonts w:cs="Arial"/>
                <w:color w:val="000000"/>
                <w:szCs w:val="20"/>
              </w:rPr>
              <w:t>44.2 (15.63)</w:t>
            </w:r>
          </w:p>
        </w:tc>
        <w:tc>
          <w:tcPr>
            <w:tcW w:w="951" w:type="pct"/>
            <w:tcBorders>
              <w:top w:val="nil"/>
              <w:left w:val="nil"/>
              <w:bottom w:val="single" w:sz="4" w:space="0" w:color="auto"/>
              <w:right w:val="single" w:sz="4" w:space="0" w:color="auto"/>
            </w:tcBorders>
            <w:shd w:val="clear" w:color="auto" w:fill="auto"/>
            <w:noWrap/>
            <w:vAlign w:val="center"/>
            <w:hideMark/>
          </w:tcPr>
          <w:p w:rsidR="00BE5847" w:rsidRPr="005A53B3" w:rsidRDefault="00BE5847" w:rsidP="005A53B3">
            <w:pPr>
              <w:spacing w:after="0"/>
              <w:jc w:val="center"/>
              <w:rPr>
                <w:rFonts w:cs="Arial"/>
                <w:color w:val="000000"/>
                <w:szCs w:val="20"/>
              </w:rPr>
            </w:pPr>
            <w:r w:rsidRPr="005A53B3">
              <w:rPr>
                <w:rFonts w:cs="Arial"/>
                <w:color w:val="000000"/>
                <w:szCs w:val="20"/>
              </w:rPr>
              <w:t>25.9 (9.09)</w:t>
            </w:r>
          </w:p>
        </w:tc>
        <w:tc>
          <w:tcPr>
            <w:tcW w:w="1019" w:type="pct"/>
            <w:tcBorders>
              <w:top w:val="nil"/>
              <w:left w:val="nil"/>
              <w:bottom w:val="single" w:sz="4" w:space="0" w:color="auto"/>
              <w:right w:val="single" w:sz="4" w:space="0" w:color="auto"/>
            </w:tcBorders>
            <w:shd w:val="clear" w:color="auto" w:fill="auto"/>
            <w:noWrap/>
            <w:vAlign w:val="center"/>
            <w:hideMark/>
          </w:tcPr>
          <w:p w:rsidR="00BE5847" w:rsidRPr="005A53B3" w:rsidRDefault="00BE5847" w:rsidP="005A53B3">
            <w:pPr>
              <w:spacing w:after="0"/>
              <w:jc w:val="center"/>
              <w:rPr>
                <w:rFonts w:cs="Arial"/>
                <w:color w:val="000000"/>
                <w:szCs w:val="20"/>
              </w:rPr>
            </w:pPr>
            <w:r w:rsidRPr="005A53B3">
              <w:rPr>
                <w:rFonts w:cs="Arial"/>
                <w:color w:val="000000"/>
                <w:szCs w:val="20"/>
              </w:rPr>
              <w:t>22.2 (7.74)</w:t>
            </w:r>
          </w:p>
        </w:tc>
      </w:tr>
      <w:tr w:rsidR="00BE5847" w:rsidRPr="005A53B3" w:rsidTr="005A53B3">
        <w:trPr>
          <w:trHeight w:val="113"/>
        </w:trPr>
        <w:tc>
          <w:tcPr>
            <w:tcW w:w="1151" w:type="pct"/>
            <w:vMerge/>
            <w:tcBorders>
              <w:left w:val="single" w:sz="4" w:space="0" w:color="auto"/>
              <w:bottom w:val="single" w:sz="4" w:space="0" w:color="auto"/>
              <w:right w:val="nil"/>
            </w:tcBorders>
            <w:shd w:val="clear" w:color="auto" w:fill="auto"/>
            <w:noWrap/>
            <w:vAlign w:val="center"/>
            <w:hideMark/>
          </w:tcPr>
          <w:p w:rsidR="00BE5847" w:rsidRPr="005A53B3" w:rsidRDefault="00BE5847" w:rsidP="005A53B3">
            <w:pPr>
              <w:spacing w:after="0" w:line="240" w:lineRule="auto"/>
              <w:jc w:val="center"/>
              <w:rPr>
                <w:rFonts w:cs="Arial"/>
                <w:color w:val="000000"/>
                <w:szCs w:val="20"/>
                <w:lang w:eastAsia="en-AU"/>
              </w:rPr>
            </w:pPr>
          </w:p>
        </w:tc>
        <w:tc>
          <w:tcPr>
            <w:tcW w:w="918" w:type="pct"/>
            <w:vMerge/>
            <w:tcBorders>
              <w:left w:val="single" w:sz="4" w:space="0" w:color="auto"/>
              <w:bottom w:val="single" w:sz="4" w:space="0" w:color="auto"/>
              <w:right w:val="single" w:sz="4" w:space="0" w:color="auto"/>
            </w:tcBorders>
            <w:shd w:val="clear" w:color="auto" w:fill="auto"/>
            <w:noWrap/>
            <w:vAlign w:val="center"/>
            <w:hideMark/>
          </w:tcPr>
          <w:p w:rsidR="00BE5847" w:rsidRPr="005A53B3" w:rsidRDefault="00BE5847" w:rsidP="005A53B3">
            <w:pPr>
              <w:spacing w:after="0" w:line="240" w:lineRule="auto"/>
              <w:jc w:val="center"/>
              <w:rPr>
                <w:rFonts w:cs="Arial"/>
                <w:color w:val="000000"/>
                <w:szCs w:val="20"/>
                <w:lang w:eastAsia="en-AU"/>
              </w:rPr>
            </w:pPr>
          </w:p>
        </w:tc>
        <w:tc>
          <w:tcPr>
            <w:tcW w:w="961" w:type="pct"/>
            <w:tcBorders>
              <w:top w:val="single" w:sz="4" w:space="0" w:color="auto"/>
              <w:left w:val="single" w:sz="4" w:space="0" w:color="auto"/>
              <w:bottom w:val="single" w:sz="4" w:space="0" w:color="auto"/>
              <w:right w:val="single" w:sz="4" w:space="0" w:color="auto"/>
            </w:tcBorders>
            <w:shd w:val="clear" w:color="000000" w:fill="9FD646"/>
            <w:noWrap/>
            <w:vAlign w:val="center"/>
          </w:tcPr>
          <w:p w:rsidR="00BE5847" w:rsidRPr="005A53B3" w:rsidRDefault="00BE5847" w:rsidP="005A53B3">
            <w:pPr>
              <w:spacing w:after="0" w:line="240" w:lineRule="auto"/>
              <w:jc w:val="center"/>
              <w:rPr>
                <w:rFonts w:cs="Arial"/>
                <w:color w:val="000000"/>
                <w:szCs w:val="20"/>
                <w:lang w:eastAsia="en-AU"/>
              </w:rPr>
            </w:pPr>
          </w:p>
        </w:tc>
        <w:tc>
          <w:tcPr>
            <w:tcW w:w="951" w:type="pct"/>
            <w:tcBorders>
              <w:top w:val="single" w:sz="4" w:space="0" w:color="auto"/>
              <w:left w:val="single" w:sz="4" w:space="0" w:color="auto"/>
              <w:bottom w:val="single" w:sz="4" w:space="0" w:color="auto"/>
              <w:right w:val="single" w:sz="4" w:space="0" w:color="auto"/>
            </w:tcBorders>
            <w:shd w:val="clear" w:color="000000" w:fill="C7E729"/>
            <w:noWrap/>
            <w:vAlign w:val="center"/>
          </w:tcPr>
          <w:p w:rsidR="00BE5847" w:rsidRPr="005A53B3" w:rsidRDefault="00BE5847" w:rsidP="005A53B3">
            <w:pPr>
              <w:spacing w:after="0" w:line="240" w:lineRule="auto"/>
              <w:jc w:val="center"/>
              <w:rPr>
                <w:rFonts w:cs="Arial"/>
                <w:color w:val="000000"/>
                <w:szCs w:val="20"/>
                <w:lang w:eastAsia="en-AU"/>
              </w:rPr>
            </w:pPr>
          </w:p>
        </w:tc>
        <w:tc>
          <w:tcPr>
            <w:tcW w:w="1019" w:type="pct"/>
            <w:tcBorders>
              <w:top w:val="single" w:sz="4" w:space="0" w:color="auto"/>
              <w:left w:val="single" w:sz="4" w:space="0" w:color="auto"/>
              <w:bottom w:val="single" w:sz="4" w:space="0" w:color="auto"/>
              <w:right w:val="single" w:sz="4" w:space="0" w:color="auto"/>
            </w:tcBorders>
            <w:shd w:val="clear" w:color="000000" w:fill="CFEB23"/>
            <w:noWrap/>
            <w:vAlign w:val="center"/>
          </w:tcPr>
          <w:p w:rsidR="00BE5847" w:rsidRPr="005A53B3" w:rsidRDefault="00BE5847" w:rsidP="005A53B3">
            <w:pPr>
              <w:spacing w:after="0" w:line="240" w:lineRule="auto"/>
              <w:jc w:val="center"/>
              <w:rPr>
                <w:rFonts w:cs="Arial"/>
                <w:color w:val="000000"/>
                <w:szCs w:val="20"/>
                <w:lang w:eastAsia="en-AU"/>
              </w:rPr>
            </w:pPr>
          </w:p>
        </w:tc>
      </w:tr>
    </w:tbl>
    <w:p w:rsidR="00BE5847" w:rsidRDefault="00BE5847" w:rsidP="00423C6C">
      <w:pPr>
        <w:spacing w:after="0" w:line="240" w:lineRule="auto"/>
        <w:ind w:left="720" w:hanging="720"/>
        <w:rPr>
          <w:b/>
          <w:i/>
        </w:rPr>
      </w:pPr>
    </w:p>
    <w:p w:rsidR="00423C6C" w:rsidRPr="00655A6E" w:rsidRDefault="00423C6C" w:rsidP="00655A6E">
      <w:pPr>
        <w:pStyle w:val="Heading7"/>
      </w:pPr>
      <w:r w:rsidRPr="00655A6E">
        <w:t>Discussion</w:t>
      </w:r>
    </w:p>
    <w:p w:rsidR="00A5046E" w:rsidRDefault="002159C6" w:rsidP="00E23B8D">
      <w:pPr>
        <w:rPr>
          <w:bCs/>
        </w:rPr>
      </w:pPr>
      <w:r>
        <w:t xml:space="preserve">The most recent drought experienced across much of north-western NSW in 2015-16 has undoubtedly had an effect on the fish across the lower Gwydir </w:t>
      </w:r>
      <w:r w:rsidR="00BE5847">
        <w:t>catchment</w:t>
      </w:r>
      <w:r>
        <w:t xml:space="preserve">. </w:t>
      </w:r>
      <w:r w:rsidR="00A97349">
        <w:t xml:space="preserve"> </w:t>
      </w:r>
      <w:r>
        <w:t xml:space="preserve">Based on the results of the current round of sampling and on the findings of previous </w:t>
      </w:r>
      <w:r w:rsidRPr="00B50028">
        <w:t xml:space="preserve">studies (e.g. </w:t>
      </w:r>
      <w:r w:rsidRPr="00B50028">
        <w:rPr>
          <w:lang w:eastAsia="en-AU"/>
        </w:rPr>
        <w:t xml:space="preserve">Murray–Darling Basin Authority 2012; Southwell </w:t>
      </w:r>
      <w:r w:rsidRPr="00B50028">
        <w:rPr>
          <w:i/>
          <w:lang w:eastAsia="en-AU"/>
        </w:rPr>
        <w:t xml:space="preserve">et al. </w:t>
      </w:r>
      <w:r w:rsidRPr="00B50028">
        <w:rPr>
          <w:lang w:eastAsia="en-AU"/>
        </w:rPr>
        <w:t xml:space="preserve">2015; </w:t>
      </w:r>
      <w:r>
        <w:rPr>
          <w:lang w:eastAsia="en-AU"/>
        </w:rPr>
        <w:t>Commonwealth of Australia</w:t>
      </w:r>
      <w:r w:rsidRPr="00B50028">
        <w:rPr>
          <w:i/>
          <w:lang w:eastAsia="en-AU"/>
        </w:rPr>
        <w:t xml:space="preserve"> </w:t>
      </w:r>
      <w:r w:rsidRPr="00B50028">
        <w:rPr>
          <w:lang w:eastAsia="en-AU"/>
        </w:rPr>
        <w:t>2015)</w:t>
      </w:r>
      <w:r w:rsidRPr="00B50028">
        <w:t xml:space="preserve">, the </w:t>
      </w:r>
      <w:r>
        <w:t xml:space="preserve">native fish diversity across the lower Gwydir </w:t>
      </w:r>
      <w:r w:rsidR="00BE5847">
        <w:t>catchment</w:t>
      </w:r>
      <w:r>
        <w:t xml:space="preserve"> appears to be relatively stable, but the fish community in general </w:t>
      </w:r>
      <w:r w:rsidR="00335E92">
        <w:t>is i</w:t>
      </w:r>
      <w:r>
        <w:t xml:space="preserve">n very poor condition. Among the large-bodied species present, almost all were in relatively low numbers and their distribution could be described as patchy at best.  Species such as </w:t>
      </w:r>
      <w:r w:rsidRPr="00FA0DFE">
        <w:t xml:space="preserve">freshwater catfish, silver perch, golden perch and spangled perch </w:t>
      </w:r>
      <w:r w:rsidRPr="00FA0DFE">
        <w:rPr>
          <w:bCs/>
        </w:rPr>
        <w:t xml:space="preserve">were all reported historically to be highly abundant across the lower Gwydir </w:t>
      </w:r>
      <w:r>
        <w:rPr>
          <w:bCs/>
        </w:rPr>
        <w:t xml:space="preserve">(Copeland </w:t>
      </w:r>
      <w:r w:rsidRPr="00335E92">
        <w:rPr>
          <w:bCs/>
        </w:rPr>
        <w:t>et al.</w:t>
      </w:r>
      <w:r>
        <w:rPr>
          <w:bCs/>
          <w:i/>
        </w:rPr>
        <w:t xml:space="preserve"> </w:t>
      </w:r>
      <w:r>
        <w:rPr>
          <w:bCs/>
        </w:rPr>
        <w:t>2003)</w:t>
      </w:r>
      <w:r>
        <w:rPr>
          <w:bCs/>
          <w:i/>
        </w:rPr>
        <w:t xml:space="preserve"> </w:t>
      </w:r>
      <w:r w:rsidRPr="00FA0DFE">
        <w:rPr>
          <w:bCs/>
        </w:rPr>
        <w:t xml:space="preserve">but </w:t>
      </w:r>
      <w:r>
        <w:rPr>
          <w:bCs/>
        </w:rPr>
        <w:t xml:space="preserve">only </w:t>
      </w:r>
      <w:r w:rsidRPr="00FA0DFE">
        <w:rPr>
          <w:bCs/>
        </w:rPr>
        <w:t xml:space="preserve">relatively </w:t>
      </w:r>
      <w:r>
        <w:rPr>
          <w:bCs/>
        </w:rPr>
        <w:t>low</w:t>
      </w:r>
      <w:r w:rsidRPr="00FA0DFE">
        <w:rPr>
          <w:bCs/>
        </w:rPr>
        <w:t xml:space="preserve"> numbers of all </w:t>
      </w:r>
      <w:r>
        <w:rPr>
          <w:bCs/>
        </w:rPr>
        <w:t>four have been recorded in the first two years of the LTIM project.</w:t>
      </w:r>
      <w:r w:rsidRPr="00FA0DFE">
        <w:rPr>
          <w:bCs/>
        </w:rPr>
        <w:t xml:space="preserve">  </w:t>
      </w:r>
    </w:p>
    <w:p w:rsidR="00A5046E" w:rsidRDefault="002159C6" w:rsidP="00E23B8D">
      <w:r>
        <w:t>W</w:t>
      </w:r>
      <w:r w:rsidRPr="00FA0DFE">
        <w:t xml:space="preserve">ith the exception of carp gudgeon, all </w:t>
      </w:r>
      <w:r>
        <w:t xml:space="preserve">the </w:t>
      </w:r>
      <w:r w:rsidRPr="00FA0DFE">
        <w:t xml:space="preserve">small-bodied species had declined in number and all </w:t>
      </w:r>
      <w:r>
        <w:t>were in low abundance</w:t>
      </w:r>
      <w:r w:rsidRPr="00FA0DFE">
        <w:t xml:space="preserve"> </w:t>
      </w:r>
      <w:r>
        <w:t xml:space="preserve">compared </w:t>
      </w:r>
      <w:r w:rsidR="00BE5847">
        <w:t>with</w:t>
      </w:r>
      <w:r w:rsidRPr="00FA0DFE">
        <w:t xml:space="preserve"> </w:t>
      </w:r>
      <w:r>
        <w:t xml:space="preserve">2014-15. </w:t>
      </w:r>
      <w:r w:rsidR="00A97349">
        <w:t xml:space="preserve"> </w:t>
      </w:r>
      <w:r>
        <w:t xml:space="preserve">This is most likely linked to the dry conditions experienced across the much of the lower Gwydir </w:t>
      </w:r>
      <w:r w:rsidR="00BE5847">
        <w:t>catchment</w:t>
      </w:r>
      <w:r>
        <w:t xml:space="preserve"> 2015-16. </w:t>
      </w:r>
      <w:r w:rsidR="00A97349">
        <w:t xml:space="preserve"> </w:t>
      </w:r>
      <w:r>
        <w:t>There were also a number of small-bodied species missing from fish assemblage including the threatened o</w:t>
      </w:r>
      <w:r w:rsidRPr="00C85C42">
        <w:t>live perchlet</w:t>
      </w:r>
      <w:r>
        <w:t>.</w:t>
      </w:r>
      <w:r w:rsidR="00A97349">
        <w:t xml:space="preserve"> </w:t>
      </w:r>
      <w:r>
        <w:t xml:space="preserve"> Recent sampling in the lower Gingham </w:t>
      </w:r>
      <w:r w:rsidR="001C3C04">
        <w:t>watercourse</w:t>
      </w:r>
      <w:r>
        <w:t xml:space="preserve"> as part of the wider Gwydir LTIM program (</w:t>
      </w:r>
      <w:r w:rsidR="00A5046E">
        <w:fldChar w:fldCharType="begin"/>
      </w:r>
      <w:r w:rsidR="00A5046E">
        <w:instrText xml:space="preserve"> REF _Ref458695528 \r \h </w:instrText>
      </w:r>
      <w:r w:rsidR="00E23B8D">
        <w:instrText xml:space="preserve"> \* MERGEFORMAT </w:instrText>
      </w:r>
      <w:r w:rsidR="00A5046E">
        <w:fldChar w:fldCharType="separate"/>
      </w:r>
      <w:r w:rsidR="005D5925">
        <w:t>Appendix H</w:t>
      </w:r>
      <w:r w:rsidR="00A5046E">
        <w:fldChar w:fldCharType="end"/>
      </w:r>
      <w:r>
        <w:t xml:space="preserve">) caught a number of olive perchlet using fyke nets. </w:t>
      </w:r>
      <w:r w:rsidR="00A97349">
        <w:t xml:space="preserve"> </w:t>
      </w:r>
      <w:r>
        <w:t xml:space="preserve">While the lack of numbers in our sample could be attributed to the sampling methods used, it is more likely a reflection on the low abundance and patchy distribution of the species in the system. </w:t>
      </w:r>
      <w:r w:rsidR="00A97349">
        <w:t xml:space="preserve"> </w:t>
      </w:r>
      <w:r>
        <w:t xml:space="preserve">Additionally, olive perchlet are considered as floodplain or off-channel specialists and have specific spawning habitat requirements, generally in the form of aquatic macrophytes or inundated terrestrial plants (Pusey </w:t>
      </w:r>
      <w:r w:rsidRPr="00335E92">
        <w:t>et al.</w:t>
      </w:r>
      <w:r>
        <w:rPr>
          <w:i/>
        </w:rPr>
        <w:t xml:space="preserve"> </w:t>
      </w:r>
      <w:r>
        <w:t xml:space="preserve">2004). </w:t>
      </w:r>
      <w:r w:rsidR="00A97349">
        <w:t xml:space="preserve"> </w:t>
      </w:r>
      <w:r>
        <w:t>As such, the chances of catching olive perchlet is relatively remote given that all</w:t>
      </w:r>
      <w:r w:rsidR="00A5046E">
        <w:t xml:space="preserve"> sampling for the Fish (River) indicator</w:t>
      </w:r>
      <w:r>
        <w:t xml:space="preserve"> is undertaken within main channel habitats, that the species is in low abundance, and also due to there being far fewer macrophytes than they were pre-river regulation, particularly in the main channel (Wilson </w:t>
      </w:r>
      <w:r w:rsidRPr="00335E92">
        <w:t>et al.</w:t>
      </w:r>
      <w:r>
        <w:rPr>
          <w:i/>
        </w:rPr>
        <w:t xml:space="preserve"> </w:t>
      </w:r>
      <w:r>
        <w:t xml:space="preserve">2009).  </w:t>
      </w:r>
    </w:p>
    <w:p w:rsidR="00A5046E" w:rsidRDefault="002159C6" w:rsidP="00E23B8D">
      <w:r>
        <w:t>Unlike the majority of species sampled, bony herring and carp gudgeon increased in abundance by orders of magnitude between year 1 and 2 of sampling.</w:t>
      </w:r>
      <w:r w:rsidR="00A97349">
        <w:t xml:space="preserve"> </w:t>
      </w:r>
      <w:r>
        <w:t xml:space="preserve"> Whilst a number of factors may have contributed to this phenomenon, it was most likely a result of the very different flow regimes experienced across the two spring-summer seasons of 2014-15 and 2015-16. In 2014-15, discharge across much of the system tended to be artificially high and stable from October 2014 through to February 2015, whilst in 2015-16 higher discharge events were intermittent and sporadic, interspersed with extended periods of low discharge.</w:t>
      </w:r>
      <w:r w:rsidR="00A97349">
        <w:t xml:space="preserve"> </w:t>
      </w:r>
      <w:r>
        <w:t xml:space="preserve"> Rivers experiencing prolonged and artificially high discharge regimes like that of lower Gwydir during 2015 tend to have reduced stream metabolism due to factors such as increased turbidity, lower water temperatures, higher flow rates and lower nutrient availability (O’Conner </w:t>
      </w:r>
      <w:r w:rsidRPr="00335E92">
        <w:t>et al.</w:t>
      </w:r>
      <w:r>
        <w:rPr>
          <w:i/>
        </w:rPr>
        <w:t xml:space="preserve"> </w:t>
      </w:r>
      <w:r>
        <w:t>2012)</w:t>
      </w:r>
      <w:r w:rsidR="00A97349">
        <w:t xml:space="preserve">. </w:t>
      </w:r>
      <w:r>
        <w:t xml:space="preserve"> Whilst the exact shape of a pre-European hydrograph for the system is unquantifiable for the lower Gwydir </w:t>
      </w:r>
      <w:r w:rsidR="00335E92">
        <w:t>c</w:t>
      </w:r>
      <w:r w:rsidR="00BE5847">
        <w:t>atchment</w:t>
      </w:r>
      <w:r w:rsidR="00335E92">
        <w:t xml:space="preserve">, given the summer </w:t>
      </w:r>
      <w:r>
        <w:t>storm</w:t>
      </w:r>
      <w:r w:rsidR="00335E92">
        <w:t xml:space="preserve"> </w:t>
      </w:r>
      <w:r>
        <w:t>driven nature of the area</w:t>
      </w:r>
      <w:r w:rsidR="00335E92">
        <w:t>’</w:t>
      </w:r>
      <w:r>
        <w:t>s climate and the background drought conditions experienced over the 2015-16 pre-sample period, the 2015-16 hy</w:t>
      </w:r>
      <w:r w:rsidR="00335E92">
        <w:t>drograph most likely more closely</w:t>
      </w:r>
      <w:r>
        <w:t xml:space="preserve"> represents a na</w:t>
      </w:r>
      <w:r w:rsidR="00A97349">
        <w:t xml:space="preserve">tural flow regime than that of </w:t>
      </w:r>
      <w:r>
        <w:t xml:space="preserve">2014-15 hydrograph. </w:t>
      </w:r>
      <w:r w:rsidR="00A97349">
        <w:t xml:space="preserve"> </w:t>
      </w:r>
      <w:r>
        <w:t xml:space="preserve">Both bony herring and carp gudgeon fit within the “generalists” Functional Group, which means as a species they are resilient and may even flourish during extended periods of low in-channel flows (Baumgartner </w:t>
      </w:r>
      <w:r>
        <w:rPr>
          <w:i/>
        </w:rPr>
        <w:t>et al</w:t>
      </w:r>
      <w:r>
        <w:t xml:space="preserve">. 2014; Bice </w:t>
      </w:r>
      <w:r>
        <w:rPr>
          <w:i/>
        </w:rPr>
        <w:t xml:space="preserve">et al. </w:t>
      </w:r>
      <w:r>
        <w:t xml:space="preserve">2014). </w:t>
      </w:r>
      <w:r w:rsidR="00A97349">
        <w:t xml:space="preserve"> </w:t>
      </w:r>
      <w:r>
        <w:t xml:space="preserve">Additionally, Baumgartner </w:t>
      </w:r>
      <w:r w:rsidRPr="00335E92">
        <w:t>et al.</w:t>
      </w:r>
      <w:r w:rsidR="00335E92">
        <w:rPr>
          <w:i/>
        </w:rPr>
        <w:t xml:space="preserve"> </w:t>
      </w:r>
      <w:r>
        <w:t xml:space="preserve">(2014) suggested that small in-channel increases in river discharge to inundate benches will mostly likely also result in increased spawning and recruitment among some “generalist” species, which is what appears may have occurred with carp gudgeon.  </w:t>
      </w:r>
    </w:p>
    <w:p w:rsidR="00A5046E" w:rsidRDefault="002159C6" w:rsidP="00E23B8D">
      <w:r>
        <w:t xml:space="preserve">In comparison to 2014-15, the overall biomass of exotic species was considerably less than in the current 2015-16 sampling round. </w:t>
      </w:r>
      <w:r w:rsidR="00A97349">
        <w:t xml:space="preserve"> </w:t>
      </w:r>
      <w:r w:rsidRPr="003E6156">
        <w:t xml:space="preserve">Common carp </w:t>
      </w:r>
      <w:r>
        <w:t>were also lower in abundance; however, e</w:t>
      </w:r>
      <w:r w:rsidRPr="00237E2C">
        <w:t>astern mosquitofish</w:t>
      </w:r>
      <w:r>
        <w:t xml:space="preserve"> numbers had increased by orders of magnitude. </w:t>
      </w:r>
      <w:r w:rsidR="00A97349">
        <w:t xml:space="preserve"> </w:t>
      </w:r>
      <w:r>
        <w:t>Similar to carp gudgeon, mosquito</w:t>
      </w:r>
      <w:r w:rsidR="00335E92">
        <w:t>fish while classified as “flood</w:t>
      </w:r>
      <w:r>
        <w:t>plain specialist” in the Northern Murray-Darling Basin (</w:t>
      </w:r>
      <w:r w:rsidRPr="00CC0EE2">
        <w:rPr>
          <w:lang w:eastAsia="en-AU"/>
        </w:rPr>
        <w:t>NSW De</w:t>
      </w:r>
      <w:r>
        <w:rPr>
          <w:lang w:eastAsia="en-AU"/>
        </w:rPr>
        <w:t xml:space="preserve">partment of Primary Industries </w:t>
      </w:r>
      <w:r w:rsidRPr="00CC0EE2">
        <w:rPr>
          <w:lang w:eastAsia="en-AU"/>
        </w:rPr>
        <w:t>2015)</w:t>
      </w:r>
      <w:r>
        <w:rPr>
          <w:lang w:eastAsia="en-AU"/>
        </w:rPr>
        <w:t xml:space="preserve">, </w:t>
      </w:r>
      <w:r>
        <w:t xml:space="preserve">can boom in times of low flow in the main channel, utilizing backwaters and the slow-flowing habitats to breed and recruit. </w:t>
      </w:r>
      <w:r w:rsidR="00A97349">
        <w:t xml:space="preserve"> </w:t>
      </w:r>
      <w:r>
        <w:t>This can result in large increases in numbers over very short periods of time (</w:t>
      </w:r>
      <w:r>
        <w:rPr>
          <w:sz w:val="19"/>
          <w:szCs w:val="19"/>
        </w:rPr>
        <w:t>Macdonald and Tonkin 2008)</w:t>
      </w:r>
      <w:r>
        <w:t xml:space="preserve">. Conversely, </w:t>
      </w:r>
      <w:r w:rsidRPr="00C40AC8">
        <w:t>common carp while considered a “generalist” (</w:t>
      </w:r>
      <w:r w:rsidRPr="00C40AC8">
        <w:rPr>
          <w:lang w:eastAsia="en-AU"/>
        </w:rPr>
        <w:t xml:space="preserve">NSW Department of Primary Industries 2015), </w:t>
      </w:r>
      <w:r>
        <w:rPr>
          <w:lang w:eastAsia="en-AU"/>
        </w:rPr>
        <w:t>are reported to dramatically increase in number</w:t>
      </w:r>
      <w:r w:rsidRPr="00C40AC8">
        <w:rPr>
          <w:lang w:eastAsia="en-AU"/>
        </w:rPr>
        <w:t xml:space="preserve"> following high discharge events that inundate floodplain and wetland habitats (</w:t>
      </w:r>
      <w:r w:rsidRPr="00C40AC8">
        <w:t xml:space="preserve">Stuart and Jones 2006; </w:t>
      </w:r>
      <w:r w:rsidRPr="00C40AC8">
        <w:rPr>
          <w:bCs/>
          <w:lang w:eastAsia="en-AU"/>
        </w:rPr>
        <w:t xml:space="preserve">Southwell </w:t>
      </w:r>
      <w:r w:rsidRPr="00C40AC8">
        <w:rPr>
          <w:bCs/>
          <w:i/>
          <w:lang w:eastAsia="en-AU"/>
        </w:rPr>
        <w:t xml:space="preserve">et al. </w:t>
      </w:r>
      <w:r w:rsidRPr="00C40AC8">
        <w:rPr>
          <w:bCs/>
          <w:lang w:eastAsia="en-AU"/>
        </w:rPr>
        <w:t>2015</w:t>
      </w:r>
      <w:r>
        <w:t xml:space="preserve">). </w:t>
      </w:r>
      <w:r w:rsidR="00A97349">
        <w:t xml:space="preserve"> </w:t>
      </w:r>
      <w:r>
        <w:t>W</w:t>
      </w:r>
      <w:r w:rsidRPr="00C40AC8">
        <w:t xml:space="preserve">hile </w:t>
      </w:r>
      <w:r w:rsidRPr="00C40AC8">
        <w:rPr>
          <w:lang w:eastAsia="en-AU"/>
        </w:rPr>
        <w:t xml:space="preserve">breeding and recruiting </w:t>
      </w:r>
      <w:r>
        <w:rPr>
          <w:lang w:eastAsia="en-AU"/>
        </w:rPr>
        <w:t xml:space="preserve">of common carp </w:t>
      </w:r>
      <w:r w:rsidRPr="00C40AC8">
        <w:rPr>
          <w:lang w:eastAsia="en-AU"/>
        </w:rPr>
        <w:t>still take</w:t>
      </w:r>
      <w:r>
        <w:rPr>
          <w:lang w:eastAsia="en-AU"/>
        </w:rPr>
        <w:t>s</w:t>
      </w:r>
      <w:r w:rsidRPr="00C40AC8">
        <w:rPr>
          <w:lang w:eastAsia="en-AU"/>
        </w:rPr>
        <w:t xml:space="preserve"> place </w:t>
      </w:r>
      <w:r>
        <w:rPr>
          <w:lang w:eastAsia="en-AU"/>
        </w:rPr>
        <w:t>when discharge is</w:t>
      </w:r>
      <w:r w:rsidRPr="00C40AC8">
        <w:rPr>
          <w:lang w:eastAsia="en-AU"/>
        </w:rPr>
        <w:t xml:space="preserve"> </w:t>
      </w:r>
      <w:r>
        <w:rPr>
          <w:lang w:eastAsia="en-AU"/>
        </w:rPr>
        <w:t xml:space="preserve">restricted to </w:t>
      </w:r>
      <w:r w:rsidRPr="00C40AC8">
        <w:rPr>
          <w:lang w:eastAsia="en-AU"/>
        </w:rPr>
        <w:t xml:space="preserve">in-channel </w:t>
      </w:r>
      <w:r>
        <w:rPr>
          <w:lang w:eastAsia="en-AU"/>
        </w:rPr>
        <w:t>only</w:t>
      </w:r>
      <w:r w:rsidRPr="00C40AC8">
        <w:rPr>
          <w:lang w:eastAsia="en-AU"/>
        </w:rPr>
        <w:t xml:space="preserve">, it is generally at much reduced levels and </w:t>
      </w:r>
      <w:r>
        <w:rPr>
          <w:lang w:eastAsia="en-AU"/>
        </w:rPr>
        <w:t xml:space="preserve">subsequently </w:t>
      </w:r>
      <w:r w:rsidRPr="00C40AC8">
        <w:rPr>
          <w:lang w:eastAsia="en-AU"/>
        </w:rPr>
        <w:t xml:space="preserve">the population </w:t>
      </w:r>
      <w:r>
        <w:rPr>
          <w:lang w:eastAsia="en-AU"/>
        </w:rPr>
        <w:t>tends to</w:t>
      </w:r>
      <w:r w:rsidRPr="00C40AC8">
        <w:rPr>
          <w:lang w:eastAsia="en-AU"/>
        </w:rPr>
        <w:t xml:space="preserve"> </w:t>
      </w:r>
      <w:r>
        <w:rPr>
          <w:lang w:eastAsia="en-AU"/>
        </w:rPr>
        <w:t xml:space="preserve">become dominated by adults. </w:t>
      </w:r>
      <w:r w:rsidR="00A97349">
        <w:rPr>
          <w:lang w:eastAsia="en-AU"/>
        </w:rPr>
        <w:t xml:space="preserve"> </w:t>
      </w:r>
      <w:r>
        <w:rPr>
          <w:lang w:eastAsia="en-AU"/>
        </w:rPr>
        <w:t xml:space="preserve">Both the lower overall number and limited recruitment of common carp, and the higher numbers of eastern mosquitofish, is most likely a direct result of the flow regime experienced across the lower Gwydir </w:t>
      </w:r>
      <w:r w:rsidR="00335E92">
        <w:rPr>
          <w:lang w:eastAsia="en-AU"/>
        </w:rPr>
        <w:t>c</w:t>
      </w:r>
      <w:r w:rsidR="00BE5847">
        <w:rPr>
          <w:lang w:eastAsia="en-AU"/>
        </w:rPr>
        <w:t>atchment</w:t>
      </w:r>
      <w:r>
        <w:rPr>
          <w:lang w:eastAsia="en-AU"/>
        </w:rPr>
        <w:t xml:space="preserve"> in 2015-16.</w:t>
      </w:r>
      <w:r>
        <w:t xml:space="preserve"> </w:t>
      </w:r>
    </w:p>
    <w:p w:rsidR="00A5046E" w:rsidRPr="00E23B8D" w:rsidRDefault="002159C6" w:rsidP="00E23B8D">
      <w:r w:rsidRPr="0063683C">
        <w:t xml:space="preserve">The absence of recruits among a number of the native species </w:t>
      </w:r>
      <w:r>
        <w:t xml:space="preserve">sampled </w:t>
      </w:r>
      <w:r w:rsidRPr="0063683C">
        <w:t xml:space="preserve">in the current round may </w:t>
      </w:r>
      <w:r>
        <w:t>to some degree be</w:t>
      </w:r>
      <w:r w:rsidRPr="0063683C">
        <w:t xml:space="preserve"> </w:t>
      </w:r>
      <w:r>
        <w:t>the result of</w:t>
      </w:r>
      <w:r w:rsidRPr="0063683C">
        <w:t xml:space="preserve"> </w:t>
      </w:r>
      <w:r>
        <w:t xml:space="preserve">their various life-history strategies of individual species. </w:t>
      </w:r>
      <w:r w:rsidR="00A97349">
        <w:t xml:space="preserve"> </w:t>
      </w:r>
      <w:r w:rsidRPr="0063683C">
        <w:t>Long-lived species (&gt;</w:t>
      </w:r>
      <w:r>
        <w:t xml:space="preserve"> </w:t>
      </w:r>
      <w:r w:rsidRPr="0063683C">
        <w:t>10 years) such as Murray cod, golden perch, freshwater catfish and silver perch don’t generally recruit in large numbers on an annual basis and effectively can persist by having only small numbers of offspring for any number of years, followed by a year or years of high recruitment when conditions are favo</w:t>
      </w:r>
      <w:r w:rsidR="00A5046E">
        <w:t>u</w:t>
      </w:r>
      <w:r w:rsidRPr="0063683C">
        <w:t>rable (</w:t>
      </w:r>
      <w:r>
        <w:t xml:space="preserve">e.g. </w:t>
      </w:r>
      <w:r w:rsidRPr="0063683C">
        <w:t xml:space="preserve">Faulks </w:t>
      </w:r>
      <w:r w:rsidRPr="0063683C">
        <w:rPr>
          <w:i/>
        </w:rPr>
        <w:t>et al.</w:t>
      </w:r>
      <w:r w:rsidRPr="0063683C">
        <w:t xml:space="preserve"> 2010). </w:t>
      </w:r>
      <w:r w:rsidR="00A97349">
        <w:t xml:space="preserve"> </w:t>
      </w:r>
      <w:r w:rsidRPr="0063683C">
        <w:t xml:space="preserve">Similarly, medium-lived species (&lt; 10 years) such as spangled perch and bony herring can also persist by having </w:t>
      </w:r>
      <w:r>
        <w:t>a number of years of low levels of</w:t>
      </w:r>
      <w:r w:rsidRPr="0063683C">
        <w:t xml:space="preserve"> recruitment followed by “boom” years of high recruitment (Puckridge and Walker 1990). </w:t>
      </w:r>
      <w:r w:rsidR="00A97349">
        <w:t xml:space="preserve"> </w:t>
      </w:r>
      <w:r>
        <w:t xml:space="preserve">However, while long and medium-lived species can cope with intermittent recruitment, regular </w:t>
      </w:r>
      <w:r w:rsidRPr="00014121">
        <w:t xml:space="preserve">recruitment </w:t>
      </w:r>
      <w:r>
        <w:t>is critical for</w:t>
      </w:r>
      <w:r w:rsidRPr="00014121">
        <w:t xml:space="preserve"> </w:t>
      </w:r>
      <w:r>
        <w:t xml:space="preserve">most </w:t>
      </w:r>
      <w:r w:rsidRPr="00014121">
        <w:t>small-bodied species</w:t>
      </w:r>
      <w:r>
        <w:t>.</w:t>
      </w:r>
      <w:r w:rsidR="00A97349">
        <w:t xml:space="preserve"> </w:t>
      </w:r>
      <w:r>
        <w:t xml:space="preserve"> In general, the majority of small-bodied species </w:t>
      </w:r>
      <w:r w:rsidRPr="00014121">
        <w:t xml:space="preserve">only live for one to </w:t>
      </w:r>
      <w:r>
        <w:t>two</w:t>
      </w:r>
      <w:r w:rsidRPr="00014121">
        <w:t xml:space="preserve"> years</w:t>
      </w:r>
      <w:r>
        <w:t xml:space="preserve">, meaning they must recruit </w:t>
      </w:r>
      <w:r w:rsidRPr="00014121">
        <w:t>annual</w:t>
      </w:r>
      <w:r>
        <w:t>ly</w:t>
      </w:r>
      <w:r w:rsidRPr="00014121">
        <w:t xml:space="preserve"> or even intra-annual</w:t>
      </w:r>
      <w:r>
        <w:t xml:space="preserve">ly to survive. </w:t>
      </w:r>
      <w:r w:rsidR="00A97349">
        <w:t xml:space="preserve"> </w:t>
      </w:r>
      <w:r>
        <w:t xml:space="preserve">However, while needing to recruit annually, “boom” years of recruitment </w:t>
      </w:r>
      <w:r w:rsidRPr="00014121">
        <w:t xml:space="preserve">can also </w:t>
      </w:r>
      <w:r>
        <w:t xml:space="preserve">help short-lived species persist </w:t>
      </w:r>
      <w:r w:rsidRPr="00014121">
        <w:t>across multiple years</w:t>
      </w:r>
      <w:r>
        <w:t xml:space="preserve">. </w:t>
      </w:r>
      <w:r w:rsidR="00A97349">
        <w:t xml:space="preserve"> </w:t>
      </w:r>
      <w:r>
        <w:t xml:space="preserve">During seasons of high river discharge and floodplain inundation, numbers can increase exponentially for some short-lived species, driving dispersal and movement into a multitude of different habitat types (Bond </w:t>
      </w:r>
      <w:r>
        <w:rPr>
          <w:i/>
        </w:rPr>
        <w:t xml:space="preserve">et al. </w:t>
      </w:r>
      <w:r>
        <w:t xml:space="preserve">2008). </w:t>
      </w:r>
      <w:r w:rsidR="00A97349">
        <w:t xml:space="preserve"> </w:t>
      </w:r>
      <w:r>
        <w:t>As conditions become drier and the waters contract, small numbers of</w:t>
      </w:r>
      <w:r w:rsidRPr="00964557">
        <w:t xml:space="preserve"> the </w:t>
      </w:r>
      <w:r>
        <w:t xml:space="preserve">original </w:t>
      </w:r>
      <w:r w:rsidRPr="00964557">
        <w:t xml:space="preserve">population </w:t>
      </w:r>
      <w:r>
        <w:t>will persist,</w:t>
      </w:r>
      <w:r w:rsidRPr="00964557">
        <w:t xml:space="preserve"> breed and recruit </w:t>
      </w:r>
      <w:r>
        <w:t>in refugia, whilst the remainder may perish</w:t>
      </w:r>
      <w:r w:rsidRPr="00014121">
        <w:t xml:space="preserve">.  </w:t>
      </w:r>
      <w:r>
        <w:t>Alternatively, dry years can favour non-flow dependent short-lived species such as carp gudgeon, which can breed and recruit in large numbers by utilizing back-waters and the edges of the main-channels when flows are low.  Th</w:t>
      </w:r>
      <w:r w:rsidRPr="00014121">
        <w:t>is r</w:t>
      </w:r>
      <w:r>
        <w:t>ecruitment</w:t>
      </w:r>
      <w:r w:rsidRPr="00014121">
        <w:t xml:space="preserve"> </w:t>
      </w:r>
      <w:r>
        <w:t xml:space="preserve">paradigm appears to </w:t>
      </w:r>
      <w:r w:rsidRPr="00014121">
        <w:t xml:space="preserve">be occurring </w:t>
      </w:r>
      <w:r>
        <w:t xml:space="preserve">in the lower Gwydir for at least some species, with examples being species such as </w:t>
      </w:r>
      <w:r w:rsidRPr="00014121">
        <w:t xml:space="preserve">bony bream and carp gudgeon, and </w:t>
      </w:r>
      <w:r>
        <w:t xml:space="preserve">possibly but </w:t>
      </w:r>
      <w:r w:rsidRPr="00014121">
        <w:t>to a lesser degree</w:t>
      </w:r>
      <w:r>
        <w:t>,</w:t>
      </w:r>
      <w:r w:rsidRPr="00014121">
        <w:t xml:space="preserve"> Murray cod and spangled perch</w:t>
      </w:r>
      <w:r>
        <w:t xml:space="preserve">. </w:t>
      </w:r>
      <w:r w:rsidR="00A97349">
        <w:t xml:space="preserve"> </w:t>
      </w:r>
      <w:r>
        <w:t>However</w:t>
      </w:r>
      <w:r w:rsidRPr="00014121">
        <w:t xml:space="preserve">, </w:t>
      </w:r>
      <w:r>
        <w:t xml:space="preserve">while these few species are at least partially operating as “normal populations”, a number of species such as golden and silver perch, and freshwater catfish </w:t>
      </w:r>
      <w:r w:rsidRPr="00014121">
        <w:t xml:space="preserve">may </w:t>
      </w:r>
      <w:r>
        <w:t xml:space="preserve">well </w:t>
      </w:r>
      <w:r w:rsidRPr="00014121">
        <w:t xml:space="preserve">be below the critical </w:t>
      </w:r>
      <w:r>
        <w:t>level</w:t>
      </w:r>
      <w:r w:rsidRPr="00014121">
        <w:t xml:space="preserve"> to take advantage of </w:t>
      </w:r>
      <w:r>
        <w:t>what for them may be an</w:t>
      </w:r>
      <w:r w:rsidRPr="00014121">
        <w:t xml:space="preserve"> optimal breeding season</w:t>
      </w:r>
      <w:r>
        <w:t xml:space="preserve"> when it does occur</w:t>
      </w:r>
      <w:r w:rsidRPr="00014121">
        <w:t xml:space="preserve">. </w:t>
      </w:r>
      <w:r w:rsidR="00A97349">
        <w:t xml:space="preserve"> </w:t>
      </w:r>
      <w:r w:rsidRPr="00014121">
        <w:t>As such</w:t>
      </w:r>
      <w:r>
        <w:t>,</w:t>
      </w:r>
      <w:r w:rsidRPr="00014121">
        <w:t xml:space="preserve"> </w:t>
      </w:r>
      <w:r>
        <w:t xml:space="preserve">complimentary actions such as </w:t>
      </w:r>
      <w:r w:rsidRPr="00014121">
        <w:t xml:space="preserve">translocation or restocking </w:t>
      </w:r>
      <w:r>
        <w:t>may be</w:t>
      </w:r>
      <w:r w:rsidRPr="00014121">
        <w:t xml:space="preserve"> required to facilitate recovery of </w:t>
      </w:r>
      <w:r>
        <w:t xml:space="preserve">these </w:t>
      </w:r>
      <w:r w:rsidRPr="00014121">
        <w:t xml:space="preserve">species.    </w:t>
      </w:r>
    </w:p>
    <w:p w:rsidR="002159C6" w:rsidRDefault="002159C6" w:rsidP="002159C6">
      <w:pPr>
        <w:spacing w:after="240"/>
      </w:pPr>
      <w:r w:rsidRPr="0063683C">
        <w:t xml:space="preserve">The Fish Health scores </w:t>
      </w:r>
      <w:r>
        <w:t xml:space="preserve">for sites in </w:t>
      </w:r>
      <w:r w:rsidRPr="0063683C">
        <w:t xml:space="preserve">the current sampling round suggest the fish communities in all four zones across the lower Gwydir </w:t>
      </w:r>
      <w:r w:rsidR="00335E92">
        <w:t>c</w:t>
      </w:r>
      <w:r w:rsidR="00BE5847">
        <w:t>atchment</w:t>
      </w:r>
      <w:r w:rsidRPr="0063683C">
        <w:t xml:space="preserve"> are in a highly stressed state. </w:t>
      </w:r>
      <w:r w:rsidR="00A97349">
        <w:t xml:space="preserve"> </w:t>
      </w:r>
      <w:r w:rsidRPr="0063683C">
        <w:t>The scores for the three indices (</w:t>
      </w:r>
      <w:r w:rsidRPr="0063683C">
        <w:rPr>
          <w:i/>
        </w:rPr>
        <w:t>Expectedness</w:t>
      </w:r>
      <w:r w:rsidRPr="0063683C">
        <w:t xml:space="preserve">, </w:t>
      </w:r>
      <w:r w:rsidRPr="0063683C">
        <w:rPr>
          <w:i/>
        </w:rPr>
        <w:t>Nativeness</w:t>
      </w:r>
      <w:r w:rsidRPr="0063683C">
        <w:t xml:space="preserve">, and </w:t>
      </w:r>
      <w:r w:rsidRPr="0063683C">
        <w:rPr>
          <w:i/>
        </w:rPr>
        <w:t>Recruitment</w:t>
      </w:r>
      <w:r w:rsidRPr="0063683C">
        <w:t xml:space="preserve">) and for </w:t>
      </w:r>
      <w:r w:rsidRPr="0063683C">
        <w:rPr>
          <w:i/>
        </w:rPr>
        <w:t>Overall Fish Condition</w:t>
      </w:r>
      <w:r w:rsidRPr="0063683C">
        <w:t xml:space="preserve"> (</w:t>
      </w:r>
      <w:r w:rsidRPr="0063683C">
        <w:rPr>
          <w:i/>
        </w:rPr>
        <w:t>ndx-FS</w:t>
      </w:r>
      <w:r w:rsidRPr="0063683C">
        <w:t xml:space="preserve">) were either similar to </w:t>
      </w:r>
      <w:r>
        <w:t>2014-15</w:t>
      </w:r>
      <w:r w:rsidRPr="0063683C">
        <w:t xml:space="preserve"> or had declined, both at the site as well as the zone scale. </w:t>
      </w:r>
      <w:r w:rsidR="00A97349">
        <w:t xml:space="preserve"> </w:t>
      </w:r>
      <w:r w:rsidRPr="0063683C">
        <w:t xml:space="preserve">Whilst the results of the current sampling round could be said to be somewhat influenced by the generally low water levels and by the </w:t>
      </w:r>
      <w:r>
        <w:t xml:space="preserve">relatively large </w:t>
      </w:r>
      <w:r w:rsidRPr="0063683C">
        <w:t>number of “dry sites”</w:t>
      </w:r>
      <w:r>
        <w:t xml:space="preserve"> that could not be sample at all</w:t>
      </w:r>
      <w:r w:rsidRPr="0063683C">
        <w:t xml:space="preserve">, </w:t>
      </w:r>
      <w:r>
        <w:t>t</w:t>
      </w:r>
      <w:r w:rsidRPr="0063683C">
        <w:t xml:space="preserve">he similarity </w:t>
      </w:r>
      <w:r>
        <w:t xml:space="preserve">of the 2015-16 results </w:t>
      </w:r>
      <w:r w:rsidRPr="0063683C">
        <w:t xml:space="preserve">to the </w:t>
      </w:r>
      <w:r>
        <w:t>2014-15</w:t>
      </w:r>
      <w:r w:rsidRPr="0063683C">
        <w:t xml:space="preserve"> results (</w:t>
      </w:r>
      <w:r>
        <w:rPr>
          <w:lang w:eastAsia="en-AU"/>
        </w:rPr>
        <w:t>Commonwealth of Australia</w:t>
      </w:r>
      <w:r w:rsidRPr="0063683C">
        <w:rPr>
          <w:i/>
          <w:lang w:eastAsia="en-AU"/>
        </w:rPr>
        <w:t xml:space="preserve"> </w:t>
      </w:r>
      <w:r w:rsidRPr="0063683C">
        <w:rPr>
          <w:lang w:eastAsia="en-AU"/>
        </w:rPr>
        <w:t xml:space="preserve">2015) </w:t>
      </w:r>
      <w:r w:rsidRPr="0063683C">
        <w:t xml:space="preserve">and the results of previous studies (e.g. </w:t>
      </w:r>
      <w:r w:rsidRPr="0063683C">
        <w:rPr>
          <w:lang w:eastAsia="en-AU"/>
        </w:rPr>
        <w:t xml:space="preserve">Murray–Darling Basin Authority 2012; Southwell </w:t>
      </w:r>
      <w:r w:rsidRPr="0063683C">
        <w:rPr>
          <w:i/>
          <w:lang w:eastAsia="en-AU"/>
        </w:rPr>
        <w:t xml:space="preserve">et al. </w:t>
      </w:r>
      <w:r w:rsidRPr="0063683C">
        <w:rPr>
          <w:lang w:eastAsia="en-AU"/>
        </w:rPr>
        <w:t>2015)</w:t>
      </w:r>
      <w:r>
        <w:t>,</w:t>
      </w:r>
      <w:r w:rsidRPr="0063683C">
        <w:t xml:space="preserve"> suggests that the </w:t>
      </w:r>
      <w:r>
        <w:t>scores</w:t>
      </w:r>
      <w:r w:rsidRPr="0063683C">
        <w:t xml:space="preserve"> truly reflect the state of the fish communities in the lower Gwydir </w:t>
      </w:r>
      <w:r w:rsidR="00335E92">
        <w:t>c</w:t>
      </w:r>
      <w:r w:rsidR="00BE5847">
        <w:t>atchment</w:t>
      </w:r>
      <w:r>
        <w:t xml:space="preserve">. </w:t>
      </w:r>
      <w:r w:rsidR="00A97349">
        <w:t xml:space="preserve"> </w:t>
      </w:r>
      <w:r>
        <w:t xml:space="preserve">As such, the recovery of individual species and of the whole fish community as a whole can at best be expected to be slow.  </w:t>
      </w:r>
    </w:p>
    <w:p w:rsidR="002159C6" w:rsidRDefault="002159C6" w:rsidP="002159C6">
      <w:pPr>
        <w:rPr>
          <w:color w:val="FF0000"/>
        </w:rPr>
      </w:pPr>
      <w:r>
        <w:t xml:space="preserve">The effects of river regulation, habitat degradation, and the introduction of exotic species has and continues to inhibit the recovery of native fish across the lower Gwydir </w:t>
      </w:r>
      <w:r w:rsidR="00335E92">
        <w:t>c</w:t>
      </w:r>
      <w:r w:rsidR="00BE5847">
        <w:t>atchment</w:t>
      </w:r>
      <w:r>
        <w:t>.</w:t>
      </w:r>
      <w:r w:rsidR="00A97349">
        <w:t xml:space="preserve"> </w:t>
      </w:r>
      <w:r>
        <w:t xml:space="preserve"> No one native species can be said to be in good or even fair condition across the four hydrological zones as a collective or in most cases, even within a single hydrological zone. </w:t>
      </w:r>
      <w:r w:rsidR="00A97349">
        <w:t xml:space="preserve"> </w:t>
      </w:r>
      <w:r>
        <w:t xml:space="preserve">As such, whilst the implementation of managed environmental </w:t>
      </w:r>
      <w:r w:rsidR="00335E92">
        <w:t>water</w:t>
      </w:r>
      <w:r>
        <w:t xml:space="preserve"> will assist in maintaining and in some cases possibly enhancing native fish populations or individual species in the lower Gwydir </w:t>
      </w:r>
      <w:r w:rsidR="00BE5847">
        <w:t>Catchment</w:t>
      </w:r>
      <w:r>
        <w:t>, as stated in reporting for Year 1 of the Gwydir LTIM program (Commonwealth of Australia</w:t>
      </w:r>
      <w:r w:rsidRPr="00B50028">
        <w:rPr>
          <w:i/>
          <w:lang w:eastAsia="en-AU"/>
        </w:rPr>
        <w:t xml:space="preserve"> </w:t>
      </w:r>
      <w:r w:rsidRPr="00B50028">
        <w:rPr>
          <w:lang w:eastAsia="en-AU"/>
        </w:rPr>
        <w:t>2015</w:t>
      </w:r>
      <w:r>
        <w:rPr>
          <w:lang w:eastAsia="en-AU"/>
        </w:rPr>
        <w:t>)</w:t>
      </w:r>
      <w:r>
        <w:t xml:space="preserve">, complementary actions in conjunction with environmental water will be required to bring about the long-term recovery of fish in the system.    </w:t>
      </w:r>
    </w:p>
    <w:p w:rsidR="00423C6C" w:rsidRPr="008649B9" w:rsidRDefault="00423C6C" w:rsidP="00655A6E">
      <w:pPr>
        <w:pStyle w:val="Heading7"/>
      </w:pPr>
      <w:r>
        <w:t>Conclusion</w:t>
      </w:r>
    </w:p>
    <w:p w:rsidR="00A5046E" w:rsidRPr="00916C5E" w:rsidRDefault="002159C6" w:rsidP="00E23B8D">
      <w:r w:rsidRPr="00916C5E">
        <w:t>This report documents two years out of a total of five where fish community monitoring will take place for the Gwydir LTIM program.</w:t>
      </w:r>
      <w:r w:rsidR="00A97349">
        <w:t xml:space="preserve"> </w:t>
      </w:r>
      <w:r w:rsidRPr="00916C5E">
        <w:t xml:space="preserve"> Given the low abundance and restricted distribution of many of the native species present within the system, as well as the absence or virtual absence of a number of large and small-bodied species, suggests that any significant and measurable improvement in the fish community is likely to take some considerable time.  Whilst the timeline for this is uncertain, ongoing monitoring is critical to ensure that as recovery actions are put in place, including the release of environmental water, any improvement or detrimental outcomes can be quantified, allowing adaptive management practices to drive future activities.</w:t>
      </w:r>
    </w:p>
    <w:p w:rsidR="00916C5E" w:rsidRPr="00E23B8D" w:rsidRDefault="002159C6" w:rsidP="00E23B8D">
      <w:r w:rsidRPr="00916C5E">
        <w:t>Major observations and recommendations from the current sampling round in relation to the four specific questions posed:</w:t>
      </w:r>
    </w:p>
    <w:p w:rsidR="002159C6" w:rsidRPr="00E23B8D" w:rsidRDefault="002159C6" w:rsidP="00E23B8D">
      <w:pPr>
        <w:pStyle w:val="Bullets1"/>
        <w:tabs>
          <w:tab w:val="clear" w:pos="720"/>
          <w:tab w:val="clear" w:pos="1134"/>
        </w:tabs>
        <w:spacing w:after="200"/>
        <w:ind w:left="1134" w:hanging="567"/>
        <w:contextualSpacing/>
        <w:rPr>
          <w:rFonts w:cs="Arial"/>
          <w:szCs w:val="20"/>
        </w:rPr>
      </w:pPr>
      <w:r w:rsidRPr="00E23B8D">
        <w:rPr>
          <w:rFonts w:cs="Arial"/>
          <w:szCs w:val="20"/>
        </w:rPr>
        <w:t>What did Commonwealth environmental water contribute to native fish community resilience?</w:t>
      </w:r>
    </w:p>
    <w:p w:rsidR="00335E92" w:rsidRPr="00E23B8D" w:rsidRDefault="002159C6" w:rsidP="00E23B8D">
      <w:r w:rsidRPr="00916C5E">
        <w:t>Given the generally dry conditions experienced across much of the lower Gwydir during 2015-16</w:t>
      </w:r>
      <w:r w:rsidR="00335E92">
        <w:t>,</w:t>
      </w:r>
      <w:r w:rsidRPr="00916C5E">
        <w:t xml:space="preserve"> without environmental water the general condition of the fish community may have been worse.</w:t>
      </w:r>
      <w:r w:rsidR="00A97349">
        <w:t xml:space="preserve"> </w:t>
      </w:r>
      <w:r w:rsidRPr="00916C5E">
        <w:t xml:space="preserve"> While not seen as a major use </w:t>
      </w:r>
      <w:r w:rsidR="00335E92">
        <w:t>for</w:t>
      </w:r>
      <w:r w:rsidRPr="00916C5E">
        <w:t xml:space="preserve"> environmental water, this highlights that it can be used to not only enhance activities such as breeding and recruitment, but can also be used to enhance survival during periods of time considered as less than optimal. </w:t>
      </w:r>
      <w:r w:rsidR="00A97349">
        <w:t xml:space="preserve"> </w:t>
      </w:r>
      <w:r w:rsidRPr="00916C5E">
        <w:t xml:space="preserve">Managing and using environmental water adaptively and not purely as an enhancement tool will help to future proof fish communities in smaller rivers like those across the lower Gwydir </w:t>
      </w:r>
      <w:r w:rsidR="00335E92">
        <w:t>c</w:t>
      </w:r>
      <w:r w:rsidR="00BE5847">
        <w:t>atchment</w:t>
      </w:r>
      <w:r w:rsidRPr="00916C5E">
        <w:t>.</w:t>
      </w:r>
    </w:p>
    <w:p w:rsidR="002159C6" w:rsidRPr="00E23B8D" w:rsidRDefault="002159C6" w:rsidP="00E23B8D">
      <w:pPr>
        <w:pStyle w:val="Bullets1"/>
        <w:tabs>
          <w:tab w:val="clear" w:pos="720"/>
          <w:tab w:val="clear" w:pos="1134"/>
        </w:tabs>
        <w:spacing w:after="200"/>
        <w:ind w:left="1134" w:hanging="567"/>
        <w:contextualSpacing/>
        <w:rPr>
          <w:rFonts w:cs="Arial"/>
          <w:szCs w:val="20"/>
        </w:rPr>
      </w:pPr>
      <w:r w:rsidRPr="00916C5E">
        <w:rPr>
          <w:rFonts w:cs="Arial"/>
          <w:szCs w:val="20"/>
        </w:rPr>
        <w:t xml:space="preserve">What did Commonwealth environmental water contribute to native fish survival? </w:t>
      </w:r>
    </w:p>
    <w:p w:rsidR="00916C5E" w:rsidRPr="00E23B8D" w:rsidRDefault="002159C6" w:rsidP="00E23B8D">
      <w:pPr>
        <w:rPr>
          <w:lang w:val="en"/>
        </w:rPr>
      </w:pPr>
      <w:r w:rsidRPr="00916C5E">
        <w:t xml:space="preserve">Given that the majority of systems across the lower Gwydir </w:t>
      </w:r>
      <w:r w:rsidR="00335E92">
        <w:t>c</w:t>
      </w:r>
      <w:r w:rsidR="00BE5847">
        <w:t>atchment</w:t>
      </w:r>
      <w:r w:rsidRPr="00916C5E">
        <w:t xml:space="preserve"> had all but ceased to flow by March 2016 and most had contracted to a series of refugia pools, highlights the part that environmental </w:t>
      </w:r>
      <w:r w:rsidR="00A37BEE">
        <w:t>water</w:t>
      </w:r>
      <w:r w:rsidRPr="00916C5E">
        <w:t xml:space="preserve"> can play in ensuring survival of native fish during periods of low flow. </w:t>
      </w:r>
      <w:r w:rsidR="00A97349">
        <w:t xml:space="preserve"> </w:t>
      </w:r>
      <w:r w:rsidRPr="00916C5E">
        <w:t>As a reaction to the prolonged no-flow in the system, CEWH and Water NSW in collaboration with Office of Environment and Heritage (OEH) NSW</w:t>
      </w:r>
      <w:r w:rsidRPr="00916C5E">
        <w:rPr>
          <w:lang w:val="en"/>
        </w:rPr>
        <w:t xml:space="preserve"> </w:t>
      </w:r>
      <w:r w:rsidRPr="00916C5E">
        <w:t xml:space="preserve">released a controlled environmental flow </w:t>
      </w:r>
      <w:r w:rsidRPr="00916C5E">
        <w:rPr>
          <w:lang w:val="en"/>
        </w:rPr>
        <w:t>in mid-April</w:t>
      </w:r>
      <w:r w:rsidRPr="00916C5E">
        <w:t xml:space="preserve"> </w:t>
      </w:r>
      <w:r w:rsidRPr="00916C5E">
        <w:rPr>
          <w:lang w:val="en"/>
        </w:rPr>
        <w:t xml:space="preserve">to the Gwydir and </w:t>
      </w:r>
      <w:r w:rsidR="001C3C04">
        <w:rPr>
          <w:lang w:val="en"/>
        </w:rPr>
        <w:t>lower</w:t>
      </w:r>
      <w:r w:rsidRPr="00916C5E">
        <w:rPr>
          <w:lang w:val="en"/>
        </w:rPr>
        <w:t xml:space="preserve"> Gwydir Rivers, Gingham </w:t>
      </w:r>
      <w:r w:rsidR="001C3C04">
        <w:rPr>
          <w:lang w:val="en"/>
        </w:rPr>
        <w:t>watercourse</w:t>
      </w:r>
      <w:r w:rsidRPr="00916C5E">
        <w:rPr>
          <w:lang w:val="en"/>
        </w:rPr>
        <w:t>, Mehi River and Carole Creek.</w:t>
      </w:r>
      <w:r w:rsidR="00A97349">
        <w:rPr>
          <w:lang w:val="en"/>
        </w:rPr>
        <w:t xml:space="preserve"> </w:t>
      </w:r>
      <w:r w:rsidRPr="00916C5E">
        <w:rPr>
          <w:lang w:val="en"/>
        </w:rPr>
        <w:t xml:space="preserve"> This preceded a much larger event planned for May.</w:t>
      </w:r>
      <w:r w:rsidR="00A97349">
        <w:rPr>
          <w:lang w:val="en"/>
        </w:rPr>
        <w:t xml:space="preserve"> </w:t>
      </w:r>
      <w:r w:rsidRPr="00916C5E">
        <w:rPr>
          <w:lang w:val="en"/>
        </w:rPr>
        <w:t xml:space="preserve"> </w:t>
      </w:r>
      <w:r w:rsidR="00A37BEE">
        <w:rPr>
          <w:lang w:val="en"/>
        </w:rPr>
        <w:t>T</w:t>
      </w:r>
      <w:r w:rsidRPr="00916C5E">
        <w:rPr>
          <w:lang w:val="en"/>
        </w:rPr>
        <w:t xml:space="preserve">he earlier small event was to ensure that the larger May event would not cause blackwater issues resulting in fish kills. </w:t>
      </w:r>
      <w:r w:rsidR="00A97349">
        <w:rPr>
          <w:lang w:val="en"/>
        </w:rPr>
        <w:t xml:space="preserve"> </w:t>
      </w:r>
      <w:r w:rsidRPr="00916C5E">
        <w:rPr>
          <w:lang w:val="en"/>
        </w:rPr>
        <w:t xml:space="preserve">This again highlights the role adaptive management can play in environmental water releases and ultimately the long-term survival and enhancement of the fish community across the lower Gwydir.  </w:t>
      </w:r>
    </w:p>
    <w:p w:rsidR="002159C6" w:rsidRPr="00E23B8D" w:rsidRDefault="002159C6" w:rsidP="00E23B8D">
      <w:pPr>
        <w:pStyle w:val="Bullets1"/>
        <w:tabs>
          <w:tab w:val="clear" w:pos="720"/>
          <w:tab w:val="clear" w:pos="1134"/>
        </w:tabs>
        <w:spacing w:after="200"/>
        <w:ind w:left="1134" w:hanging="567"/>
        <w:contextualSpacing/>
        <w:rPr>
          <w:rFonts w:cs="Arial"/>
          <w:szCs w:val="20"/>
        </w:rPr>
      </w:pPr>
      <w:r w:rsidRPr="00916C5E">
        <w:rPr>
          <w:rFonts w:cs="Arial"/>
          <w:szCs w:val="20"/>
        </w:rPr>
        <w:t xml:space="preserve">What did Commonwealth environmental water contribute to native fish populations? </w:t>
      </w:r>
    </w:p>
    <w:p w:rsidR="00916C5E" w:rsidRPr="00916C5E" w:rsidRDefault="002159C6" w:rsidP="00E23B8D">
      <w:r w:rsidRPr="00916C5E">
        <w:t xml:space="preserve">Over the period 2015-16, much of the lower Gwydir </w:t>
      </w:r>
      <w:r w:rsidR="009E7B98">
        <w:t>c</w:t>
      </w:r>
      <w:r w:rsidR="00BE5847">
        <w:t>atchment</w:t>
      </w:r>
      <w:r w:rsidRPr="00916C5E">
        <w:t xml:space="preserve"> was dry for long periods, with little natural or environmental </w:t>
      </w:r>
      <w:r w:rsidR="009E7B98">
        <w:t>water</w:t>
      </w:r>
      <w:r w:rsidRPr="00916C5E">
        <w:t xml:space="preserve"> passing through the system. </w:t>
      </w:r>
      <w:r w:rsidR="00A97349">
        <w:t xml:space="preserve"> </w:t>
      </w:r>
      <w:r w:rsidRPr="00916C5E">
        <w:t xml:space="preserve">Whilst this was not ideal for ‘flow dependent’ specialists like silver perch and golden perch, the drier conditions suited other species such as bony herring and carp gudgeon, which were both in much higher abundances compared to 2014-15. </w:t>
      </w:r>
      <w:r w:rsidR="00A97349">
        <w:t xml:space="preserve"> </w:t>
      </w:r>
      <w:r w:rsidRPr="00916C5E">
        <w:t>What this highlights is that environmental flow management is not only about releasing water but also about managing periods of no releases for species that thrive under lower flow conditions.</w:t>
      </w:r>
      <w:r w:rsidR="00A97349">
        <w:t xml:space="preserve"> </w:t>
      </w:r>
      <w:r w:rsidRPr="00916C5E">
        <w:t xml:space="preserve"> With this said and as discussed above, the release of “crisis” environmental flows in April across the lower Gwydir potentially averted larger issues related to later flows and likely also helped fish in remnant or refugia pools to survive. </w:t>
      </w:r>
    </w:p>
    <w:p w:rsidR="002159C6" w:rsidRPr="00E23B8D" w:rsidRDefault="002159C6" w:rsidP="00E23B8D">
      <w:pPr>
        <w:pStyle w:val="Bullets1"/>
        <w:tabs>
          <w:tab w:val="clear" w:pos="720"/>
          <w:tab w:val="clear" w:pos="1134"/>
        </w:tabs>
        <w:spacing w:after="200"/>
        <w:ind w:left="1134" w:hanging="567"/>
        <w:contextualSpacing/>
        <w:rPr>
          <w:rFonts w:cs="Arial"/>
          <w:szCs w:val="20"/>
        </w:rPr>
      </w:pPr>
      <w:r w:rsidRPr="00E23B8D">
        <w:rPr>
          <w:rFonts w:cs="Arial"/>
          <w:szCs w:val="20"/>
        </w:rPr>
        <w:t xml:space="preserve">What did Commonwealth environmental water contribute to native fish diversity? </w:t>
      </w:r>
    </w:p>
    <w:p w:rsidR="00423C6C" w:rsidRDefault="002159C6" w:rsidP="00E23B8D">
      <w:r w:rsidRPr="00916C5E">
        <w:t xml:space="preserve">Based on the </w:t>
      </w:r>
      <w:r w:rsidRPr="00916C5E">
        <w:rPr>
          <w:i/>
        </w:rPr>
        <w:t xml:space="preserve">Expectedness </w:t>
      </w:r>
      <w:r w:rsidRPr="00916C5E">
        <w:t>values, the native fish diversity in the lower Gwydir is c</w:t>
      </w:r>
      <w:r w:rsidR="009E7B98">
        <w:t>lose to pre-European levels, al</w:t>
      </w:r>
      <w:r w:rsidRPr="00916C5E">
        <w:t>b</w:t>
      </w:r>
      <w:r w:rsidR="009E7B98">
        <w:t>e</w:t>
      </w:r>
      <w:r w:rsidRPr="00916C5E">
        <w:t xml:space="preserve">it at much reduced abundances. </w:t>
      </w:r>
      <w:r w:rsidR="00A97349">
        <w:t xml:space="preserve"> </w:t>
      </w:r>
      <w:r w:rsidRPr="00916C5E">
        <w:t xml:space="preserve">Two species not recorded in 2014-15 were caught in 2015-16, and olive perchlet were also caught in the Gingham as part of the wider Gwydir LTIM program. </w:t>
      </w:r>
      <w:r w:rsidR="00A97349">
        <w:t xml:space="preserve"> </w:t>
      </w:r>
      <w:r w:rsidRPr="00916C5E">
        <w:t xml:space="preserve">While there is no direct link between the presence of these species and environmental water, their mere occurrence offers hope for future enhancement activities including e-water releases, in that it shows these species can survive, grow and possibly reproduce in at least some parts of the Gwydir </w:t>
      </w:r>
      <w:r w:rsidR="00BE5847">
        <w:t>Catchment</w:t>
      </w:r>
      <w:r w:rsidRPr="00916C5E">
        <w:t xml:space="preserve">.  </w:t>
      </w:r>
    </w:p>
    <w:p w:rsidR="00423C6C" w:rsidRDefault="00423C6C" w:rsidP="00655A6E">
      <w:pPr>
        <w:pStyle w:val="Heading7"/>
      </w:pPr>
      <w:r>
        <w:t>References</w:t>
      </w:r>
    </w:p>
    <w:p w:rsidR="00423C6C" w:rsidRDefault="00423C6C" w:rsidP="009F0217">
      <w:r w:rsidRPr="00A97CCA">
        <w:t xml:space="preserve">Anderson, M.J., Gorley, R.N., </w:t>
      </w:r>
      <w:r w:rsidR="009F0217">
        <w:t>&amp;</w:t>
      </w:r>
      <w:r w:rsidRPr="00A97CCA">
        <w:t xml:space="preserve"> Clarke, K.</w:t>
      </w:r>
      <w:r w:rsidR="004F68E6">
        <w:t>R. 2008</w:t>
      </w:r>
      <w:r w:rsidRPr="00A97CCA">
        <w:t>.</w:t>
      </w:r>
      <w:r>
        <w:t xml:space="preserve"> </w:t>
      </w:r>
      <w:r w:rsidRPr="004F68E6">
        <w:rPr>
          <w:i/>
        </w:rPr>
        <w:t>PERMANOVA + for PRIMER: Guide to So</w:t>
      </w:r>
      <w:r w:rsidR="004F68E6" w:rsidRPr="004F68E6">
        <w:rPr>
          <w:i/>
        </w:rPr>
        <w:t>ftware and Statistical Methods.</w:t>
      </w:r>
      <w:r w:rsidRPr="004F68E6">
        <w:rPr>
          <w:i/>
        </w:rPr>
        <w:t xml:space="preserve"> </w:t>
      </w:r>
      <w:r w:rsidRPr="00A97CCA">
        <w:t xml:space="preserve">(PRIMER-E: Plymouth.) </w:t>
      </w:r>
    </w:p>
    <w:p w:rsidR="00423C6C" w:rsidRDefault="00423C6C" w:rsidP="00E23B8D">
      <w:r>
        <w:t>Baumgartner, L.J., Conallin, J., Wooden, I., Campbell, B., Gee, R., Robinson, W.</w:t>
      </w:r>
      <w:r w:rsidR="004F68E6">
        <w:t xml:space="preserve">A. </w:t>
      </w:r>
      <w:r w:rsidR="009F0217">
        <w:t>&amp;</w:t>
      </w:r>
      <w:r w:rsidR="004F68E6">
        <w:t xml:space="preserve"> Mallen-Cooper, M. 2014</w:t>
      </w:r>
      <w:r>
        <w:t xml:space="preserve">. Using flow guilds of freshwater fish in an adaptive management framework to simplify environmental flow delivery for semi-arid riverine systems. </w:t>
      </w:r>
      <w:r>
        <w:rPr>
          <w:i/>
        </w:rPr>
        <w:t>Fish and Fisheries</w:t>
      </w:r>
      <w:r>
        <w:t xml:space="preserve">, </w:t>
      </w:r>
      <w:r w:rsidRPr="004F68E6">
        <w:rPr>
          <w:i/>
        </w:rPr>
        <w:t>15</w:t>
      </w:r>
      <w:r>
        <w:t>, 410-427.</w:t>
      </w:r>
    </w:p>
    <w:p w:rsidR="00423C6C" w:rsidRPr="009F0217" w:rsidRDefault="00423C6C" w:rsidP="00E23B8D">
      <w:pPr>
        <w:rPr>
          <w:lang w:eastAsia="en-AU"/>
        </w:rPr>
      </w:pPr>
      <w:r w:rsidRPr="009F0217">
        <w:rPr>
          <w:lang w:eastAsia="en-AU"/>
        </w:rPr>
        <w:t>Bice, C.M., Gehrig, S.L., Zampatti, B.P., Nicol, J.M., Wilson, P., Leigh, S.</w:t>
      </w:r>
      <w:r w:rsidR="004F68E6" w:rsidRPr="009F0217">
        <w:rPr>
          <w:lang w:eastAsia="en-AU"/>
        </w:rPr>
        <w:t xml:space="preserve">L. </w:t>
      </w:r>
      <w:r w:rsidR="009F0217" w:rsidRPr="009F0217">
        <w:rPr>
          <w:lang w:eastAsia="en-AU"/>
        </w:rPr>
        <w:t>&amp;</w:t>
      </w:r>
      <w:r w:rsidR="004F68E6" w:rsidRPr="009F0217">
        <w:rPr>
          <w:lang w:eastAsia="en-AU"/>
        </w:rPr>
        <w:t xml:space="preserve"> Marsland, K. </w:t>
      </w:r>
      <w:r w:rsidRPr="009F0217">
        <w:rPr>
          <w:lang w:eastAsia="en-AU"/>
        </w:rPr>
        <w:t xml:space="preserve">2014. Flow-induced alterations to fish assemblages, habitat and fish–habitat associations in a regulated lowland river. </w:t>
      </w:r>
      <w:r w:rsidRPr="009F0217">
        <w:rPr>
          <w:i/>
          <w:iCs/>
          <w:lang w:eastAsia="en-AU"/>
        </w:rPr>
        <w:t>Hydrobiologia</w:t>
      </w:r>
      <w:r w:rsidRPr="009F0217">
        <w:rPr>
          <w:lang w:eastAsia="en-AU"/>
        </w:rPr>
        <w:t xml:space="preserve">, </w:t>
      </w:r>
      <w:r w:rsidRPr="009F0217">
        <w:rPr>
          <w:iCs/>
          <w:lang w:eastAsia="en-AU"/>
        </w:rPr>
        <w:t>722</w:t>
      </w:r>
      <w:r w:rsidRPr="009F0217">
        <w:rPr>
          <w:lang w:eastAsia="en-AU"/>
        </w:rPr>
        <w:t>(1), 205-222.</w:t>
      </w:r>
    </w:p>
    <w:p w:rsidR="00423C6C" w:rsidRPr="009F0217" w:rsidRDefault="00423C6C" w:rsidP="00E23B8D">
      <w:pPr>
        <w:rPr>
          <w:lang w:val="en-GB"/>
        </w:rPr>
      </w:pPr>
      <w:r w:rsidRPr="009F0217">
        <w:rPr>
          <w:lang w:val="en-GB"/>
        </w:rPr>
        <w:t xml:space="preserve">Bond, N., Lake, P. </w:t>
      </w:r>
      <w:r w:rsidR="009F0217" w:rsidRPr="009F0217">
        <w:rPr>
          <w:lang w:val="en-GB"/>
        </w:rPr>
        <w:t>&amp;</w:t>
      </w:r>
      <w:r w:rsidRPr="009F0217">
        <w:rPr>
          <w:lang w:val="en-GB"/>
        </w:rPr>
        <w:t xml:space="preserve"> Arthington, A.</w:t>
      </w:r>
      <w:r w:rsidR="009F0217" w:rsidRPr="009F0217">
        <w:rPr>
          <w:lang w:val="en-GB"/>
        </w:rPr>
        <w:t xml:space="preserve"> 2008</w:t>
      </w:r>
      <w:r w:rsidRPr="009F0217">
        <w:rPr>
          <w:lang w:val="en-GB"/>
        </w:rPr>
        <w:t xml:space="preserve">. The impacts of drought on freshwater ecosystems: an Australian perspective. </w:t>
      </w:r>
      <w:r w:rsidRPr="009F0217">
        <w:rPr>
          <w:i/>
          <w:lang w:val="en-GB"/>
        </w:rPr>
        <w:t>Hydrobiologia</w:t>
      </w:r>
      <w:r w:rsidRPr="009F0217">
        <w:rPr>
          <w:lang w:val="en-GB"/>
        </w:rPr>
        <w:t xml:space="preserve">, </w:t>
      </w:r>
      <w:r w:rsidRPr="009F0217">
        <w:rPr>
          <w:i/>
          <w:lang w:val="en-GB"/>
        </w:rPr>
        <w:t>600,</w:t>
      </w:r>
      <w:r w:rsidRPr="009F0217">
        <w:rPr>
          <w:lang w:val="en-GB"/>
        </w:rPr>
        <w:t xml:space="preserve"> 3–16.</w:t>
      </w:r>
    </w:p>
    <w:p w:rsidR="00423C6C" w:rsidRPr="009F0217" w:rsidRDefault="009F0217" w:rsidP="00E23B8D">
      <w:pPr>
        <w:rPr>
          <w:lang w:eastAsia="en-AU"/>
        </w:rPr>
      </w:pPr>
      <w:r w:rsidRPr="009F0217">
        <w:rPr>
          <w:lang w:val="en-GB"/>
        </w:rPr>
        <w:t xml:space="preserve">Cadwallader, P.L. 1977.  </w:t>
      </w:r>
      <w:r w:rsidR="00423C6C" w:rsidRPr="009F0217">
        <w:rPr>
          <w:i/>
          <w:lang w:val="en-GB"/>
        </w:rPr>
        <w:t>J.O. Langtry’s 1949-</w:t>
      </w:r>
      <w:r w:rsidRPr="009F0217">
        <w:rPr>
          <w:i/>
          <w:lang w:val="en-GB"/>
        </w:rPr>
        <w:t>50 Murray River investigations.</w:t>
      </w:r>
      <w:r w:rsidR="00423C6C" w:rsidRPr="009F0217">
        <w:rPr>
          <w:i/>
          <w:lang w:val="en-GB"/>
        </w:rPr>
        <w:t xml:space="preserve"> </w:t>
      </w:r>
      <w:r w:rsidR="00423C6C" w:rsidRPr="009F0217">
        <w:rPr>
          <w:lang w:val="en-GB"/>
        </w:rPr>
        <w:t>Fisheries and Wildlife Paper 13. Fisheries and Wildlife Division, Ministry for Conservation, Melbourne.</w:t>
      </w:r>
    </w:p>
    <w:p w:rsidR="00423C6C" w:rsidRDefault="009F0217" w:rsidP="00E23B8D">
      <w:pPr>
        <w:rPr>
          <w:bCs/>
          <w:lang w:eastAsia="en-AU"/>
        </w:rPr>
      </w:pPr>
      <w:r>
        <w:rPr>
          <w:bCs/>
          <w:lang w:eastAsia="en-AU"/>
        </w:rPr>
        <w:t>Carter S. 2012</w:t>
      </w:r>
      <w:r w:rsidR="00423C6C" w:rsidRPr="00692340">
        <w:rPr>
          <w:bCs/>
          <w:lang w:eastAsia="en-AU"/>
        </w:rPr>
        <w:t xml:space="preserve">. </w:t>
      </w:r>
      <w:r w:rsidR="00423C6C" w:rsidRPr="009F0217">
        <w:rPr>
          <w:bCs/>
          <w:i/>
          <w:lang w:eastAsia="en-AU"/>
        </w:rPr>
        <w:t>Sustainable Rivers Audit 2: Metric Processing System</w:t>
      </w:r>
      <w:r w:rsidR="00423C6C" w:rsidRPr="00692340">
        <w:rPr>
          <w:bCs/>
          <w:lang w:eastAsia="en-AU"/>
        </w:rPr>
        <w:t>. Report prepared by Environmental Dynamics for the Murray Darling Basin Authority, Canberra.</w:t>
      </w:r>
    </w:p>
    <w:p w:rsidR="009F0217" w:rsidRPr="003B535A" w:rsidRDefault="009F0217" w:rsidP="009F0217">
      <w:r>
        <w:t>Commonwealth of Australia. 2014.</w:t>
      </w:r>
      <w:r w:rsidRPr="004335CD">
        <w:t xml:space="preserve"> </w:t>
      </w:r>
      <w:r w:rsidRPr="00F51322">
        <w:rPr>
          <w:i/>
        </w:rPr>
        <w:t>Commonwealth Environmental Water Office Long Term Intervention Monitoring Project Gwydir River System Selected Area</w:t>
      </w:r>
      <w:r>
        <w:rPr>
          <w:i/>
        </w:rPr>
        <w:t>.</w:t>
      </w:r>
      <w:r>
        <w:t xml:space="preserve"> Commonwealth of Australia.</w:t>
      </w:r>
    </w:p>
    <w:p w:rsidR="009F0217" w:rsidRDefault="009F0217" w:rsidP="009F0217">
      <w:r>
        <w:t xml:space="preserve">Commonwealth of Australia. 2015. </w:t>
      </w:r>
      <w:r w:rsidRPr="008A7199">
        <w:rPr>
          <w:i/>
        </w:rPr>
        <w:t>Commonwealth Environmental Water Office Long Term intervention Monitoring Project Gwydir River System Selected Area – 2014-15 Evaluation Report</w:t>
      </w:r>
      <w:r>
        <w:t>. Commonwealth of Australia.</w:t>
      </w:r>
    </w:p>
    <w:p w:rsidR="00423C6C" w:rsidRPr="00935D7C" w:rsidRDefault="00423C6C" w:rsidP="009F0217">
      <w:pPr>
        <w:rPr>
          <w:lang w:eastAsia="en-AU"/>
        </w:rPr>
      </w:pPr>
      <w:r w:rsidRPr="00935D7C">
        <w:rPr>
          <w:lang w:eastAsia="en-AU"/>
        </w:rPr>
        <w:t>Copeland, C., Schoon</w:t>
      </w:r>
      <w:r w:rsidR="009F0217">
        <w:rPr>
          <w:lang w:eastAsia="en-AU"/>
        </w:rPr>
        <w:t>eveldt-Reid, E. &amp; Neller, S. 2003</w:t>
      </w:r>
      <w:r w:rsidRPr="00935D7C">
        <w:rPr>
          <w:lang w:eastAsia="en-AU"/>
        </w:rPr>
        <w:t>. F</w:t>
      </w:r>
      <w:r w:rsidRPr="009F0217">
        <w:rPr>
          <w:i/>
          <w:lang w:eastAsia="en-AU"/>
        </w:rPr>
        <w:t>ish Everywhere - an oral history of fish and their habitats in the Gwydir Rive</w:t>
      </w:r>
      <w:r w:rsidRPr="00935D7C">
        <w:rPr>
          <w:lang w:eastAsia="en-AU"/>
        </w:rPr>
        <w:t>r. New South Wales Fisheries, Ballina.</w:t>
      </w:r>
    </w:p>
    <w:p w:rsidR="00423C6C" w:rsidRPr="00692340" w:rsidRDefault="00423C6C" w:rsidP="009F0217">
      <w:pPr>
        <w:rPr>
          <w:rFonts w:cs="Arial"/>
        </w:rPr>
      </w:pPr>
      <w:r w:rsidRPr="00692340">
        <w:rPr>
          <w:rFonts w:cs="Arial"/>
        </w:rPr>
        <w:t>Davies</w:t>
      </w:r>
      <w:r w:rsidR="009F0217">
        <w:rPr>
          <w:rFonts w:cs="Arial"/>
        </w:rPr>
        <w:t>,</w:t>
      </w:r>
      <w:r w:rsidRPr="00692340">
        <w:rPr>
          <w:rFonts w:cs="Arial"/>
        </w:rPr>
        <w:t xml:space="preserve"> P.E., Harris</w:t>
      </w:r>
      <w:r w:rsidR="009F0217">
        <w:rPr>
          <w:rFonts w:cs="Arial"/>
        </w:rPr>
        <w:t>,</w:t>
      </w:r>
      <w:r w:rsidRPr="00692340">
        <w:rPr>
          <w:rFonts w:cs="Arial"/>
        </w:rPr>
        <w:t xml:space="preserve"> J.H.</w:t>
      </w:r>
      <w:r w:rsidR="009F0217">
        <w:rPr>
          <w:rFonts w:cs="Arial"/>
        </w:rPr>
        <w:t>, Hillman, T.J. &amp; Walker, K.F. 2008</w:t>
      </w:r>
      <w:r w:rsidRPr="00692340">
        <w:rPr>
          <w:rFonts w:cs="Arial"/>
        </w:rPr>
        <w:t xml:space="preserve">. </w:t>
      </w:r>
      <w:r w:rsidRPr="009F0217">
        <w:rPr>
          <w:rFonts w:cs="Arial"/>
          <w:i/>
        </w:rPr>
        <w:t>SRA Report 1: A Report on the Ecological Health of Rivers in the Murray–Darling Basin, 2004–2007</w:t>
      </w:r>
      <w:r w:rsidRPr="00692340">
        <w:rPr>
          <w:rFonts w:cs="Arial"/>
        </w:rPr>
        <w:t>. Independent Sustainable Rivers Audit Group for the Murray–Darling Basin Ministerial Council. MDBC Publication No. 16/08: Canberra.</w:t>
      </w:r>
    </w:p>
    <w:p w:rsidR="00423C6C" w:rsidRDefault="00423C6C" w:rsidP="009F0217">
      <w:pPr>
        <w:rPr>
          <w:lang w:eastAsia="en-AU"/>
        </w:rPr>
      </w:pPr>
      <w:r w:rsidRPr="00692340">
        <w:rPr>
          <w:lang w:eastAsia="en-AU"/>
        </w:rPr>
        <w:t>Davies</w:t>
      </w:r>
      <w:r w:rsidR="009F0217">
        <w:rPr>
          <w:lang w:eastAsia="en-AU"/>
        </w:rPr>
        <w:t>,</w:t>
      </w:r>
      <w:r w:rsidR="00CD3111">
        <w:rPr>
          <w:lang w:eastAsia="en-AU"/>
        </w:rPr>
        <w:t xml:space="preserve"> P.E., Harris, </w:t>
      </w:r>
      <w:r w:rsidRPr="00692340">
        <w:rPr>
          <w:lang w:eastAsia="en-AU"/>
        </w:rPr>
        <w:t>J.H.</w:t>
      </w:r>
      <w:r w:rsidR="009F0217">
        <w:rPr>
          <w:lang w:eastAsia="en-AU"/>
        </w:rPr>
        <w:t>, Hillman, T.J. &amp; Walker, K.F. 2010</w:t>
      </w:r>
      <w:r w:rsidRPr="00692340">
        <w:rPr>
          <w:lang w:eastAsia="en-AU"/>
        </w:rPr>
        <w:t xml:space="preserve">. The Sustainable Rivers Audit: assessing river ecosystem health in the Murray-Darling Basin, Australia. </w:t>
      </w:r>
      <w:r w:rsidRPr="00692340">
        <w:rPr>
          <w:i/>
          <w:iCs/>
          <w:lang w:eastAsia="en-AU"/>
        </w:rPr>
        <w:t>Marine and Freshwater Research</w:t>
      </w:r>
      <w:r w:rsidRPr="00692340">
        <w:rPr>
          <w:iCs/>
          <w:lang w:eastAsia="en-AU"/>
        </w:rPr>
        <w:t>,</w:t>
      </w:r>
      <w:r w:rsidRPr="00692340">
        <w:rPr>
          <w:lang w:eastAsia="en-AU"/>
        </w:rPr>
        <w:t xml:space="preserve"> </w:t>
      </w:r>
      <w:r w:rsidRPr="009F0217">
        <w:rPr>
          <w:bCs/>
          <w:i/>
          <w:lang w:eastAsia="en-AU"/>
        </w:rPr>
        <w:t>61</w:t>
      </w:r>
      <w:r w:rsidRPr="00692340">
        <w:rPr>
          <w:lang w:eastAsia="en-AU"/>
        </w:rPr>
        <w:t>, 764–777.</w:t>
      </w:r>
    </w:p>
    <w:p w:rsidR="00423C6C" w:rsidRPr="00DA7C04" w:rsidRDefault="00423C6C" w:rsidP="009F0217">
      <w:pPr>
        <w:rPr>
          <w:color w:val="222222"/>
          <w:lang w:eastAsia="en-AU"/>
        </w:rPr>
      </w:pPr>
      <w:r w:rsidRPr="00DA7C04">
        <w:rPr>
          <w:color w:val="222222"/>
          <w:lang w:eastAsia="en-AU"/>
        </w:rPr>
        <w:t xml:space="preserve">Davis, T.L.O., 1977. Age determination and growth of the freshwater catfish, </w:t>
      </w:r>
      <w:r w:rsidRPr="00B00E2B">
        <w:rPr>
          <w:i/>
          <w:color w:val="222222"/>
          <w:lang w:eastAsia="en-AU"/>
        </w:rPr>
        <w:t>Tandanus tandanus</w:t>
      </w:r>
      <w:r w:rsidRPr="00DA7C04">
        <w:rPr>
          <w:color w:val="222222"/>
          <w:lang w:eastAsia="en-AU"/>
        </w:rPr>
        <w:t xml:space="preserve"> Mitchell, in the Gwydir River, Australia. </w:t>
      </w:r>
      <w:r w:rsidRPr="00DA7C04">
        <w:rPr>
          <w:i/>
          <w:iCs/>
          <w:color w:val="222222"/>
          <w:lang w:eastAsia="en-AU"/>
        </w:rPr>
        <w:t>Marine and Freshwater Research</w:t>
      </w:r>
      <w:r w:rsidRPr="00DA7C04">
        <w:rPr>
          <w:color w:val="222222"/>
          <w:lang w:eastAsia="en-AU"/>
        </w:rPr>
        <w:t xml:space="preserve">, </w:t>
      </w:r>
      <w:r w:rsidRPr="00DA7C04">
        <w:rPr>
          <w:i/>
          <w:iCs/>
          <w:color w:val="222222"/>
          <w:lang w:eastAsia="en-AU"/>
        </w:rPr>
        <w:t>28</w:t>
      </w:r>
      <w:r w:rsidRPr="00DA7C04">
        <w:rPr>
          <w:color w:val="222222"/>
          <w:lang w:eastAsia="en-AU"/>
        </w:rPr>
        <w:t>(2), pp.119-137.</w:t>
      </w:r>
    </w:p>
    <w:p w:rsidR="00423C6C" w:rsidRDefault="00423C6C" w:rsidP="00E23B8D">
      <w:pPr>
        <w:rPr>
          <w:lang w:eastAsia="en-AU"/>
        </w:rPr>
      </w:pPr>
      <w:r>
        <w:rPr>
          <w:lang w:val="en"/>
        </w:rPr>
        <w:t>Faulks L. K., Gillig</w:t>
      </w:r>
      <w:r w:rsidR="009F0217">
        <w:rPr>
          <w:lang w:val="en"/>
        </w:rPr>
        <w:t xml:space="preserve">an, D. M. &amp; Beheregaray, </w:t>
      </w:r>
      <w:proofErr w:type="gramStart"/>
      <w:r w:rsidR="009F0217">
        <w:rPr>
          <w:lang w:val="en"/>
        </w:rPr>
        <w:t>L</w:t>
      </w:r>
      <w:proofErr w:type="gramEnd"/>
      <w:r w:rsidR="009F0217">
        <w:rPr>
          <w:lang w:val="en"/>
        </w:rPr>
        <w:t>. B. 2010</w:t>
      </w:r>
      <w:r>
        <w:rPr>
          <w:lang w:val="en"/>
        </w:rPr>
        <w:t>, Islands of water in a sea of dry land: hydrological regime predicts genetic diversity and dispersal in a widespread fish from Australia’s arid zone, the golden perch (</w:t>
      </w:r>
      <w:r>
        <w:rPr>
          <w:rStyle w:val="Emphasis"/>
          <w:lang w:val="en"/>
        </w:rPr>
        <w:t>Macquaria ambigua</w:t>
      </w:r>
      <w:r>
        <w:rPr>
          <w:lang w:val="en"/>
        </w:rPr>
        <w:t xml:space="preserve">). Molecular Ecology, </w:t>
      </w:r>
      <w:r w:rsidRPr="009F0217">
        <w:rPr>
          <w:i/>
          <w:lang w:val="en"/>
        </w:rPr>
        <w:t>19</w:t>
      </w:r>
      <w:r w:rsidR="009F0217">
        <w:rPr>
          <w:lang w:val="en"/>
        </w:rPr>
        <w:t>,</w:t>
      </w:r>
      <w:r>
        <w:rPr>
          <w:lang w:val="en"/>
        </w:rPr>
        <w:t xml:space="preserve"> 4723–4737. </w:t>
      </w:r>
    </w:p>
    <w:p w:rsidR="00423C6C" w:rsidRDefault="00423C6C" w:rsidP="009F0217">
      <w:pPr>
        <w:rPr>
          <w:lang w:eastAsia="en-AU"/>
        </w:rPr>
      </w:pPr>
      <w:r w:rsidRPr="00C62798">
        <w:rPr>
          <w:lang w:eastAsia="en-AU"/>
        </w:rPr>
        <w:t xml:space="preserve">Leggett, R. </w:t>
      </w:r>
      <w:r w:rsidR="009F0217">
        <w:rPr>
          <w:lang w:eastAsia="en-AU"/>
        </w:rPr>
        <w:t>&amp;</w:t>
      </w:r>
      <w:r w:rsidRPr="00C62798">
        <w:rPr>
          <w:lang w:eastAsia="en-AU"/>
        </w:rPr>
        <w:t xml:space="preserve"> Merrick, J.R., 1987. </w:t>
      </w:r>
      <w:r w:rsidRPr="00C62798">
        <w:rPr>
          <w:i/>
          <w:iCs/>
          <w:lang w:eastAsia="en-AU"/>
        </w:rPr>
        <w:t>Australian native fishes for aquariums</w:t>
      </w:r>
      <w:r w:rsidRPr="00C62798">
        <w:rPr>
          <w:lang w:eastAsia="en-AU"/>
        </w:rPr>
        <w:t>. JR Merrick Publications.</w:t>
      </w:r>
    </w:p>
    <w:p w:rsidR="00423C6C" w:rsidRPr="00C62798" w:rsidRDefault="00423C6C" w:rsidP="009F0217">
      <w:pPr>
        <w:rPr>
          <w:lang w:eastAsia="en-AU"/>
        </w:rPr>
      </w:pPr>
      <w:r w:rsidRPr="00DA7C04">
        <w:rPr>
          <w:lang w:eastAsia="en-AU"/>
        </w:rPr>
        <w:t xml:space="preserve">Lorenzoni, M., Corboli, M., Ghetti, L., Pedicillo, G. </w:t>
      </w:r>
      <w:r w:rsidR="009F0217">
        <w:rPr>
          <w:lang w:eastAsia="en-AU"/>
        </w:rPr>
        <w:t>&amp;</w:t>
      </w:r>
      <w:r w:rsidRPr="00DA7C04">
        <w:rPr>
          <w:lang w:eastAsia="en-AU"/>
        </w:rPr>
        <w:t xml:space="preserve"> Carosi, A., 2007. Growth and reproduction of the goldfish </w:t>
      </w:r>
      <w:r w:rsidRPr="00DA7C04">
        <w:rPr>
          <w:i/>
          <w:lang w:eastAsia="en-AU"/>
        </w:rPr>
        <w:t>Carassius auratus</w:t>
      </w:r>
      <w:r w:rsidRPr="00DA7C04">
        <w:rPr>
          <w:lang w:eastAsia="en-AU"/>
        </w:rPr>
        <w:t xml:space="preserve">: a case study from Italy. In </w:t>
      </w:r>
      <w:r w:rsidRPr="00DA7C04">
        <w:rPr>
          <w:i/>
          <w:iCs/>
          <w:lang w:eastAsia="en-AU"/>
        </w:rPr>
        <w:t>Biological invaders in inland waters: Profiles, distribution, and threats</w:t>
      </w:r>
      <w:r w:rsidRPr="00DA7C04">
        <w:rPr>
          <w:lang w:eastAsia="en-AU"/>
        </w:rPr>
        <w:t xml:space="preserve"> (pp. 259-273). Springer Netherlands.</w:t>
      </w:r>
    </w:p>
    <w:p w:rsidR="00423C6C" w:rsidRDefault="009F0217" w:rsidP="009F0217">
      <w:r>
        <w:t>Macdonald, J. &amp; Tonkin, Z. 2008</w:t>
      </w:r>
      <w:r w:rsidR="00423C6C">
        <w:t>. A review of the impact of eastern gambusia on native fishes of the Murray-Darling Basin. Arthur Rylah Institute for Environmental Research, Department of Sustainability and Environment, Heidelberg, Victoria.</w:t>
      </w:r>
    </w:p>
    <w:p w:rsidR="00423C6C" w:rsidRPr="00E36CE3" w:rsidRDefault="00423C6C" w:rsidP="009F0217">
      <w:pPr>
        <w:rPr>
          <w:lang w:eastAsia="en-AU"/>
        </w:rPr>
      </w:pPr>
      <w:r w:rsidRPr="00E36CE3">
        <w:rPr>
          <w:lang w:eastAsia="en-AU"/>
        </w:rPr>
        <w:t>Mallen-Cooper, M., 1996. Fishways and freshwater fish migration on South-Eastern Australia.</w:t>
      </w:r>
    </w:p>
    <w:p w:rsidR="00423C6C" w:rsidRPr="00C62798" w:rsidRDefault="009F0217" w:rsidP="009F0217">
      <w:r>
        <w:t>McDowall, R. 1996</w:t>
      </w:r>
      <w:r w:rsidR="00423C6C">
        <w:t xml:space="preserve">. </w:t>
      </w:r>
      <w:r w:rsidR="00423C6C" w:rsidRPr="009F0217">
        <w:rPr>
          <w:i/>
        </w:rPr>
        <w:t>Freshwater Fishes of South-Eastern Australia</w:t>
      </w:r>
      <w:r w:rsidR="00423C6C">
        <w:t xml:space="preserve"> (second edition). Reed Books, Chatswood, NSW.</w:t>
      </w:r>
    </w:p>
    <w:p w:rsidR="00423C6C" w:rsidRDefault="00423C6C" w:rsidP="009F0217">
      <w:pPr>
        <w:rPr>
          <w:lang w:eastAsia="en-AU"/>
        </w:rPr>
      </w:pPr>
      <w:r w:rsidRPr="00510682">
        <w:rPr>
          <w:lang w:eastAsia="en-AU"/>
        </w:rPr>
        <w:t>Murray–Darling Basin Authority.  (2012). Sustainable Rivers Audit 2: The ecological health of rivers in the Murray–Darling Basin at the end of the Millennium Drought (2008–2010).</w:t>
      </w:r>
      <w:r w:rsidRPr="00510682">
        <w:t xml:space="preserve"> </w:t>
      </w:r>
      <w:r w:rsidRPr="00510682">
        <w:rPr>
          <w:lang w:eastAsia="en-AU"/>
        </w:rPr>
        <w:t>Murray–Darling Basin Authority, Canberra.</w:t>
      </w:r>
    </w:p>
    <w:p w:rsidR="00423C6C" w:rsidRPr="00CC0EE2" w:rsidRDefault="00423C6C" w:rsidP="00E23B8D">
      <w:pPr>
        <w:rPr>
          <w:lang w:eastAsia="en-AU"/>
        </w:rPr>
      </w:pPr>
      <w:r w:rsidRPr="00CC0EE2">
        <w:rPr>
          <w:lang w:eastAsia="en-AU"/>
        </w:rPr>
        <w:t>NSW De</w:t>
      </w:r>
      <w:r w:rsidR="009F0217">
        <w:rPr>
          <w:lang w:eastAsia="en-AU"/>
        </w:rPr>
        <w:t>partment of Primary Industries. 2015</w:t>
      </w:r>
      <w:r w:rsidRPr="00CC0EE2">
        <w:rPr>
          <w:lang w:eastAsia="en-AU"/>
        </w:rPr>
        <w:t xml:space="preserve">. </w:t>
      </w:r>
      <w:r w:rsidRPr="00CC0EE2">
        <w:rPr>
          <w:i/>
          <w:iCs/>
          <w:lang w:eastAsia="en-AU"/>
        </w:rPr>
        <w:t>Fish and Flows in the Northern Basin: responses of fish to</w:t>
      </w:r>
      <w:r>
        <w:rPr>
          <w:i/>
          <w:iCs/>
          <w:lang w:eastAsia="en-AU"/>
        </w:rPr>
        <w:t xml:space="preserve"> </w:t>
      </w:r>
      <w:r w:rsidRPr="00CC0EE2">
        <w:rPr>
          <w:i/>
          <w:iCs/>
          <w:lang w:eastAsia="en-AU"/>
        </w:rPr>
        <w:t>changes in flow in the Northern Murray-Darling Basin – Valley Scale Report</w:t>
      </w:r>
      <w:r w:rsidRPr="00CC0EE2">
        <w:rPr>
          <w:lang w:eastAsia="en-AU"/>
        </w:rPr>
        <w:t>. Final report prepared for the</w:t>
      </w:r>
      <w:r>
        <w:rPr>
          <w:lang w:eastAsia="en-AU"/>
        </w:rPr>
        <w:t xml:space="preserve"> </w:t>
      </w:r>
      <w:r w:rsidRPr="00CC0EE2">
        <w:rPr>
          <w:lang w:eastAsia="en-AU"/>
        </w:rPr>
        <w:t>Murray-Darling Basin Authority. NSW Department of Primary Industries, Tamworth.</w:t>
      </w:r>
    </w:p>
    <w:p w:rsidR="00423C6C" w:rsidRDefault="00423C6C" w:rsidP="00E23B8D">
      <w:pPr>
        <w:rPr>
          <w:lang w:eastAsia="en-AU"/>
        </w:rPr>
      </w:pPr>
      <w:r w:rsidRPr="00CA71C5">
        <w:rPr>
          <w:lang w:eastAsia="en-AU"/>
        </w:rPr>
        <w:t>O</w:t>
      </w:r>
      <w:r w:rsidRPr="00CA71C5">
        <w:rPr>
          <w:rFonts w:eastAsia="AdvTT182ff89e+20"/>
          <w:lang w:eastAsia="en-AU"/>
        </w:rPr>
        <w:t>’</w:t>
      </w:r>
      <w:r w:rsidRPr="00CA71C5">
        <w:rPr>
          <w:lang w:eastAsia="en-AU"/>
        </w:rPr>
        <w:t xml:space="preserve">Connor, B. L., J. W. Harvey, </w:t>
      </w:r>
      <w:r w:rsidR="009F0217">
        <w:rPr>
          <w:lang w:eastAsia="en-AU"/>
        </w:rPr>
        <w:t>&amp; L.E. McPhillips 2012.</w:t>
      </w:r>
      <w:r w:rsidRPr="00CA71C5">
        <w:rPr>
          <w:lang w:eastAsia="en-AU"/>
        </w:rPr>
        <w:t xml:space="preserve"> Thresholds of flow-induced bed disturbances and their</w:t>
      </w:r>
      <w:r>
        <w:rPr>
          <w:lang w:eastAsia="en-AU"/>
        </w:rPr>
        <w:t xml:space="preserve"> </w:t>
      </w:r>
      <w:r w:rsidRPr="00CA71C5">
        <w:rPr>
          <w:lang w:eastAsia="en-AU"/>
        </w:rPr>
        <w:t>effects on stream metabolism in an agricultural river</w:t>
      </w:r>
      <w:r w:rsidR="009F0217">
        <w:rPr>
          <w:lang w:eastAsia="en-AU"/>
        </w:rPr>
        <w:t>.</w:t>
      </w:r>
      <w:r w:rsidRPr="00CA71C5">
        <w:rPr>
          <w:lang w:eastAsia="en-AU"/>
        </w:rPr>
        <w:t xml:space="preserve"> </w:t>
      </w:r>
      <w:r w:rsidRPr="009F0217">
        <w:rPr>
          <w:i/>
          <w:lang w:eastAsia="en-AU"/>
        </w:rPr>
        <w:t>Water Resource Research, 48</w:t>
      </w:r>
      <w:r w:rsidRPr="00CA71C5">
        <w:rPr>
          <w:lang w:eastAsia="en-AU"/>
        </w:rPr>
        <w:t xml:space="preserve">, </w:t>
      </w:r>
      <w:r>
        <w:rPr>
          <w:lang w:eastAsia="en-AU"/>
        </w:rPr>
        <w:t>1-18</w:t>
      </w:r>
      <w:r w:rsidRPr="00CA71C5">
        <w:rPr>
          <w:lang w:eastAsia="en-AU"/>
        </w:rPr>
        <w:t>.</w:t>
      </w:r>
    </w:p>
    <w:p w:rsidR="00423C6C" w:rsidRPr="000C0F01" w:rsidRDefault="00423C6C" w:rsidP="00E23B8D">
      <w:pPr>
        <w:rPr>
          <w:lang w:eastAsia="en-AU"/>
        </w:rPr>
      </w:pPr>
      <w:r w:rsidRPr="000C0F01">
        <w:t>Puck</w:t>
      </w:r>
      <w:r>
        <w:t>ridge, J</w:t>
      </w:r>
      <w:r w:rsidR="009F0217">
        <w:t>.</w:t>
      </w:r>
      <w:r>
        <w:t>T</w:t>
      </w:r>
      <w:r w:rsidR="009F0217">
        <w:t>.</w:t>
      </w:r>
      <w:r>
        <w:t xml:space="preserve"> </w:t>
      </w:r>
      <w:r w:rsidR="009F0217">
        <w:t>&amp;</w:t>
      </w:r>
      <w:r>
        <w:t xml:space="preserve"> Walker, K</w:t>
      </w:r>
      <w:r w:rsidR="009F0217">
        <w:t>.</w:t>
      </w:r>
      <w:r>
        <w:t>F</w:t>
      </w:r>
      <w:r w:rsidR="009F0217">
        <w:t>. 1990</w:t>
      </w:r>
      <w:r w:rsidRPr="000C0F01">
        <w:t xml:space="preserve">. Reproductive Biology and Larval development of a Gizzard Shad, </w:t>
      </w:r>
      <w:r w:rsidRPr="000C0F01">
        <w:rPr>
          <w:i/>
          <w:iCs/>
        </w:rPr>
        <w:t>Nematalosa erebi</w:t>
      </w:r>
      <w:r w:rsidRPr="000C0F01">
        <w:t xml:space="preserve"> (Gunther) (Dorosomatinae: Teleostei), in the River Murray, South Australia. </w:t>
      </w:r>
      <w:r w:rsidRPr="000C0F01">
        <w:rPr>
          <w:rStyle w:val="Emphasis"/>
        </w:rPr>
        <w:t>Australian Journal of Marine and Freshwater Research</w:t>
      </w:r>
      <w:r>
        <w:rPr>
          <w:rStyle w:val="Emphasis"/>
        </w:rPr>
        <w:t>,</w:t>
      </w:r>
      <w:r w:rsidRPr="000C0F01">
        <w:t xml:space="preserve"> </w:t>
      </w:r>
      <w:r w:rsidRPr="009F0217">
        <w:rPr>
          <w:bCs/>
          <w:i/>
        </w:rPr>
        <w:t>41</w:t>
      </w:r>
      <w:r w:rsidRPr="000C0F01">
        <w:t>, 695</w:t>
      </w:r>
      <w:r w:rsidR="0071746D">
        <w:t>-</w:t>
      </w:r>
      <w:r w:rsidRPr="000C0F01">
        <w:t>712.</w:t>
      </w:r>
    </w:p>
    <w:p w:rsidR="00423C6C" w:rsidRPr="00692340" w:rsidRDefault="00423C6C" w:rsidP="00E23B8D">
      <w:r>
        <w:t>Pusey</w:t>
      </w:r>
      <w:r w:rsidR="0071746D">
        <w:t>,</w:t>
      </w:r>
      <w:r>
        <w:t xml:space="preserve"> B.J., Kennard</w:t>
      </w:r>
      <w:r w:rsidR="0071746D">
        <w:t>,</w:t>
      </w:r>
      <w:r w:rsidRPr="002E4A41">
        <w:t xml:space="preserve"> M.J.</w:t>
      </w:r>
      <w:r>
        <w:t xml:space="preserve"> </w:t>
      </w:r>
      <w:r w:rsidR="0071746D">
        <w:t>&amp;</w:t>
      </w:r>
      <w:r>
        <w:t xml:space="preserve"> Arthington</w:t>
      </w:r>
      <w:r w:rsidR="0071746D">
        <w:t>, A.H. 2004</w:t>
      </w:r>
      <w:r w:rsidRPr="002E4A41">
        <w:t xml:space="preserve">. </w:t>
      </w:r>
      <w:r w:rsidRPr="00E23B8D">
        <w:rPr>
          <w:i/>
          <w:iCs/>
        </w:rPr>
        <w:t>Freshwater Fishes of North-Eastern Australia</w:t>
      </w:r>
      <w:r w:rsidRPr="002E4A41">
        <w:rPr>
          <w:iCs/>
        </w:rPr>
        <w:t>.</w:t>
      </w:r>
      <w:r w:rsidRPr="002E4A41">
        <w:rPr>
          <w:i/>
          <w:iCs/>
        </w:rPr>
        <w:t xml:space="preserve"> </w:t>
      </w:r>
      <w:r w:rsidRPr="002E4A41">
        <w:t>CSIRO Publishing: Collingwood.</w:t>
      </w:r>
    </w:p>
    <w:p w:rsidR="00423C6C" w:rsidRDefault="0071746D" w:rsidP="00E23B8D">
      <w:pPr>
        <w:rPr>
          <w:rFonts w:cs="Arial"/>
        </w:rPr>
      </w:pPr>
      <w:r>
        <w:rPr>
          <w:rFonts w:cs="Arial"/>
        </w:rPr>
        <w:t>Robinson, W. 2012</w:t>
      </w:r>
      <w:r w:rsidR="00423C6C" w:rsidRPr="00692340">
        <w:rPr>
          <w:rFonts w:cs="Arial"/>
        </w:rPr>
        <w:t xml:space="preserve">. </w:t>
      </w:r>
      <w:r w:rsidR="00423C6C" w:rsidRPr="0071746D">
        <w:rPr>
          <w:rFonts w:cs="Arial"/>
          <w:i/>
        </w:rPr>
        <w:t>Calculating statistics, metrics, sub-indicators and the SRA Fish theme index. A Sustainable Rivers Audit Technical Report</w:t>
      </w:r>
      <w:r w:rsidR="00423C6C" w:rsidRPr="00692340">
        <w:rPr>
          <w:rFonts w:cs="Arial"/>
        </w:rPr>
        <w:t xml:space="preserve">. Murray-Darling Basin Authority, Canberra. </w:t>
      </w:r>
    </w:p>
    <w:p w:rsidR="00423C6C" w:rsidRDefault="00423C6C" w:rsidP="00E23B8D">
      <w:pPr>
        <w:rPr>
          <w:bCs/>
          <w:color w:val="000000"/>
          <w:lang w:eastAsia="en-AU"/>
        </w:rPr>
      </w:pPr>
      <w:r w:rsidRPr="00806555">
        <w:rPr>
          <w:bCs/>
          <w:color w:val="000000"/>
          <w:lang w:eastAsia="en-AU"/>
        </w:rPr>
        <w:t>Southwell</w:t>
      </w:r>
      <w:r w:rsidRPr="00806555">
        <w:rPr>
          <w:bCs/>
        </w:rPr>
        <w:t xml:space="preserve">, M., Wilson, G., Sparks, P. </w:t>
      </w:r>
      <w:r w:rsidR="0071746D">
        <w:rPr>
          <w:bCs/>
        </w:rPr>
        <w:t>&amp; Thoms, M. 2015</w:t>
      </w:r>
      <w:r w:rsidRPr="00806555">
        <w:rPr>
          <w:bCs/>
        </w:rPr>
        <w:t xml:space="preserve">. </w:t>
      </w:r>
      <w:r w:rsidRPr="0071746D">
        <w:rPr>
          <w:bCs/>
          <w:i/>
          <w:color w:val="000000"/>
          <w:lang w:eastAsia="en-AU"/>
        </w:rPr>
        <w:t>Monitoring the ecological response of Commonwealth Environmental Water delivered in 2013-14 in the Gwydir River system</w:t>
      </w:r>
      <w:r w:rsidRPr="0071746D">
        <w:rPr>
          <w:bCs/>
          <w:i/>
        </w:rPr>
        <w:t xml:space="preserve">: </w:t>
      </w:r>
      <w:r w:rsidRPr="0071746D">
        <w:rPr>
          <w:bCs/>
          <w:i/>
          <w:color w:val="000000"/>
          <w:lang w:eastAsia="en-AU"/>
        </w:rPr>
        <w:t>A report to the Department of Environmen</w:t>
      </w:r>
      <w:r w:rsidRPr="00B23952">
        <w:rPr>
          <w:bCs/>
          <w:color w:val="000000"/>
          <w:lang w:eastAsia="en-AU"/>
        </w:rPr>
        <w:t xml:space="preserve">t. </w:t>
      </w:r>
      <w:r>
        <w:rPr>
          <w:bCs/>
          <w:color w:val="000000"/>
          <w:lang w:eastAsia="en-AU"/>
        </w:rPr>
        <w:t>University of New England, Armidale.</w:t>
      </w:r>
    </w:p>
    <w:p w:rsidR="00423C6C" w:rsidRDefault="00423C6C" w:rsidP="00E23B8D">
      <w:r>
        <w:t>Stuart, I. G.</w:t>
      </w:r>
      <w:r w:rsidRPr="00673501">
        <w:t xml:space="preserve"> </w:t>
      </w:r>
      <w:r w:rsidR="0071746D">
        <w:t>&amp; Jones, M. J. 2006</w:t>
      </w:r>
      <w:r w:rsidRPr="00673501">
        <w:t>. Large, regulated forest floodplain is an ideal recruitment zone for non-native common carp (</w:t>
      </w:r>
      <w:r w:rsidRPr="00673501">
        <w:rPr>
          <w:i/>
          <w:iCs/>
        </w:rPr>
        <w:t>Cyprinus carpio</w:t>
      </w:r>
      <w:r w:rsidRPr="00673501">
        <w:t xml:space="preserve"> L.). </w:t>
      </w:r>
      <w:r w:rsidRPr="00673501">
        <w:rPr>
          <w:i/>
          <w:iCs/>
        </w:rPr>
        <w:t>Marine and Freshwater Research</w:t>
      </w:r>
      <w:r>
        <w:rPr>
          <w:iCs/>
        </w:rPr>
        <w:t>,</w:t>
      </w:r>
      <w:r w:rsidRPr="00673501">
        <w:t xml:space="preserve"> </w:t>
      </w:r>
      <w:r w:rsidRPr="0071746D">
        <w:rPr>
          <w:bCs/>
          <w:i/>
        </w:rPr>
        <w:t>57</w:t>
      </w:r>
      <w:r w:rsidRPr="00673501">
        <w:t>, 337–347.</w:t>
      </w:r>
    </w:p>
    <w:p w:rsidR="00423C6C" w:rsidRDefault="00423C6C" w:rsidP="00E23B8D">
      <w:r>
        <w:t xml:space="preserve">Vieira, D. C. </w:t>
      </w:r>
      <w:r w:rsidR="0071746D">
        <w:t>&amp; Fonseca, G. 2013</w:t>
      </w:r>
      <w:r>
        <w:t xml:space="preserve">. The Importance of Vertical and Horizontal Dimensions of the Sediment Matrix in Structuring Nematodes Across Spatial Scales. </w:t>
      </w:r>
      <w:r>
        <w:rPr>
          <w:i/>
          <w:iCs/>
        </w:rPr>
        <w:t>PLoS ONE</w:t>
      </w:r>
      <w:r>
        <w:t xml:space="preserve">, </w:t>
      </w:r>
      <w:r>
        <w:rPr>
          <w:i/>
          <w:iCs/>
        </w:rPr>
        <w:t>8</w:t>
      </w:r>
      <w:r>
        <w:t xml:space="preserve">(10), e77704. </w:t>
      </w:r>
      <w:hyperlink r:id="rId176" w:history="1">
        <w:r w:rsidRPr="008B2B34">
          <w:rPr>
            <w:rStyle w:val="Hyperlink"/>
          </w:rPr>
          <w:t>http://doi.org/10.1371/journal.pone.0077704</w:t>
        </w:r>
      </w:hyperlink>
      <w:r>
        <w:t>.</w:t>
      </w:r>
    </w:p>
    <w:p w:rsidR="00916C5E" w:rsidRPr="00DA7C04" w:rsidRDefault="00423C6C" w:rsidP="00E23B8D">
      <w:pPr>
        <w:rPr>
          <w:color w:val="222222"/>
          <w:lang w:eastAsia="en-AU"/>
        </w:rPr>
      </w:pPr>
      <w:r>
        <w:rPr>
          <w:color w:val="222222"/>
          <w:lang w:eastAsia="en-AU"/>
        </w:rPr>
        <w:t xml:space="preserve">Vilizzi, L. </w:t>
      </w:r>
      <w:r w:rsidR="0071746D">
        <w:rPr>
          <w:color w:val="222222"/>
          <w:lang w:eastAsia="en-AU"/>
        </w:rPr>
        <w:t>&amp;</w:t>
      </w:r>
      <w:r>
        <w:rPr>
          <w:color w:val="222222"/>
          <w:lang w:eastAsia="en-AU"/>
        </w:rPr>
        <w:t xml:space="preserve"> Walker, K.F.</w:t>
      </w:r>
      <w:r w:rsidRPr="00DA7C04">
        <w:rPr>
          <w:color w:val="222222"/>
          <w:lang w:eastAsia="en-AU"/>
        </w:rPr>
        <w:t xml:space="preserve"> 1999. Age and growth of the common carp, </w:t>
      </w:r>
      <w:r w:rsidRPr="00DA7C04">
        <w:rPr>
          <w:i/>
          <w:color w:val="222222"/>
          <w:lang w:eastAsia="en-AU"/>
        </w:rPr>
        <w:t>Cyprinus carpio</w:t>
      </w:r>
      <w:r w:rsidRPr="00DA7C04">
        <w:rPr>
          <w:color w:val="222222"/>
          <w:lang w:eastAsia="en-AU"/>
        </w:rPr>
        <w:t xml:space="preserve">, in the River Murray, Australia: validation, consistency of age interpretation, and growth models. </w:t>
      </w:r>
      <w:r w:rsidRPr="00DA7C04">
        <w:rPr>
          <w:i/>
          <w:iCs/>
          <w:color w:val="222222"/>
          <w:lang w:eastAsia="en-AU"/>
        </w:rPr>
        <w:t>Environmental Biology of Fishes</w:t>
      </w:r>
      <w:r w:rsidRPr="00DA7C04">
        <w:rPr>
          <w:color w:val="222222"/>
          <w:lang w:eastAsia="en-AU"/>
        </w:rPr>
        <w:t xml:space="preserve">, </w:t>
      </w:r>
      <w:r w:rsidRPr="00DA7C04">
        <w:rPr>
          <w:i/>
          <w:iCs/>
          <w:color w:val="222222"/>
          <w:lang w:eastAsia="en-AU"/>
        </w:rPr>
        <w:t>54</w:t>
      </w:r>
      <w:r w:rsidRPr="00DA7C04">
        <w:rPr>
          <w:color w:val="222222"/>
          <w:lang w:eastAsia="en-AU"/>
        </w:rPr>
        <w:t>(1), pp.77-106.</w:t>
      </w:r>
    </w:p>
    <w:p w:rsidR="00423C6C" w:rsidRPr="00E23B8D" w:rsidRDefault="00423C6C" w:rsidP="00E23B8D">
      <w:pPr>
        <w:rPr>
          <w:i/>
          <w:iCs/>
          <w:lang w:eastAsia="en-AU"/>
        </w:rPr>
      </w:pPr>
      <w:r>
        <w:rPr>
          <w:lang w:eastAsia="en-AU"/>
        </w:rPr>
        <w:t xml:space="preserve">Wilson, G.G., Bickel, T.O., Berney, P.J. </w:t>
      </w:r>
      <w:r w:rsidR="0071746D">
        <w:rPr>
          <w:lang w:eastAsia="en-AU"/>
        </w:rPr>
        <w:t>&amp;</w:t>
      </w:r>
      <w:r>
        <w:rPr>
          <w:lang w:eastAsia="en-AU"/>
        </w:rPr>
        <w:t xml:space="preserve"> Sisson, J.L. 2009. </w:t>
      </w:r>
      <w:r>
        <w:rPr>
          <w:i/>
          <w:iCs/>
          <w:lang w:eastAsia="en-AU"/>
        </w:rPr>
        <w:t>Managing environmental flows in an</w:t>
      </w:r>
      <w:r w:rsidR="00E23B8D">
        <w:rPr>
          <w:i/>
          <w:iCs/>
          <w:lang w:eastAsia="en-AU"/>
        </w:rPr>
        <w:t xml:space="preserve"> </w:t>
      </w:r>
      <w:r>
        <w:rPr>
          <w:i/>
          <w:iCs/>
          <w:lang w:eastAsia="en-AU"/>
        </w:rPr>
        <w:t>agricultural landscape: the Lower Gwydir floodplain</w:t>
      </w:r>
      <w:r>
        <w:rPr>
          <w:lang w:eastAsia="en-AU"/>
        </w:rPr>
        <w:t>. Final Report to the Australian Government</w:t>
      </w:r>
      <w:r w:rsidR="00E23B8D">
        <w:rPr>
          <w:lang w:eastAsia="en-AU"/>
        </w:rPr>
        <w:t xml:space="preserve"> </w:t>
      </w:r>
      <w:r>
        <w:rPr>
          <w:lang w:eastAsia="en-AU"/>
        </w:rPr>
        <w:t xml:space="preserve">Department of the Environment, Water, Heritage and the Arts. University of </w:t>
      </w:r>
      <w:r w:rsidRPr="002A4EF3">
        <w:rPr>
          <w:lang w:eastAsia="en-AU"/>
        </w:rPr>
        <w:t>New England and Cotton</w:t>
      </w:r>
      <w:r w:rsidR="00E23B8D">
        <w:rPr>
          <w:i/>
          <w:iCs/>
          <w:lang w:eastAsia="en-AU"/>
        </w:rPr>
        <w:t xml:space="preserve"> </w:t>
      </w:r>
      <w:r w:rsidRPr="002A4EF3">
        <w:rPr>
          <w:lang w:eastAsia="en-AU"/>
        </w:rPr>
        <w:t xml:space="preserve">Catchment Communities Cooperative Research Centre, Armidale, New South Wales. </w:t>
      </w:r>
    </w:p>
    <w:p w:rsidR="00423C6C" w:rsidRDefault="00423C6C" w:rsidP="009D5114"/>
    <w:p w:rsidR="00423C6C" w:rsidRDefault="00423C6C" w:rsidP="009D5114">
      <w:pPr>
        <w:sectPr w:rsidR="00423C6C" w:rsidSect="00E23B8D">
          <w:headerReference w:type="default" r:id="rId177"/>
          <w:footerReference w:type="default" r:id="rId178"/>
          <w:type w:val="nextColumn"/>
          <w:pgSz w:w="11899" w:h="16838"/>
          <w:pgMar w:top="1418" w:right="1219" w:bottom="1457" w:left="1480" w:header="811" w:footer="305" w:gutter="0"/>
          <w:pgNumType w:chapStyle="6"/>
          <w:cols w:space="708"/>
          <w:docGrid w:linePitch="360"/>
        </w:sectPr>
      </w:pPr>
    </w:p>
    <w:p w:rsidR="00CF1FE4" w:rsidRPr="000A5513" w:rsidRDefault="00CF1FE4" w:rsidP="00AE6164">
      <w:pPr>
        <w:pStyle w:val="Heading6"/>
      </w:pPr>
      <w:r w:rsidRPr="000A5513">
        <w:t xml:space="preserve">Fish </w:t>
      </w:r>
      <w:r w:rsidR="00A5046E" w:rsidRPr="000A5513">
        <w:t>Movement</w:t>
      </w:r>
    </w:p>
    <w:p w:rsidR="00223954" w:rsidRPr="005D0D18" w:rsidRDefault="00223954" w:rsidP="00AA4C84">
      <w:pPr>
        <w:pStyle w:val="Heading7"/>
        <w:rPr>
          <w:b/>
        </w:rPr>
      </w:pPr>
      <w:r w:rsidRPr="00AA4C84">
        <w:t>Introduction</w:t>
      </w:r>
    </w:p>
    <w:p w:rsidR="00223954" w:rsidRPr="00223954" w:rsidRDefault="00223954" w:rsidP="00223954">
      <w:pPr>
        <w:pStyle w:val="NoSpacing"/>
        <w:spacing w:after="200" w:line="280" w:lineRule="exact"/>
        <w:rPr>
          <w:rFonts w:cs="Arial"/>
          <w:szCs w:val="20"/>
          <w:lang w:eastAsia="en-AU"/>
        </w:rPr>
      </w:pPr>
      <w:r w:rsidRPr="00223954">
        <w:rPr>
          <w:rFonts w:cs="Arial"/>
          <w:szCs w:val="20"/>
          <w:lang w:eastAsia="en-AU"/>
        </w:rPr>
        <w:t xml:space="preserve">Bio-telemetry is used extensively by fisheries scientists across the </w:t>
      </w:r>
      <w:r>
        <w:rPr>
          <w:rFonts w:cs="Arial"/>
          <w:szCs w:val="20"/>
          <w:lang w:eastAsia="en-AU"/>
        </w:rPr>
        <w:t>w</w:t>
      </w:r>
      <w:r w:rsidRPr="00223954">
        <w:rPr>
          <w:rFonts w:cs="Arial"/>
          <w:szCs w:val="20"/>
          <w:lang w:eastAsia="en-AU"/>
        </w:rPr>
        <w:t xml:space="preserve">orld to answer a wide range of questions, including many related to fish and their response to changes in river flows. </w:t>
      </w:r>
      <w:r w:rsidR="00A97349">
        <w:rPr>
          <w:rFonts w:cs="Arial"/>
          <w:szCs w:val="20"/>
          <w:lang w:eastAsia="en-AU"/>
        </w:rPr>
        <w:t xml:space="preserve"> </w:t>
      </w:r>
      <w:r w:rsidRPr="00223954">
        <w:rPr>
          <w:rFonts w:cs="Arial"/>
          <w:szCs w:val="20"/>
          <w:lang w:eastAsia="en-AU"/>
        </w:rPr>
        <w:t xml:space="preserve">There are currently a number of acoustic bio-telemetry programs underway throughout the Murray-Darling Basin, answering among other questions, those relating to environmental </w:t>
      </w:r>
      <w:r w:rsidR="009E7B98">
        <w:rPr>
          <w:rFonts w:cs="Arial"/>
          <w:szCs w:val="20"/>
          <w:lang w:eastAsia="en-AU"/>
        </w:rPr>
        <w:t>water</w:t>
      </w:r>
      <w:r w:rsidRPr="00223954">
        <w:rPr>
          <w:rFonts w:cs="Arial"/>
          <w:szCs w:val="20"/>
          <w:lang w:eastAsia="en-AU"/>
        </w:rPr>
        <w:t xml:space="preserve"> and fish movement. </w:t>
      </w:r>
      <w:r w:rsidR="00A97349">
        <w:rPr>
          <w:rFonts w:cs="Arial"/>
          <w:szCs w:val="20"/>
          <w:lang w:eastAsia="en-AU"/>
        </w:rPr>
        <w:t xml:space="preserve"> </w:t>
      </w:r>
      <w:r w:rsidRPr="00223954">
        <w:rPr>
          <w:rFonts w:cs="Arial"/>
          <w:szCs w:val="20"/>
          <w:lang w:eastAsia="en-AU"/>
        </w:rPr>
        <w:t>Unlike these existing programs, the Gwydir Long Term Intervention Monitoring (LTIM) program offers a unique opportunity to utilise bio-telemetry to answer a range of Selected Area</w:t>
      </w:r>
      <w:r w:rsidRPr="00223954">
        <w:rPr>
          <w:rFonts w:cs="Arial"/>
          <w:i/>
          <w:szCs w:val="20"/>
          <w:lang w:eastAsia="en-AU"/>
        </w:rPr>
        <w:t xml:space="preserve"> </w:t>
      </w:r>
      <w:r w:rsidRPr="00223954">
        <w:rPr>
          <w:rFonts w:cs="Arial"/>
          <w:szCs w:val="20"/>
          <w:lang w:eastAsia="en-AU"/>
        </w:rPr>
        <w:t xml:space="preserve">questions specific to the northern Murray-Darling Basin.  The aim of this section of the </w:t>
      </w:r>
      <w:r w:rsidRPr="00223954">
        <w:rPr>
          <w:rFonts w:cs="Arial"/>
          <w:szCs w:val="20"/>
        </w:rPr>
        <w:t>monitoring program is to assess the effects of water releases on fish residency, survival and movement within the Selected Area. Several specific questions were posed in relation to this indicator:</w:t>
      </w:r>
      <w:r w:rsidRPr="00223954">
        <w:rPr>
          <w:rFonts w:cs="Arial"/>
          <w:szCs w:val="20"/>
          <w:lang w:eastAsia="en-AU"/>
        </w:rPr>
        <w:t xml:space="preserve">   </w:t>
      </w:r>
    </w:p>
    <w:p w:rsidR="00223954" w:rsidRPr="00223954" w:rsidRDefault="00223954" w:rsidP="00223954">
      <w:pPr>
        <w:rPr>
          <w:rFonts w:cs="Arial"/>
          <w:szCs w:val="20"/>
        </w:rPr>
      </w:pPr>
      <w:r w:rsidRPr="00223954">
        <w:rPr>
          <w:rFonts w:cs="Arial"/>
          <w:szCs w:val="20"/>
        </w:rPr>
        <w:t>Short-term (one-year) questions:</w:t>
      </w:r>
    </w:p>
    <w:p w:rsidR="00223954" w:rsidRPr="00E23B8D" w:rsidRDefault="00223954" w:rsidP="005E1E2E">
      <w:pPr>
        <w:pStyle w:val="Bullets1"/>
        <w:numPr>
          <w:ilvl w:val="0"/>
          <w:numId w:val="10"/>
        </w:numPr>
        <w:ind w:left="1134" w:hanging="567"/>
      </w:pPr>
      <w:r w:rsidRPr="00E23B8D">
        <w:t>What did Commonwealth environmental water contribute to native fish dispersal?</w:t>
      </w:r>
    </w:p>
    <w:p w:rsidR="00223954" w:rsidRPr="00E23B8D" w:rsidRDefault="00223954" w:rsidP="005E1E2E">
      <w:pPr>
        <w:pStyle w:val="Bullets1"/>
        <w:numPr>
          <w:ilvl w:val="0"/>
          <w:numId w:val="10"/>
        </w:numPr>
        <w:ind w:left="1134" w:hanging="567"/>
      </w:pPr>
      <w:r w:rsidRPr="00E23B8D">
        <w:t>Did environmental water stimulate target species to exhibit movement consistent with breeding behaviour?</w:t>
      </w:r>
    </w:p>
    <w:p w:rsidR="00223954" w:rsidRPr="00E23B8D" w:rsidRDefault="00223954" w:rsidP="005E1E2E">
      <w:pPr>
        <w:pStyle w:val="Bullets1"/>
        <w:numPr>
          <w:ilvl w:val="0"/>
          <w:numId w:val="10"/>
        </w:numPr>
        <w:spacing w:after="240"/>
        <w:ind w:left="1134" w:hanging="567"/>
      </w:pPr>
      <w:r w:rsidRPr="00E23B8D">
        <w:t>Did environmental water facilitate target species to move/return to refuge habitat?</w:t>
      </w:r>
    </w:p>
    <w:p w:rsidR="00223954" w:rsidRPr="00223954" w:rsidRDefault="00223954" w:rsidP="00223954">
      <w:pPr>
        <w:rPr>
          <w:rFonts w:cs="Arial"/>
          <w:szCs w:val="20"/>
        </w:rPr>
      </w:pPr>
      <w:r w:rsidRPr="00223954">
        <w:rPr>
          <w:rFonts w:cs="Arial"/>
          <w:szCs w:val="20"/>
        </w:rPr>
        <w:t>Long-term (five-year) question:</w:t>
      </w:r>
    </w:p>
    <w:p w:rsidR="00223954" w:rsidRPr="00C95C8D" w:rsidRDefault="00223954" w:rsidP="005E1E2E">
      <w:pPr>
        <w:pStyle w:val="Bullets1"/>
        <w:numPr>
          <w:ilvl w:val="0"/>
          <w:numId w:val="10"/>
        </w:numPr>
        <w:spacing w:after="240"/>
        <w:ind w:left="1134" w:hanging="567"/>
      </w:pPr>
      <w:r w:rsidRPr="00C95C8D">
        <w:t>What did Commonwealth environmental water contribute to native fish populations?</w:t>
      </w:r>
    </w:p>
    <w:p w:rsidR="00223954" w:rsidRPr="005D0D18" w:rsidRDefault="00223954" w:rsidP="00223954">
      <w:pPr>
        <w:pStyle w:val="Heading7"/>
      </w:pPr>
      <w:r w:rsidRPr="005D0D18">
        <w:t xml:space="preserve">Methods </w:t>
      </w:r>
    </w:p>
    <w:p w:rsidR="00223954" w:rsidRPr="00927157" w:rsidRDefault="00223954" w:rsidP="00223954">
      <w:pPr>
        <w:pStyle w:val="Heading8"/>
      </w:pPr>
      <w:r>
        <w:t xml:space="preserve"> </w:t>
      </w:r>
      <w:r w:rsidRPr="00927157">
        <w:t xml:space="preserve">Study </w:t>
      </w:r>
      <w:r>
        <w:t>area</w:t>
      </w:r>
    </w:p>
    <w:p w:rsidR="00223954" w:rsidRPr="00927157" w:rsidRDefault="00223954" w:rsidP="00223954">
      <w:pPr>
        <w:pStyle w:val="NoSpacing"/>
        <w:spacing w:after="200" w:line="280" w:lineRule="exact"/>
        <w:rPr>
          <w:rFonts w:cs="Arial"/>
        </w:rPr>
      </w:pPr>
      <w:r w:rsidRPr="00927157">
        <w:rPr>
          <w:rFonts w:cs="Arial"/>
        </w:rPr>
        <w:t xml:space="preserve">The study </w:t>
      </w:r>
      <w:r>
        <w:rPr>
          <w:rFonts w:cs="Arial"/>
        </w:rPr>
        <w:t xml:space="preserve">is being </w:t>
      </w:r>
      <w:r w:rsidRPr="00927157">
        <w:rPr>
          <w:rFonts w:cs="Arial"/>
        </w:rPr>
        <w:t xml:space="preserve">undertaken </w:t>
      </w:r>
      <w:r>
        <w:rPr>
          <w:rFonts w:cs="Arial"/>
        </w:rPr>
        <w:t xml:space="preserve">in the Mehi and Gwydir </w:t>
      </w:r>
      <w:r w:rsidR="009E7B98">
        <w:rPr>
          <w:rFonts w:cs="Arial"/>
        </w:rPr>
        <w:t>R</w:t>
      </w:r>
      <w:r w:rsidRPr="00927157">
        <w:rPr>
          <w:rFonts w:cs="Arial"/>
        </w:rPr>
        <w:t>iver</w:t>
      </w:r>
      <w:r>
        <w:rPr>
          <w:rFonts w:cs="Arial"/>
        </w:rPr>
        <w:t>s within the Selected Area (</w:t>
      </w:r>
      <w:r w:rsidR="00524FA4">
        <w:rPr>
          <w:rFonts w:cs="Arial"/>
        </w:rPr>
        <w:fldChar w:fldCharType="begin"/>
      </w:r>
      <w:r w:rsidR="00524FA4">
        <w:rPr>
          <w:rFonts w:cs="Arial"/>
        </w:rPr>
        <w:instrText xml:space="preserve"> REF _Ref459033223 \h </w:instrText>
      </w:r>
      <w:r w:rsidR="00524FA4">
        <w:rPr>
          <w:rFonts w:cs="Arial"/>
        </w:rPr>
      </w:r>
      <w:r w:rsidR="00524FA4">
        <w:rPr>
          <w:rFonts w:cs="Arial"/>
        </w:rPr>
        <w:fldChar w:fldCharType="separate"/>
      </w:r>
      <w:r w:rsidR="005D5925">
        <w:t xml:space="preserve">Figure </w:t>
      </w:r>
      <w:r w:rsidR="005D5925">
        <w:rPr>
          <w:noProof/>
        </w:rPr>
        <w:t>J</w:t>
      </w:r>
      <w:r w:rsidR="005D5925">
        <w:noBreakHyphen/>
      </w:r>
      <w:r w:rsidR="005D5925">
        <w:rPr>
          <w:noProof/>
        </w:rPr>
        <w:t>1</w:t>
      </w:r>
      <w:r w:rsidR="00524FA4">
        <w:rPr>
          <w:rFonts w:cs="Arial"/>
        </w:rPr>
        <w:fldChar w:fldCharType="end"/>
      </w:r>
      <w:r w:rsidR="00524FA4">
        <w:rPr>
          <w:rFonts w:cs="Arial"/>
        </w:rPr>
        <w:t>a</w:t>
      </w:r>
      <w:r w:rsidRPr="00927157">
        <w:rPr>
          <w:rFonts w:cs="Arial"/>
        </w:rPr>
        <w:t xml:space="preserve">). </w:t>
      </w:r>
      <w:r w:rsidR="00A97349">
        <w:rPr>
          <w:rFonts w:cs="Arial"/>
        </w:rPr>
        <w:t xml:space="preserve"> </w:t>
      </w:r>
      <w:r w:rsidRPr="00927157">
        <w:rPr>
          <w:rFonts w:cs="Arial"/>
        </w:rPr>
        <w:t>In the Mehi River the study</w:t>
      </w:r>
      <w:r>
        <w:rPr>
          <w:rFonts w:cs="Arial"/>
        </w:rPr>
        <w:t xml:space="preserve"> reach extends from Tareelaroi W</w:t>
      </w:r>
      <w:r w:rsidRPr="00927157">
        <w:rPr>
          <w:rFonts w:cs="Arial"/>
        </w:rPr>
        <w:t xml:space="preserve">eir, where the Mehi </w:t>
      </w:r>
      <w:r>
        <w:rPr>
          <w:rFonts w:cs="Arial"/>
        </w:rPr>
        <w:t>diverges</w:t>
      </w:r>
      <w:r w:rsidRPr="00927157">
        <w:rPr>
          <w:rFonts w:cs="Arial"/>
        </w:rPr>
        <w:t xml:space="preserve"> from the Gwydir, </w:t>
      </w:r>
      <w:r>
        <w:rPr>
          <w:rFonts w:cs="Arial"/>
        </w:rPr>
        <w:t xml:space="preserve">downstream </w:t>
      </w:r>
      <w:r w:rsidRPr="00927157">
        <w:rPr>
          <w:rFonts w:cs="Arial"/>
        </w:rPr>
        <w:t>to the town</w:t>
      </w:r>
      <w:r>
        <w:rPr>
          <w:rFonts w:cs="Arial"/>
        </w:rPr>
        <w:t>ship</w:t>
      </w:r>
      <w:r w:rsidRPr="00927157">
        <w:rPr>
          <w:rFonts w:cs="Arial"/>
        </w:rPr>
        <w:t xml:space="preserve"> of Moree. </w:t>
      </w:r>
      <w:r w:rsidR="00A97349">
        <w:rPr>
          <w:rFonts w:cs="Arial"/>
        </w:rPr>
        <w:t xml:space="preserve"> </w:t>
      </w:r>
      <w:r w:rsidRPr="00927157">
        <w:rPr>
          <w:rFonts w:cs="Arial"/>
        </w:rPr>
        <w:t>In the Gwydir, the study reach extends fr</w:t>
      </w:r>
      <w:r>
        <w:rPr>
          <w:rFonts w:cs="Arial"/>
        </w:rPr>
        <w:t>om 6 km upstream of Tareelaroi W</w:t>
      </w:r>
      <w:r w:rsidRPr="00927157">
        <w:rPr>
          <w:rFonts w:cs="Arial"/>
        </w:rPr>
        <w:t>eir</w:t>
      </w:r>
      <w:r>
        <w:rPr>
          <w:rFonts w:cs="Arial"/>
        </w:rPr>
        <w:t>,</w:t>
      </w:r>
      <w:r w:rsidRPr="00927157">
        <w:rPr>
          <w:rFonts w:cs="Arial"/>
        </w:rPr>
        <w:t xml:space="preserve"> </w:t>
      </w:r>
      <w:r>
        <w:rPr>
          <w:rFonts w:cs="Arial"/>
        </w:rPr>
        <w:t xml:space="preserve">downstream </w:t>
      </w:r>
      <w:r w:rsidRPr="00927157">
        <w:rPr>
          <w:rFonts w:cs="Arial"/>
        </w:rPr>
        <w:t xml:space="preserve">to </w:t>
      </w:r>
      <w:r>
        <w:rPr>
          <w:rFonts w:cs="Arial"/>
        </w:rPr>
        <w:t>immediately below the junction of the Gwydir and</w:t>
      </w:r>
      <w:r w:rsidRPr="00927157">
        <w:rPr>
          <w:rFonts w:cs="Arial"/>
        </w:rPr>
        <w:t xml:space="preserve"> Gingham </w:t>
      </w:r>
      <w:r w:rsidR="001C3C04">
        <w:rPr>
          <w:rFonts w:cs="Arial"/>
        </w:rPr>
        <w:t>watercourse</w:t>
      </w:r>
      <w:r w:rsidRPr="00927157">
        <w:rPr>
          <w:rFonts w:cs="Arial"/>
        </w:rPr>
        <w:t xml:space="preserve">. </w:t>
      </w:r>
      <w:r>
        <w:rPr>
          <w:rFonts w:cs="Arial"/>
        </w:rPr>
        <w:t>Each study reach covers</w:t>
      </w:r>
      <w:r w:rsidRPr="00927157">
        <w:rPr>
          <w:rFonts w:cs="Arial"/>
        </w:rPr>
        <w:t xml:space="preserve"> approximately 45 km of </w:t>
      </w:r>
      <w:r>
        <w:rPr>
          <w:rFonts w:cs="Arial"/>
        </w:rPr>
        <w:t>their respective</w:t>
      </w:r>
      <w:r w:rsidRPr="00927157">
        <w:rPr>
          <w:rFonts w:cs="Arial"/>
        </w:rPr>
        <w:t xml:space="preserve"> river</w:t>
      </w:r>
      <w:r>
        <w:rPr>
          <w:rFonts w:cs="Arial"/>
        </w:rPr>
        <w:t xml:space="preserve">. </w:t>
      </w:r>
      <w:r w:rsidR="00A97349">
        <w:rPr>
          <w:rFonts w:cs="Arial"/>
        </w:rPr>
        <w:t xml:space="preserve"> </w:t>
      </w:r>
      <w:r>
        <w:rPr>
          <w:rFonts w:cs="Arial"/>
        </w:rPr>
        <w:t xml:space="preserve">The Gwydir and Mehi </w:t>
      </w:r>
      <w:r w:rsidRPr="00927157">
        <w:rPr>
          <w:rFonts w:cs="Arial"/>
        </w:rPr>
        <w:t xml:space="preserve">typically do no exceed </w:t>
      </w:r>
      <w:r>
        <w:rPr>
          <w:rFonts w:cs="Arial"/>
        </w:rPr>
        <w:t>25 m in width and 3 m in depth. Both</w:t>
      </w:r>
      <w:r w:rsidRPr="00927157">
        <w:rPr>
          <w:rFonts w:cs="Arial"/>
        </w:rPr>
        <w:t xml:space="preserve"> river system</w:t>
      </w:r>
      <w:r>
        <w:rPr>
          <w:rFonts w:cs="Arial"/>
        </w:rPr>
        <w:t>s are</w:t>
      </w:r>
      <w:r w:rsidRPr="00927157">
        <w:rPr>
          <w:rFonts w:cs="Arial"/>
        </w:rPr>
        <w:t xml:space="preserve"> highly regulated and </w:t>
      </w:r>
      <w:r>
        <w:rPr>
          <w:rFonts w:cs="Arial"/>
        </w:rPr>
        <w:t xml:space="preserve">the surrounding catchment </w:t>
      </w:r>
      <w:r w:rsidRPr="00927157">
        <w:rPr>
          <w:rFonts w:cs="Arial"/>
        </w:rPr>
        <w:t xml:space="preserve">is used for intensive agricultural </w:t>
      </w:r>
      <w:r>
        <w:rPr>
          <w:rFonts w:cs="Arial"/>
        </w:rPr>
        <w:t xml:space="preserve">including large areas under </w:t>
      </w:r>
      <w:r w:rsidRPr="00927157">
        <w:rPr>
          <w:rFonts w:cs="Arial"/>
        </w:rPr>
        <w:t>irrigat</w:t>
      </w:r>
      <w:r>
        <w:rPr>
          <w:rFonts w:cs="Arial"/>
        </w:rPr>
        <w:t>ed crops</w:t>
      </w:r>
      <w:r w:rsidRPr="00927157">
        <w:rPr>
          <w:rFonts w:cs="Arial"/>
        </w:rPr>
        <w:t xml:space="preserve">. </w:t>
      </w:r>
      <w:r w:rsidR="00A97349">
        <w:rPr>
          <w:rFonts w:cs="Arial"/>
        </w:rPr>
        <w:t xml:space="preserve"> </w:t>
      </w:r>
      <w:r w:rsidRPr="00927157">
        <w:rPr>
          <w:rFonts w:cs="Arial"/>
        </w:rPr>
        <w:t xml:space="preserve">The system receives environmental </w:t>
      </w:r>
      <w:r w:rsidR="009E7B98">
        <w:rPr>
          <w:rFonts w:cs="Arial"/>
        </w:rPr>
        <w:t>water</w:t>
      </w:r>
      <w:r w:rsidRPr="00927157">
        <w:rPr>
          <w:rFonts w:cs="Arial"/>
        </w:rPr>
        <w:t xml:space="preserve"> from the main upstream impoundment, Copeton Dam</w:t>
      </w:r>
      <w:r>
        <w:rPr>
          <w:rFonts w:cs="Arial"/>
        </w:rPr>
        <w:t>.</w:t>
      </w:r>
    </w:p>
    <w:p w:rsidR="00223954" w:rsidRDefault="00223954" w:rsidP="00223954">
      <w:pPr>
        <w:pStyle w:val="NoSpacing"/>
        <w:spacing w:after="200" w:line="280" w:lineRule="exact"/>
        <w:rPr>
          <w:rFonts w:cs="Arial"/>
        </w:rPr>
      </w:pPr>
      <w:r w:rsidRPr="00927157">
        <w:rPr>
          <w:rFonts w:cs="Arial"/>
        </w:rPr>
        <w:t xml:space="preserve">The instream environment </w:t>
      </w:r>
      <w:r>
        <w:rPr>
          <w:rFonts w:cs="Arial"/>
        </w:rPr>
        <w:t>of both systems includes</w:t>
      </w:r>
      <w:r w:rsidRPr="00927157">
        <w:rPr>
          <w:rFonts w:cs="Arial"/>
        </w:rPr>
        <w:t xml:space="preserve"> a variety of mesohabitats, </w:t>
      </w:r>
      <w:r>
        <w:rPr>
          <w:rFonts w:cs="Arial"/>
        </w:rPr>
        <w:t>such as woody debris</w:t>
      </w:r>
      <w:r w:rsidRPr="00927157">
        <w:rPr>
          <w:rFonts w:cs="Arial"/>
        </w:rPr>
        <w:t xml:space="preserve">, gravel beds, undercut banks, reed beds, overhanging </w:t>
      </w:r>
      <w:r>
        <w:rPr>
          <w:rFonts w:cs="Arial"/>
        </w:rPr>
        <w:t>riparian vegetation</w:t>
      </w:r>
      <w:r w:rsidRPr="00927157">
        <w:rPr>
          <w:rFonts w:cs="Arial"/>
        </w:rPr>
        <w:t xml:space="preserve"> and </w:t>
      </w:r>
      <w:r>
        <w:rPr>
          <w:rFonts w:cs="Arial"/>
        </w:rPr>
        <w:t xml:space="preserve">small amounts of </w:t>
      </w:r>
      <w:r w:rsidRPr="00927157">
        <w:rPr>
          <w:rFonts w:cs="Arial"/>
        </w:rPr>
        <w:t xml:space="preserve">aquatic macrophytes. </w:t>
      </w:r>
      <w:r w:rsidR="00A97349">
        <w:rPr>
          <w:rFonts w:cs="Arial"/>
        </w:rPr>
        <w:t xml:space="preserve"> </w:t>
      </w:r>
      <w:r w:rsidRPr="00927157">
        <w:rPr>
          <w:rFonts w:cs="Arial"/>
        </w:rPr>
        <w:t xml:space="preserve">The rivers support a host of native fish species, including an endangered population of freshwater catfish </w:t>
      </w:r>
      <w:r>
        <w:rPr>
          <w:rFonts w:cs="Arial"/>
        </w:rPr>
        <w:t>(</w:t>
      </w:r>
      <w:r w:rsidRPr="007B5094">
        <w:rPr>
          <w:rFonts w:cs="Arial"/>
          <w:i/>
        </w:rPr>
        <w:t>Tandanus</w:t>
      </w:r>
      <w:r w:rsidRPr="00223954">
        <w:rPr>
          <w:rFonts w:cs="Arial"/>
        </w:rPr>
        <w:t xml:space="preserve"> </w:t>
      </w:r>
      <w:r>
        <w:rPr>
          <w:rFonts w:cs="Arial"/>
        </w:rPr>
        <w:t xml:space="preserve">sp.) </w:t>
      </w:r>
      <w:r w:rsidRPr="00927157">
        <w:rPr>
          <w:rFonts w:cs="Arial"/>
        </w:rPr>
        <w:t xml:space="preserve">and the </w:t>
      </w:r>
      <w:r>
        <w:rPr>
          <w:rFonts w:cs="Arial"/>
        </w:rPr>
        <w:t>threatened</w:t>
      </w:r>
      <w:r w:rsidRPr="00927157">
        <w:rPr>
          <w:rFonts w:cs="Arial"/>
        </w:rPr>
        <w:t xml:space="preserve"> Murray cod</w:t>
      </w:r>
      <w:r>
        <w:rPr>
          <w:rFonts w:cs="Arial"/>
        </w:rPr>
        <w:t xml:space="preserve"> (</w:t>
      </w:r>
      <w:r w:rsidRPr="007B5094">
        <w:rPr>
          <w:rFonts w:cs="Arial"/>
          <w:i/>
        </w:rPr>
        <w:t>Maccullochella peelii</w:t>
      </w:r>
      <w:r>
        <w:rPr>
          <w:rFonts w:cs="Arial"/>
        </w:rPr>
        <w:t>)</w:t>
      </w:r>
      <w:r w:rsidRPr="00927157">
        <w:rPr>
          <w:rFonts w:cs="Arial"/>
        </w:rPr>
        <w:t>.</w:t>
      </w:r>
    </w:p>
    <w:p w:rsidR="00223954" w:rsidRPr="0030198A" w:rsidRDefault="00223954" w:rsidP="00223954">
      <w:pPr>
        <w:pStyle w:val="Heading8"/>
      </w:pPr>
      <w:r w:rsidRPr="0030198A">
        <w:t>Fine scale acoustic array</w:t>
      </w:r>
    </w:p>
    <w:p w:rsidR="00223954" w:rsidRPr="00223954" w:rsidRDefault="00223954" w:rsidP="00223954">
      <w:pPr>
        <w:pStyle w:val="NoSpacing"/>
        <w:spacing w:after="200" w:line="280" w:lineRule="exact"/>
        <w:rPr>
          <w:rFonts w:cs="Arial"/>
        </w:rPr>
      </w:pPr>
      <w:r w:rsidRPr="00223954">
        <w:rPr>
          <w:rFonts w:cs="Arial"/>
        </w:rPr>
        <w:t xml:space="preserve">Local scale </w:t>
      </w:r>
      <w:r w:rsidR="009E7B98" w:rsidRPr="00223954">
        <w:rPr>
          <w:rFonts w:cs="Arial"/>
        </w:rPr>
        <w:t>behaviour</w:t>
      </w:r>
      <w:r w:rsidRPr="00223954">
        <w:rPr>
          <w:rFonts w:cs="Arial"/>
        </w:rPr>
        <w:t xml:space="preserve"> of tagged fish will be recorded using two fine-scale acoustic telemetry arrays. </w:t>
      </w:r>
      <w:r w:rsidR="00A97349">
        <w:rPr>
          <w:rFonts w:cs="Arial"/>
        </w:rPr>
        <w:t xml:space="preserve"> </w:t>
      </w:r>
      <w:r w:rsidRPr="00223954">
        <w:rPr>
          <w:rFonts w:cs="Arial"/>
        </w:rPr>
        <w:t>Sites for the fine scale arrays were selected based on factors such as river curvature</w:t>
      </w:r>
      <w:r w:rsidR="009E7B98">
        <w:rPr>
          <w:rFonts w:cs="Arial"/>
        </w:rPr>
        <w:t xml:space="preserve"> and</w:t>
      </w:r>
      <w:r w:rsidRPr="00223954">
        <w:rPr>
          <w:rFonts w:cs="Arial"/>
        </w:rPr>
        <w:t xml:space="preserve"> obtrusive structures, </w:t>
      </w:r>
      <w:r w:rsidRPr="002F658F">
        <w:rPr>
          <w:rFonts w:cs="Arial"/>
        </w:rPr>
        <w:t>while at the same time ensuring consistency in habitats among sites (</w:t>
      </w:r>
      <w:r w:rsidR="002F658F" w:rsidRPr="002F658F">
        <w:rPr>
          <w:rFonts w:cs="Arial"/>
        </w:rPr>
        <w:t>55J 790973</w:t>
      </w:r>
      <w:r w:rsidRPr="002F658F">
        <w:rPr>
          <w:rFonts w:cs="Arial"/>
        </w:rPr>
        <w:t xml:space="preserve">E, </w:t>
      </w:r>
      <w:r w:rsidR="002F658F" w:rsidRPr="002F658F">
        <w:rPr>
          <w:rFonts w:cs="Arial"/>
        </w:rPr>
        <w:t>6740855</w:t>
      </w:r>
      <w:r w:rsidRPr="002F658F">
        <w:rPr>
          <w:rFonts w:cs="Arial"/>
        </w:rPr>
        <w:t xml:space="preserve">S and </w:t>
      </w:r>
      <w:r w:rsidR="002F658F" w:rsidRPr="002F658F">
        <w:rPr>
          <w:rFonts w:cs="Arial"/>
        </w:rPr>
        <w:t>781002</w:t>
      </w:r>
      <w:r w:rsidRPr="002F658F">
        <w:rPr>
          <w:rFonts w:cs="Arial"/>
        </w:rPr>
        <w:t xml:space="preserve">E, </w:t>
      </w:r>
      <w:r w:rsidR="002F658F" w:rsidRPr="002F658F">
        <w:rPr>
          <w:rFonts w:cs="Arial"/>
        </w:rPr>
        <w:t>6736419</w:t>
      </w:r>
      <w:r w:rsidRPr="002F658F">
        <w:rPr>
          <w:rFonts w:cs="Arial"/>
        </w:rPr>
        <w:t xml:space="preserve">S, </w:t>
      </w:r>
      <w:r w:rsidR="00AA4C84" w:rsidRPr="002F658F">
        <w:rPr>
          <w:rFonts w:cs="Arial"/>
        </w:rPr>
        <w:fldChar w:fldCharType="begin"/>
      </w:r>
      <w:r w:rsidR="00AA4C84" w:rsidRPr="002F658F">
        <w:rPr>
          <w:rFonts w:cs="Arial"/>
        </w:rPr>
        <w:instrText xml:space="preserve"> REF _Ref459033223 \h </w:instrText>
      </w:r>
      <w:r w:rsidR="002F658F">
        <w:rPr>
          <w:rFonts w:cs="Arial"/>
        </w:rPr>
        <w:instrText xml:space="preserve"> \* MERGEFORMAT </w:instrText>
      </w:r>
      <w:r w:rsidR="00AA4C84" w:rsidRPr="002F658F">
        <w:rPr>
          <w:rFonts w:cs="Arial"/>
        </w:rPr>
      </w:r>
      <w:r w:rsidR="00AA4C84" w:rsidRPr="002F658F">
        <w:rPr>
          <w:rFonts w:cs="Arial"/>
        </w:rPr>
        <w:fldChar w:fldCharType="separate"/>
      </w:r>
      <w:r w:rsidR="005D5925">
        <w:t xml:space="preserve">Figure </w:t>
      </w:r>
      <w:r w:rsidR="005D5925">
        <w:rPr>
          <w:noProof/>
        </w:rPr>
        <w:t>J</w:t>
      </w:r>
      <w:r w:rsidR="005D5925">
        <w:rPr>
          <w:noProof/>
        </w:rPr>
        <w:noBreakHyphen/>
        <w:t>1</w:t>
      </w:r>
      <w:r w:rsidR="00AA4C84" w:rsidRPr="002F658F">
        <w:rPr>
          <w:rFonts w:cs="Arial"/>
        </w:rPr>
        <w:fldChar w:fldCharType="end"/>
      </w:r>
      <w:r w:rsidRPr="002F658F">
        <w:rPr>
          <w:rFonts w:cs="Arial"/>
        </w:rPr>
        <w:t xml:space="preserve">a). </w:t>
      </w:r>
      <w:r w:rsidR="00A97349">
        <w:rPr>
          <w:rFonts w:cs="Arial"/>
        </w:rPr>
        <w:t xml:space="preserve"> </w:t>
      </w:r>
      <w:r w:rsidRPr="002F658F">
        <w:rPr>
          <w:rFonts w:cs="Arial"/>
        </w:rPr>
        <w:t xml:space="preserve">A range of tests were performed </w:t>
      </w:r>
      <w:r w:rsidRPr="002F658F">
        <w:rPr>
          <w:rFonts w:cs="Arial"/>
        </w:rPr>
        <w:fldChar w:fldCharType="begin"/>
      </w:r>
      <w:r w:rsidRPr="002F658F">
        <w:rPr>
          <w:rFonts w:cs="Arial"/>
        </w:rPr>
        <w:instrText xml:space="preserve"> ADDIN EN.CITE &lt;EndNote&gt;&lt;Cite&gt;&lt;Author&gt;Espinoza&lt;/Author&gt;&lt;Year&gt;2011&lt;/Year&gt;&lt;RecNum&gt;600&lt;/RecNum&gt;&lt;Prefix&gt;as decribed in &lt;/Prefix&gt;&lt;DisplayText&gt;(as decribed in Espinoza&lt;style face="italic"&gt; et al.&lt;/style&gt; 2011)&lt;/DisplayText&gt;&lt;record&gt;&lt;rec-number&gt;600&lt;/rec-number&gt;&lt;foreign-keys&gt;&lt;key app="EN" db-id="2fd0wxte4z9xf0epraxvfa9n0zxe0wpzzfpa" timestamp="1466040450"&gt;600&lt;/key&gt;&lt;/foreign-keys&gt;&lt;ref-type name="Journal Article"&gt;17&lt;/ref-type&gt;&lt;contributors&gt;&lt;authors&gt;&lt;author&gt;Espinoza, Mario&lt;/author&gt;&lt;author&gt;Farrugia, Thomas J&lt;/author&gt;&lt;author&gt;Webber, Dale M&lt;/author&gt;&lt;author&gt;Smith, Frank&lt;/author&gt;&lt;author&gt;Lowe, Christopher G&lt;/author&gt;&lt;/authors&gt;&lt;/contributors&gt;&lt;titles&gt;&lt;title&gt;Testing a new acoustic telemetry technique to quantify long-term, fine-scale movements of aquatic animals&lt;/title&gt;&lt;secondary-title&gt;Fisheries Research&lt;/secondary-title&gt;&lt;/titles&gt;&lt;periodical&gt;&lt;full-title&gt;Fisheries Research&lt;/full-title&gt;&lt;/periodical&gt;&lt;pages&gt;364-371&lt;/pages&gt;&lt;volume&gt;108&lt;/volume&gt;&lt;number&gt;2&lt;/number&gt;&lt;dates&gt;&lt;year&gt;2011&lt;/year&gt;&lt;/dates&gt;&lt;isbn&gt;0165-7836&lt;/isbn&gt;&lt;urls&gt;&lt;related-urls&gt;&lt;url&gt;http://ac.els-cdn.com/S0165783611000300/1-s2.0-S0165783611000300-main.pdf?_tid=8fdb70d4-3361-11e6-bf9d-00000aacb35d&amp;amp;acdnat=1466040660_2b07cae0058d45e4488e2dd9b8f8631b&lt;/url&gt;&lt;/related-urls&gt;&lt;/urls&gt;&lt;/record&gt;&lt;/Cite&gt;&lt;/EndNote&gt;</w:instrText>
      </w:r>
      <w:r w:rsidRPr="002F658F">
        <w:rPr>
          <w:rFonts w:cs="Arial"/>
        </w:rPr>
        <w:fldChar w:fldCharType="separate"/>
      </w:r>
      <w:r w:rsidRPr="002F658F">
        <w:rPr>
          <w:rFonts w:cs="Arial"/>
        </w:rPr>
        <w:t xml:space="preserve">(as </w:t>
      </w:r>
      <w:r w:rsidR="009E7B98" w:rsidRPr="002F658F">
        <w:rPr>
          <w:rFonts w:cs="Arial"/>
        </w:rPr>
        <w:t>described</w:t>
      </w:r>
      <w:r w:rsidRPr="002F658F">
        <w:rPr>
          <w:rFonts w:cs="Arial"/>
        </w:rPr>
        <w:t xml:space="preserve"> in Espinoza et al. 2011)</w:t>
      </w:r>
      <w:r w:rsidRPr="002F658F">
        <w:rPr>
          <w:rFonts w:cs="Arial"/>
        </w:rPr>
        <w:fldChar w:fldCharType="end"/>
      </w:r>
      <w:r w:rsidRPr="002F658F">
        <w:rPr>
          <w:rFonts w:cs="Arial"/>
        </w:rPr>
        <w:t xml:space="preserve"> </w:t>
      </w:r>
      <w:r w:rsidRPr="002F658F">
        <w:rPr>
          <w:rFonts w:cs="Arial"/>
          <w:i/>
        </w:rPr>
        <w:t>in situ</w:t>
      </w:r>
      <w:r w:rsidRPr="002F658F">
        <w:rPr>
          <w:rFonts w:cs="Arial"/>
        </w:rPr>
        <w:t xml:space="preserve"> to assess signal strength in relation to receiver position, while at the same time still allowing high</w:t>
      </w:r>
      <w:r w:rsidRPr="00927157">
        <w:rPr>
          <w:rFonts w:cs="Arial"/>
        </w:rPr>
        <w:t xml:space="preserve"> precision positioning of multiple fish simultaneously.</w:t>
      </w:r>
      <w:r w:rsidR="00A97349">
        <w:rPr>
          <w:rFonts w:cs="Arial"/>
        </w:rPr>
        <w:t xml:space="preserve">  </w:t>
      </w:r>
      <w:r w:rsidRPr="00927157">
        <w:rPr>
          <w:rFonts w:cs="Arial"/>
        </w:rPr>
        <w:t xml:space="preserve">Once a maximum interval of 50 m was determined, </w:t>
      </w:r>
      <w:r w:rsidRPr="00223954">
        <w:rPr>
          <w:rFonts w:cs="Arial"/>
        </w:rPr>
        <w:t>a fine scale array consisting of eight Vemco VR2W 69 KHz receivers were arranged in adjacent equilateral triangles (</w:t>
      </w:r>
      <w:r w:rsidR="00AA4C84">
        <w:rPr>
          <w:rFonts w:cs="Arial"/>
        </w:rPr>
        <w:fldChar w:fldCharType="begin"/>
      </w:r>
      <w:r w:rsidR="00AA4C84">
        <w:rPr>
          <w:rFonts w:cs="Arial"/>
        </w:rPr>
        <w:instrText xml:space="preserve"> REF _Ref459033223 \h </w:instrText>
      </w:r>
      <w:r w:rsidR="00AA4C84">
        <w:rPr>
          <w:rFonts w:cs="Arial"/>
        </w:rPr>
      </w:r>
      <w:r w:rsidR="00AA4C84">
        <w:rPr>
          <w:rFonts w:cs="Arial"/>
        </w:rPr>
        <w:fldChar w:fldCharType="separate"/>
      </w:r>
      <w:r w:rsidR="005D5925">
        <w:t xml:space="preserve">Figure </w:t>
      </w:r>
      <w:r w:rsidR="005D5925">
        <w:rPr>
          <w:noProof/>
        </w:rPr>
        <w:t>J</w:t>
      </w:r>
      <w:r w:rsidR="005D5925">
        <w:noBreakHyphen/>
      </w:r>
      <w:r w:rsidR="005D5925">
        <w:rPr>
          <w:noProof/>
        </w:rPr>
        <w:t>1</w:t>
      </w:r>
      <w:r w:rsidR="00AA4C84">
        <w:rPr>
          <w:rFonts w:cs="Arial"/>
        </w:rPr>
        <w:fldChar w:fldCharType="end"/>
      </w:r>
      <w:r w:rsidR="00AA4C84">
        <w:rPr>
          <w:rFonts w:cs="Arial"/>
        </w:rPr>
        <w:t>b and</w:t>
      </w:r>
      <w:r w:rsidRPr="00223954">
        <w:rPr>
          <w:rFonts w:cs="Arial"/>
        </w:rPr>
        <w:t xml:space="preserve"> c) in each of the Gwydir and Mehi </w:t>
      </w:r>
      <w:r w:rsidR="009E7B98">
        <w:rPr>
          <w:rFonts w:cs="Arial"/>
        </w:rPr>
        <w:t>R</w:t>
      </w:r>
      <w:r w:rsidRPr="00223954">
        <w:rPr>
          <w:rFonts w:cs="Arial"/>
        </w:rPr>
        <w:t xml:space="preserve">ivers. </w:t>
      </w:r>
      <w:r w:rsidR="00A97349">
        <w:rPr>
          <w:rFonts w:cs="Arial"/>
        </w:rPr>
        <w:t xml:space="preserve"> </w:t>
      </w:r>
      <w:r w:rsidRPr="00223954">
        <w:rPr>
          <w:rFonts w:cs="Arial"/>
        </w:rPr>
        <w:t xml:space="preserve">The arrays were deployed from the 9-13th May 2016 prior to the release of tagged fish. </w:t>
      </w:r>
      <w:r w:rsidR="00A97349">
        <w:rPr>
          <w:rFonts w:cs="Arial"/>
        </w:rPr>
        <w:t xml:space="preserve"> </w:t>
      </w:r>
      <w:r w:rsidRPr="00223954">
        <w:rPr>
          <w:rFonts w:cs="Arial"/>
        </w:rPr>
        <w:t>Temperature loggers (OneTemp, Sydney) were also attached to the centre receiver of each array during the install</w:t>
      </w:r>
      <w:r w:rsidR="009E7B98">
        <w:rPr>
          <w:rFonts w:cs="Arial"/>
        </w:rPr>
        <w:t>ation</w:t>
      </w:r>
      <w:r w:rsidRPr="00223954">
        <w:rPr>
          <w:rFonts w:cs="Arial"/>
        </w:rPr>
        <w:t xml:space="preserve"> process.</w:t>
      </w:r>
    </w:p>
    <w:p w:rsidR="00152762" w:rsidRDefault="004176FF" w:rsidP="00152762">
      <w:pPr>
        <w:keepNext/>
        <w:spacing w:after="0" w:line="360" w:lineRule="auto"/>
      </w:pPr>
      <w:r>
        <w:rPr>
          <w:noProof/>
          <w:lang w:eastAsia="en-AU"/>
        </w:rPr>
        <mc:AlternateContent>
          <mc:Choice Requires="wpc">
            <w:drawing>
              <wp:inline distT="0" distB="0" distL="0" distR="0">
                <wp:extent cx="5610225" cy="5257800"/>
                <wp:effectExtent l="0" t="1905" r="3175" b="0"/>
                <wp:docPr id="236" name="Canvas 28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25" name="Picture 50"/>
                          <pic:cNvPicPr>
                            <a:picLocks noChangeAspect="1" noChangeArrowheads="1"/>
                          </pic:cNvPicPr>
                        </pic:nvPicPr>
                        <pic:blipFill>
                          <a:blip r:embed="rId179">
                            <a:extLst>
                              <a:ext uri="{28A0092B-C50C-407E-A947-70E740481C1C}">
                                <a14:useLocalDpi xmlns:a14="http://schemas.microsoft.com/office/drawing/2010/main"/>
                              </a:ext>
                            </a:extLst>
                          </a:blip>
                          <a:srcRect/>
                          <a:stretch>
                            <a:fillRect/>
                          </a:stretch>
                        </pic:blipFill>
                        <pic:spPr bwMode="auto">
                          <a:xfrm>
                            <a:off x="104779" y="94275"/>
                            <a:ext cx="5428615" cy="271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cap="sq" algn="ctr">
                                <a:solidFill>
                                  <a:srgbClr val="000000"/>
                                </a:solidFill>
                                <a:miter lim="800000"/>
                                <a:headEnd/>
                                <a:tailEnd/>
                              </a14:hiddenLine>
                            </a:ext>
                          </a:extLst>
                        </pic:spPr>
                      </pic:pic>
                      <pic:pic xmlns:pic="http://schemas.openxmlformats.org/drawingml/2006/picture">
                        <pic:nvPicPr>
                          <pic:cNvPr id="226" name="Picture 53" descr="C:\Users\s5030070\Documents\Confirmation\Confirmation maps\Mehine Fine Scale.jpg"/>
                          <pic:cNvPicPr>
                            <a:picLocks noChangeAspect="1" noChangeArrowheads="1"/>
                          </pic:cNvPicPr>
                        </pic:nvPicPr>
                        <pic:blipFill>
                          <a:blip r:embed="rId180">
                            <a:extLst>
                              <a:ext uri="{28A0092B-C50C-407E-A947-70E740481C1C}">
                                <a14:useLocalDpi xmlns:a14="http://schemas.microsoft.com/office/drawing/2010/main"/>
                              </a:ext>
                            </a:extLst>
                          </a:blip>
                          <a:srcRect/>
                          <a:stretch>
                            <a:fillRect/>
                          </a:stretch>
                        </pic:blipFill>
                        <pic:spPr bwMode="auto">
                          <a:xfrm>
                            <a:off x="104779" y="2856525"/>
                            <a:ext cx="2657475" cy="2276475"/>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 name="Picture 264" descr="C:\Users\s5030070\Documents\Confirmation\Confirmation maps\Gwydir Fine scale.jpg"/>
                          <pic:cNvPicPr>
                            <a:picLocks noChangeAspect="1" noChangeArrowheads="1"/>
                          </pic:cNvPicPr>
                        </pic:nvPicPr>
                        <pic:blipFill>
                          <a:blip r:embed="rId181">
                            <a:extLst>
                              <a:ext uri="{28A0092B-C50C-407E-A947-70E740481C1C}">
                                <a14:useLocalDpi xmlns:a14="http://schemas.microsoft.com/office/drawing/2010/main"/>
                              </a:ext>
                            </a:extLst>
                          </a:blip>
                          <a:srcRect/>
                          <a:stretch>
                            <a:fillRect/>
                          </a:stretch>
                        </pic:blipFill>
                        <pic:spPr bwMode="auto">
                          <a:xfrm>
                            <a:off x="2885444" y="2856525"/>
                            <a:ext cx="2647950" cy="2276475"/>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pic:spPr>
                      </pic:pic>
                      <wps:wsp>
                        <wps:cNvPr id="228" name="Text Box 2"/>
                        <wps:cNvSpPr txBox="1">
                          <a:spLocks noChangeArrowheads="1"/>
                        </wps:cNvSpPr>
                        <wps:spPr bwMode="auto">
                          <a:xfrm>
                            <a:off x="158734" y="2912567"/>
                            <a:ext cx="26543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A54D5" w:rsidRPr="00CC18AA" w:rsidRDefault="00EA54D5" w:rsidP="00223954">
                              <w:pPr>
                                <w:pStyle w:val="NormalWeb"/>
                                <w:spacing w:before="0" w:beforeAutospacing="0" w:after="200" w:afterAutospacing="0" w:line="276" w:lineRule="auto"/>
                                <w:rPr>
                                  <w:rFonts w:ascii="Calibri" w:hAnsi="Calibri"/>
                                  <w:color w:val="D9D9D9"/>
                                </w:rPr>
                              </w:pPr>
                              <w:r w:rsidRPr="00CC18AA">
                                <w:rPr>
                                  <w:rFonts w:ascii="Calibri" w:eastAsia="Calibri" w:hAnsi="Calibri"/>
                                  <w:color w:val="D9D9D9"/>
                                  <w:sz w:val="22"/>
                                  <w:szCs w:val="22"/>
                                </w:rPr>
                                <w:t>B</w:t>
                              </w:r>
                            </w:p>
                          </w:txbxContent>
                        </wps:txbx>
                        <wps:bodyPr rot="0" vert="horz" wrap="square" lIns="91440" tIns="45720" rIns="91440" bIns="45720" anchor="t" anchorCtr="0" upright="1">
                          <a:noAutofit/>
                        </wps:bodyPr>
                      </wps:wsp>
                      <wps:wsp>
                        <wps:cNvPr id="229" name="Text Box 2"/>
                        <wps:cNvSpPr txBox="1">
                          <a:spLocks noChangeArrowheads="1"/>
                        </wps:cNvSpPr>
                        <wps:spPr bwMode="auto">
                          <a:xfrm>
                            <a:off x="2927976" y="2899056"/>
                            <a:ext cx="26543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A54D5" w:rsidRPr="00CC18AA" w:rsidRDefault="00EA54D5" w:rsidP="00223954">
                              <w:pPr>
                                <w:pStyle w:val="NormalWeb"/>
                                <w:spacing w:before="0" w:beforeAutospacing="0" w:after="200" w:afterAutospacing="0" w:line="276" w:lineRule="auto"/>
                                <w:rPr>
                                  <w:rFonts w:ascii="Calibri" w:hAnsi="Calibri"/>
                                </w:rPr>
                              </w:pPr>
                              <w:r w:rsidRPr="00CC18AA">
                                <w:rPr>
                                  <w:rFonts w:ascii="Calibri" w:eastAsia="Calibri" w:hAnsi="Calibri"/>
                                  <w:color w:val="D9D9D9"/>
                                  <w:sz w:val="22"/>
                                  <w:szCs w:val="22"/>
                                </w:rPr>
                                <w:t>C</w:t>
                              </w:r>
                            </w:p>
                          </w:txbxContent>
                        </wps:txbx>
                        <wps:bodyPr rot="0" vert="horz" wrap="square" lIns="91440" tIns="45720" rIns="91440" bIns="45720" anchor="t" anchorCtr="0" upright="1">
                          <a:noAutofit/>
                        </wps:bodyPr>
                      </wps:wsp>
                      <wps:wsp>
                        <wps:cNvPr id="230" name="Straight Connector 276"/>
                        <wps:cNvCnPr>
                          <a:cxnSpLocks noChangeShapeType="1"/>
                        </wps:cNvCnPr>
                        <wps:spPr bwMode="auto">
                          <a:xfrm flipH="1">
                            <a:off x="104779" y="1796902"/>
                            <a:ext cx="2404505" cy="1059622"/>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231" name="Straight Connector 277"/>
                        <wps:cNvCnPr>
                          <a:cxnSpLocks noChangeShapeType="1"/>
                        </wps:cNvCnPr>
                        <wps:spPr bwMode="auto">
                          <a:xfrm>
                            <a:off x="2530550" y="1796902"/>
                            <a:ext cx="231704" cy="1059622"/>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232" name="Straight Connector 278"/>
                        <wps:cNvCnPr>
                          <a:cxnSpLocks noChangeShapeType="1"/>
                        </wps:cNvCnPr>
                        <wps:spPr bwMode="auto">
                          <a:xfrm flipH="1">
                            <a:off x="2885444" y="1105786"/>
                            <a:ext cx="1335682" cy="1750738"/>
                          </a:xfrm>
                          <a:prstGeom prst="line">
                            <a:avLst/>
                          </a:prstGeom>
                          <a:noFill/>
                          <a:ln w="9525" algn="ctr">
                            <a:solidFill>
                              <a:srgbClr val="A6A6A6"/>
                            </a:solidFill>
                            <a:round/>
                            <a:headEnd/>
                            <a:tailEnd/>
                          </a:ln>
                          <a:extLst>
                            <a:ext uri="{909E8E84-426E-40DD-AFC4-6F175D3DCCD1}">
                              <a14:hiddenFill xmlns:a14="http://schemas.microsoft.com/office/drawing/2010/main">
                                <a:noFill/>
                              </a14:hiddenFill>
                            </a:ext>
                          </a:extLst>
                        </wps:spPr>
                        <wps:bodyPr/>
                      </wps:wsp>
                      <wps:wsp>
                        <wps:cNvPr id="233" name="Straight Connector 279"/>
                        <wps:cNvCnPr>
                          <a:cxnSpLocks noChangeShapeType="1"/>
                        </wps:cNvCnPr>
                        <wps:spPr bwMode="auto">
                          <a:xfrm>
                            <a:off x="4284921" y="1105786"/>
                            <a:ext cx="1190846" cy="1750738"/>
                          </a:xfrm>
                          <a:prstGeom prst="line">
                            <a:avLst/>
                          </a:prstGeom>
                          <a:noFill/>
                          <a:ln w="9525" algn="ctr">
                            <a:solidFill>
                              <a:srgbClr val="A6A6A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4" name="Picture 337" descr="C:\Users\s5030070\Documents\Confirmation\Confirmation maps\Gwydir Field Site 2.jpg"/>
                          <pic:cNvPicPr>
                            <a:picLocks noChangeAspect="1" noChangeArrowheads="1"/>
                          </pic:cNvPicPr>
                        </pic:nvPicPr>
                        <pic:blipFill>
                          <a:blip r:embed="rId182">
                            <a:extLst>
                              <a:ext uri="{28A0092B-C50C-407E-A947-70E740481C1C}">
                                <a14:useLocalDpi xmlns:a14="http://schemas.microsoft.com/office/drawing/2010/main"/>
                              </a:ext>
                            </a:extLst>
                          </a:blip>
                          <a:srcRect/>
                          <a:stretch>
                            <a:fillRect/>
                          </a:stretch>
                        </pic:blipFill>
                        <pic:spPr bwMode="auto">
                          <a:xfrm>
                            <a:off x="409575" y="199050"/>
                            <a:ext cx="1147740" cy="85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Text Box 273"/>
                        <wps:cNvSpPr txBox="1">
                          <a:spLocks noChangeArrowheads="1"/>
                        </wps:cNvSpPr>
                        <wps:spPr bwMode="auto">
                          <a:xfrm>
                            <a:off x="139684" y="152400"/>
                            <a:ext cx="219076" cy="3248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A54D5" w:rsidRDefault="00EA54D5" w:rsidP="007B5094">
                              <w:pPr>
                                <w:pStyle w:val="NormalWeb"/>
                                <w:spacing w:before="0" w:beforeAutospacing="0" w:after="200" w:afterAutospacing="0" w:line="280" w:lineRule="exact"/>
                                <w:jc w:val="both"/>
                              </w:pPr>
                              <w:r>
                                <w:rPr>
                                  <w:rFonts w:ascii="Arial" w:hAnsi="Arial"/>
                                  <w:sz w:val="20"/>
                                  <w:szCs w:val="20"/>
                                  <w:lang w:val="en-AU"/>
                                </w:rPr>
                                <w:t>A</w:t>
                              </w:r>
                            </w:p>
                          </w:txbxContent>
                        </wps:txbx>
                        <wps:bodyPr rot="0" vert="horz" wrap="square" lIns="91440" tIns="45720" rIns="91440" bIns="45720" anchor="t" anchorCtr="0" upright="1">
                          <a:noAutofit/>
                        </wps:bodyPr>
                      </wps:wsp>
                    </wpc:wpc>
                  </a:graphicData>
                </a:graphic>
              </wp:inline>
            </w:drawing>
          </mc:Choice>
          <mc:Fallback>
            <w:pict>
              <v:group id="Canvas 284" o:spid="_x0000_s1071" editas="canvas" style="width:441.75pt;height:414pt;mso-position-horizontal-relative:char;mso-position-vertical-relative:line" coordsize="56102,525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&#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2" type="#_x0000_t75" style="position:absolute;width:56102;height:52578;visibility:visible;mso-wrap-style:square">
                  <v:fill o:detectmouseclick="t"/>
                  <v:path o:connecttype="none"/>
                </v:shape>
                <v:shape id="Picture 50" o:spid="_x0000_s1073" type="#_x0000_t75" style="position:absolute;left:1047;top:942;width:54286;height:27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2pLnDAAAA3AAAAA8AAABkcnMvZG93bnJldi54bWxEj0FrwkAUhO9C/8PyCr3pblMNJXUTSmnB&#10;k2Ji76/ZZxLMvg3ZrcZ/7wqFHoeZ+YZZF5PtxZlG3znW8LxQIIhrZzpuNByqr/krCB+QDfaOScOV&#10;PBT5w2yNmXEX3tO5DI2IEPYZamhDGDIpfd2SRb9wA3H0jm60GKIcG2lGvES47WWiVCotdhwXWhzo&#10;o6X6VP5aDTu13S2rzypNrbQ/vfp+qY1irZ8ep/c3EIGm8B/+a2+MhiRZwf1MPAIy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DakucMAAADcAAAADwAAAAAAAAAAAAAAAACf&#10;AgAAZHJzL2Rvd25yZXYueG1sUEsFBgAAAAAEAAQA9wAAAI8DAAAAAA==&#10;" strokeweight=".25pt">
                  <v:stroke endcap="square"/>
                  <v:imagedata r:id="rId183" o:title=""/>
                </v:shape>
                <v:shape id="Picture 53" o:spid="_x0000_s1074" type="#_x0000_t75" style="position:absolute;left:1047;top:28565;width:26575;height:22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AVHjBAAAA3AAAAA8AAABkcnMvZG93bnJldi54bWxEj0FrwkAUhO9C/8PyhN7MxhyCpFlFlNJe&#10;ihgFr4/sazaYfRt2t5r+e7dQ8DjMzDdMvZnsIG7kQ+9YwTLLQRC3TvfcKTif3hcrECEiaxwck4Jf&#10;CrBZv8xqrLS785FuTexEgnCoUIGJcaykDK0hiyFzI3Hyvp23GJP0ndQe7wluB1nkeSkt9pwWDI60&#10;M9Remx+rgAOaj7gv+NAvTbhY6Xdf6JV6nU/bNxCRpvgM/7c/tYKiKOHvTDoCcv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VAVHjBAAAA3AAAAA8AAAAAAAAAAAAAAAAAnwIA&#10;AGRycy9kb3ducmV2LnhtbFBLBQYAAAAABAAEAPcAAACNAwAAAAA=&#10;" stroked="t" strokecolor="#7f7f7f">
                  <v:imagedata r:id="rId184" o:title="Mehine Fine Scale"/>
                </v:shape>
                <v:shape id="Picture 264" o:spid="_x0000_s1075" type="#_x0000_t75" style="position:absolute;left:28854;top:28565;width:26479;height:22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TMk/FAAAA3AAAAA8AAABkcnMvZG93bnJldi54bWxEj1FLw0AQhN+F/odjhb7ZS1OokvZapFWw&#10;UARjoT5uc2sumNsLubWN/94rCD4OM/MNs1wPvlVn6mMT2MB0koEiroJtuDZweH++ewAVBdliG5gM&#10;/FCE9Wp0s8TChgu/0bmUWiUIxwINOJGu0DpWjjzGSeiIk/cZeo+SZF9r2+MlwX2r8yyba48NpwWH&#10;HW0cVV/ltzfwMdttn/avglNX+1geNsfsJEdjxrfD4wKU0CD/4b/2izWQ5/dwPZOOgF7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UzJPxQAAANwAAAAPAAAAAAAAAAAAAAAA&#10;AJ8CAABkcnMvZG93bnJldi54bWxQSwUGAAAAAAQABAD3AAAAkQMAAAAA&#10;" stroked="t" strokecolor="#7f7f7f">
                  <v:imagedata r:id="rId185" o:title="Gwydir Fine scale"/>
                </v:shape>
                <v:shape id="_x0000_s1076" type="#_x0000_t202" style="position:absolute;left:1587;top:29125;width:2654;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I7GcIA&#10;AADcAAAADwAAAGRycy9kb3ducmV2LnhtbERPy4rCMBTdD/gP4QruxtSCg1TTIgWZQZyFj427a3Nt&#10;i81NbaLW+frJQnB5OO9F1ptG3KlztWUFk3EEgriwuuZSwWG/+pyBcB5ZY2OZFDzJQZYOPhaYaPvg&#10;Ld13vhQhhF2CCirv20RKV1Rk0I1tSxy4s+0M+gC7UuoOHyHcNDKOoi9psObQUGFLeUXFZXczCtb5&#10;6he3p9jM/pr8e3NettfDcarUaNgv5yA89f4tfrl/tII4DmvD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jsZwgAAANwAAAAPAAAAAAAAAAAAAAAAAJgCAABkcnMvZG93&#10;bnJldi54bWxQSwUGAAAAAAQABAD1AAAAhwMAAAAA&#10;" filled="f" stroked="f" strokeweight=".5pt">
                  <v:textbox>
                    <w:txbxContent>
                      <w:p w:rsidR="00EA54D5" w:rsidRPr="00CC18AA" w:rsidRDefault="00EA54D5" w:rsidP="00223954">
                        <w:pPr>
                          <w:pStyle w:val="NormalWeb"/>
                          <w:spacing w:before="0" w:beforeAutospacing="0" w:after="200" w:afterAutospacing="0" w:line="276" w:lineRule="auto"/>
                          <w:rPr>
                            <w:rFonts w:ascii="Calibri" w:hAnsi="Calibri"/>
                            <w:color w:val="D9D9D9"/>
                          </w:rPr>
                        </w:pPr>
                        <w:r w:rsidRPr="00CC18AA">
                          <w:rPr>
                            <w:rFonts w:ascii="Calibri" w:eastAsia="Calibri" w:hAnsi="Calibri"/>
                            <w:color w:val="D9D9D9"/>
                            <w:sz w:val="22"/>
                            <w:szCs w:val="22"/>
                          </w:rPr>
                          <w:t>B</w:t>
                        </w:r>
                      </w:p>
                    </w:txbxContent>
                  </v:textbox>
                </v:shape>
                <v:shape id="_x0000_s1077" type="#_x0000_t202" style="position:absolute;left:29279;top:28990;width:2655;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6egsUA&#10;AADcAAAADwAAAGRycy9kb3ducmV2LnhtbESPQYvCMBSE78L+h/AWvGm6BRe3GkUKoogedL14ezbP&#10;tti8dJuodX+9EQSPw8x8w4ynranElRpXWlbw1Y9AEGdWl5wr2P/Oe0MQziNrrCyTgjs5mE4+OmNM&#10;tL3xlq47n4sAYZeggsL7OpHSZQUZdH1bEwfvZBuDPsgml7rBW4CbSsZR9C0NlhwWCqwpLSg77y5G&#10;wSqdb3B7jM3wv0oX69Os/tsfBkp1P9vZCISn1r/Dr/ZSK4jjH3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p6CxQAAANwAAAAPAAAAAAAAAAAAAAAAAJgCAABkcnMv&#10;ZG93bnJldi54bWxQSwUGAAAAAAQABAD1AAAAigMAAAAA&#10;" filled="f" stroked="f" strokeweight=".5pt">
                  <v:textbox>
                    <w:txbxContent>
                      <w:p w:rsidR="00EA54D5" w:rsidRPr="00CC18AA" w:rsidRDefault="00EA54D5" w:rsidP="00223954">
                        <w:pPr>
                          <w:pStyle w:val="NormalWeb"/>
                          <w:spacing w:before="0" w:beforeAutospacing="0" w:after="200" w:afterAutospacing="0" w:line="276" w:lineRule="auto"/>
                          <w:rPr>
                            <w:rFonts w:ascii="Calibri" w:hAnsi="Calibri"/>
                          </w:rPr>
                        </w:pPr>
                        <w:r w:rsidRPr="00CC18AA">
                          <w:rPr>
                            <w:rFonts w:ascii="Calibri" w:eastAsia="Calibri" w:hAnsi="Calibri"/>
                            <w:color w:val="D9D9D9"/>
                            <w:sz w:val="22"/>
                            <w:szCs w:val="22"/>
                          </w:rPr>
                          <w:t>C</w:t>
                        </w:r>
                      </w:p>
                    </w:txbxContent>
                  </v:textbox>
                </v:shape>
                <v:line id="Straight Connector 276" o:spid="_x0000_s1078" style="position:absolute;flip:x;visibility:visible;mso-wrap-style:square" from="1047,17969" to="25092,28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Wf4cIAAADcAAAADwAAAGRycy9kb3ducmV2LnhtbERPy2rCQBTdF/yH4Qru6sRIi0RHCcGC&#10;Qjf1sXB3ydw8MHMnZqYm6dd3FoUuD+e92Q2mEU/qXG1ZwWIegSDOra65VHA5f7yuQDiPrLGxTApG&#10;crDbTl42mGjb8xc9T74UIYRdggoq79tESpdXZNDNbUscuMJ2Bn2AXSl1h30IN42Mo+hdGqw5NFTY&#10;UlZRfj99GwX7m2+GB47xz2dx3BdXm9n0rVZqNh3SNQhPg/8X/7kPWkG8DPPDmXAE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YWf4cIAAADcAAAADwAAAAAAAAAAAAAA&#10;AAChAgAAZHJzL2Rvd25yZXYueG1sUEsFBgAAAAAEAAQA+QAAAJADAAAAAA==&#10;" strokecolor="#4a7ebb"/>
                <v:line id="Straight Connector 277" o:spid="_x0000_s1079" style="position:absolute;visibility:visible;mso-wrap-style:square" from="25305,17969" to="27622,28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sWysQAAADcAAAADwAAAGRycy9kb3ducmV2LnhtbESPQWvCQBSE74L/YXlCb7oxgWKjq4hQ&#10;6KGHNBba43P3mQ1m38bsVtN/3y0Uehxm5htmsxtdJ240hNazguUiA0GsvWm5UfB+fJ6vQISIbLDz&#10;TAq+KcBuO51ssDT+zm90q2MjEoRDiQpsjH0pZdCWHIaF74mTd/aDw5jk0Egz4D3BXSfzLHuUDltO&#10;CxZ7OljSl/rLKfiw+FpV+hTJF597bRpj/PVJqYfZuF+DiDTG//Bf+8UoyIsl/J5JR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OxbKxAAAANwAAAAPAAAAAAAAAAAA&#10;AAAAAKECAABkcnMvZG93bnJldi54bWxQSwUGAAAAAAQABAD5AAAAkgMAAAAA&#10;" strokecolor="#4a7ebb"/>
                <v:line id="Straight Connector 278" o:spid="_x0000_s1080" style="position:absolute;flip:x;visibility:visible;mso-wrap-style:square" from="28854,11057" to="42211,28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rst8IAAADcAAAADwAAAGRycy9kb3ducmV2LnhtbESPT4vCMBTE78J+h/CEvWnaCiJdo4gg&#10;623x714fzbOpNi+libb77TeC4HGYmd8w82Vva/Gg1leOFaTjBARx4XTFpYLjYTOagfABWWPtmBT8&#10;kYfl4mMwx1y7jnf02IdSRAj7HBWYEJpcSl8YsujHriGO3sW1FkOUbSl1i12E21pmSTKVFiuOCwYb&#10;Whsqbvu7VTAzt6bbfNPP73l1zdJTt5OTtFfqc9ivvkAE6sM7/GpvtYJsksHzTDwC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drst8IAAADcAAAADwAAAAAAAAAAAAAA&#10;AAChAgAAZHJzL2Rvd25yZXYueG1sUEsFBgAAAAAEAAQA+QAAAJADAAAAAA==&#10;" strokecolor="#a6a6a6"/>
                <v:line id="Straight Connector 279" o:spid="_x0000_s1081" style="position:absolute;visibility:visible;mso-wrap-style:square" from="42849,11057" to="54757,28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che8QAAADcAAAADwAAAGRycy9kb3ducmV2LnhtbESPQWvCQBSE74L/YXlCb7rRQJHUNbRC&#10;wFtRI21vj+xrEpp9G3dXk/77bkHwOMzMN8wmH00nbuR8a1nBcpGAIK6sbrlWUJ6K+RqED8gaO8uk&#10;4Jc85NvpZIOZtgMf6HYMtYgQ9hkqaELoMyl91ZBBv7A9cfS+rTMYonS11A6HCDedXCXJszTYclxo&#10;sKddQ9XP8WoUXN5doQ+f5bmUQ7v/SEtt3r6CUk+z8fUFRKAxPML39l4rWKUp/J+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pyF7xAAAANwAAAAPAAAAAAAAAAAA&#10;AAAAAKECAABkcnMvZG93bnJldi54bWxQSwUGAAAAAAQABAD5AAAAkgMAAAAA&#10;" strokecolor="#a6a6a6"/>
                <v:shape id="Picture 337" o:spid="_x0000_s1082" type="#_x0000_t75" style="position:absolute;left:4095;top:1990;width:11478;height:8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FYXrFAAAA3AAAAA8AAABkcnMvZG93bnJldi54bWxEj09rwkAUxO9Cv8PyCl5EN02l1DSriLbg&#10;zdTq/ZF9+dNm34bs1kQ/fbcgeBxm5jdMuhpMI87UudqygqdZBII4t7rmUsHx62P6CsJ5ZI2NZVJw&#10;IQer5cMoxUTbnj/pfPClCBB2CSqovG8TKV1ekUE3sy1x8ArbGfRBdqXUHfYBbhoZR9GLNFhzWKiw&#10;pU1F+c/h1yi4Zntt3udysuXvaxYvtutT0WdKjR+H9RsIT4O/h2/tnVYQP8/h/0w4An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RWF6xQAAANwAAAAPAAAAAAAAAAAAAAAA&#10;AJ8CAABkcnMvZG93bnJldi54bWxQSwUGAAAAAAQABAD3AAAAkQMAAAAA&#10;">
                  <v:imagedata r:id="rId186" o:title="Gwydir Field Site 2"/>
                </v:shape>
                <v:shape id="Text Box 273" o:spid="_x0000_s1083" type="#_x0000_t202" style="position:absolute;left:1396;top:1524;width:2191;height:3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VkcQA&#10;AADcAAAADwAAAGRycy9kb3ducmV2LnhtbESPzWrDMBCE74W8g9hCb7Uctw3BjRJCIZBToPnxebG2&#10;lqm1MpLqOHn6KBDocZiZb5jFarSdGMiH1rGCaZaDIK6dbrlRcDxsXucgQkTW2DkmBRcKsFpOnhZY&#10;anfmbxr2sREJwqFEBSbGvpQy1IYshsz1xMn7cd5iTNI3Uns8J7jtZJHnM2mx5bRgsKcvQ/Xv/s8q&#10;qBp7rU7T3httu3feXS+Ho2uVenke158gIo3xP/xob7WC4u0D7mfS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6VZHEAAAA3AAAAA8AAAAAAAAAAAAAAAAAmAIAAGRycy9k&#10;b3ducmV2LnhtbFBLBQYAAAAABAAEAPUAAACJAwAAAAA=&#10;" stroked="f" strokeweight=".5pt">
                  <v:textbox>
                    <w:txbxContent>
                      <w:p w:rsidR="00EA54D5" w:rsidRDefault="00EA54D5" w:rsidP="007B5094">
                        <w:pPr>
                          <w:pStyle w:val="NormalWeb"/>
                          <w:spacing w:before="0" w:beforeAutospacing="0" w:after="200" w:afterAutospacing="0" w:line="280" w:lineRule="exact"/>
                          <w:jc w:val="both"/>
                        </w:pPr>
                        <w:r>
                          <w:rPr>
                            <w:rFonts w:ascii="Arial" w:hAnsi="Arial"/>
                            <w:sz w:val="20"/>
                            <w:szCs w:val="20"/>
                            <w:lang w:val="en-AU"/>
                          </w:rPr>
                          <w:t>A</w:t>
                        </w:r>
                      </w:p>
                    </w:txbxContent>
                  </v:textbox>
                </v:shape>
                <w10:anchorlock/>
              </v:group>
            </w:pict>
          </mc:Fallback>
        </mc:AlternateContent>
      </w:r>
    </w:p>
    <w:p w:rsidR="00223954" w:rsidRDefault="00152762" w:rsidP="00152762">
      <w:pPr>
        <w:pStyle w:val="Caption"/>
      </w:pPr>
      <w:bookmarkStart w:id="165" w:name="_Ref459033223"/>
      <w:r>
        <w:t xml:space="preserve">Figure </w:t>
      </w:r>
      <w:fldSimple w:instr=" STYLEREF 6 \s ">
        <w:r w:rsidR="00673DAF">
          <w:rPr>
            <w:noProof/>
          </w:rPr>
          <w:t>J</w:t>
        </w:r>
      </w:fldSimple>
      <w:r w:rsidR="00673DAF">
        <w:noBreakHyphen/>
      </w:r>
      <w:fldSimple w:instr=" SEQ Figure \* ARABIC \s 6 ">
        <w:r w:rsidR="00673DAF">
          <w:rPr>
            <w:noProof/>
          </w:rPr>
          <w:t>1</w:t>
        </w:r>
      </w:fldSimple>
      <w:bookmarkEnd w:id="165"/>
      <w:r>
        <w:t xml:space="preserve"> </w:t>
      </w:r>
      <w:r w:rsidRPr="00A659BC">
        <w:t>Release site locations at study reaches in the Gwydir and Mehi rivers (a), and the Mehi (b) and Gwydir (c) fine scale array sites.</w:t>
      </w:r>
    </w:p>
    <w:p w:rsidR="00223954" w:rsidRPr="0030198A" w:rsidRDefault="00223954" w:rsidP="00223954">
      <w:pPr>
        <w:pStyle w:val="Heading8"/>
      </w:pPr>
      <w:r w:rsidRPr="0030198A">
        <w:t>Extensive acoustic array</w:t>
      </w:r>
    </w:p>
    <w:p w:rsidR="00223954" w:rsidRPr="00927157" w:rsidRDefault="00223954" w:rsidP="00223954">
      <w:pPr>
        <w:pStyle w:val="NoSpacing"/>
        <w:spacing w:after="200" w:line="280" w:lineRule="exact"/>
        <w:rPr>
          <w:rFonts w:cs="Arial"/>
          <w:lang w:val="en-US" w:eastAsia="zh-CN"/>
        </w:rPr>
      </w:pPr>
      <w:r w:rsidRPr="00223954">
        <w:rPr>
          <w:rFonts w:cs="Arial"/>
        </w:rPr>
        <w:t>Large scale fish movement will be recorded using an extensive linear array of 30 (15 in each system) Vemco VR2W 69 KHz receivers deployed at intervals of 3 km along the Gwydir and Mehi rivers (</w:t>
      </w:r>
      <w:r w:rsidR="009E7B98">
        <w:rPr>
          <w:rFonts w:cs="Arial"/>
        </w:rPr>
        <w:fldChar w:fldCharType="begin"/>
      </w:r>
      <w:r w:rsidR="009E7B98">
        <w:rPr>
          <w:rFonts w:cs="Arial"/>
        </w:rPr>
        <w:instrText xml:space="preserve"> REF _Ref459033223 \h </w:instrText>
      </w:r>
      <w:r w:rsidR="009E7B98">
        <w:rPr>
          <w:rFonts w:cs="Arial"/>
        </w:rPr>
      </w:r>
      <w:r w:rsidR="009E7B98">
        <w:rPr>
          <w:rFonts w:cs="Arial"/>
        </w:rPr>
        <w:fldChar w:fldCharType="separate"/>
      </w:r>
      <w:r w:rsidR="005D5925">
        <w:t xml:space="preserve">Figure </w:t>
      </w:r>
      <w:r w:rsidR="005D5925">
        <w:rPr>
          <w:noProof/>
        </w:rPr>
        <w:t>J</w:t>
      </w:r>
      <w:r w:rsidR="005D5925">
        <w:noBreakHyphen/>
      </w:r>
      <w:r w:rsidR="005D5925">
        <w:rPr>
          <w:noProof/>
        </w:rPr>
        <w:t>1</w:t>
      </w:r>
      <w:r w:rsidR="009E7B98">
        <w:rPr>
          <w:rFonts w:cs="Arial"/>
        </w:rPr>
        <w:fldChar w:fldCharType="end"/>
      </w:r>
      <w:r w:rsidR="00AA4C84">
        <w:rPr>
          <w:rFonts w:cs="Arial"/>
        </w:rPr>
        <w:t xml:space="preserve">; </w:t>
      </w:r>
      <w:r w:rsidR="00AA4C84">
        <w:rPr>
          <w:rFonts w:cs="Arial"/>
        </w:rPr>
        <w:fldChar w:fldCharType="begin"/>
      </w:r>
      <w:r w:rsidR="00AA4C84">
        <w:rPr>
          <w:rFonts w:cs="Arial"/>
        </w:rPr>
        <w:instrText xml:space="preserve"> REF _Ref459033303 \h </w:instrText>
      </w:r>
      <w:r w:rsidR="00AA4C84">
        <w:rPr>
          <w:rFonts w:cs="Arial"/>
        </w:rPr>
      </w:r>
      <w:r w:rsidR="00AA4C84">
        <w:rPr>
          <w:rFonts w:cs="Arial"/>
        </w:rPr>
        <w:fldChar w:fldCharType="separate"/>
      </w:r>
      <w:r w:rsidR="005D5925">
        <w:t xml:space="preserve">Figure </w:t>
      </w:r>
      <w:r w:rsidR="005D5925">
        <w:rPr>
          <w:noProof/>
        </w:rPr>
        <w:t>J</w:t>
      </w:r>
      <w:r w:rsidR="005D5925">
        <w:noBreakHyphen/>
      </w:r>
      <w:r w:rsidR="005D5925">
        <w:rPr>
          <w:noProof/>
        </w:rPr>
        <w:t>2</w:t>
      </w:r>
      <w:r w:rsidR="00AA4C84">
        <w:rPr>
          <w:rFonts w:cs="Arial"/>
        </w:rPr>
        <w:fldChar w:fldCharType="end"/>
      </w:r>
      <w:r w:rsidRPr="00223954">
        <w:rPr>
          <w:rFonts w:cs="Arial"/>
        </w:rPr>
        <w:t xml:space="preserve">). </w:t>
      </w:r>
      <w:r w:rsidR="00A97349">
        <w:rPr>
          <w:rFonts w:cs="Arial"/>
        </w:rPr>
        <w:t xml:space="preserve"> </w:t>
      </w:r>
      <w:r w:rsidRPr="00223954">
        <w:rPr>
          <w:rFonts w:cs="Arial"/>
        </w:rPr>
        <w:t xml:space="preserve">This extensive array records binary presence/absence data when a tagged fish enters the reception range of a given receiver. </w:t>
      </w:r>
      <w:r w:rsidR="00A97349">
        <w:rPr>
          <w:rFonts w:cs="Arial"/>
        </w:rPr>
        <w:t xml:space="preserve"> </w:t>
      </w:r>
      <w:r w:rsidRPr="00223954">
        <w:rPr>
          <w:rFonts w:cs="Arial"/>
        </w:rPr>
        <w:t xml:space="preserve">The array was deployed from the 9-13th May 2016 which was prior to the release of tagged fish. </w:t>
      </w:r>
      <w:r w:rsidR="00A97349">
        <w:rPr>
          <w:rFonts w:cs="Arial"/>
        </w:rPr>
        <w:t xml:space="preserve"> </w:t>
      </w:r>
      <w:r w:rsidRPr="00223954">
        <w:rPr>
          <w:rFonts w:cs="Arial"/>
        </w:rPr>
        <w:t xml:space="preserve">Temperature loggers (OneTemp, Sydney) were also deployed at the upper and lower extremes of both arrays on the same dates. </w:t>
      </w:r>
    </w:p>
    <w:p w:rsidR="00152762" w:rsidRDefault="004176FF" w:rsidP="00152762">
      <w:pPr>
        <w:keepNext/>
        <w:spacing w:line="240" w:lineRule="auto"/>
      </w:pPr>
      <w:r w:rsidRPr="008F5E11">
        <w:rPr>
          <w:noProof/>
          <w:lang w:eastAsia="en-AU"/>
        </w:rPr>
        <w:drawing>
          <wp:inline distT="0" distB="0" distL="0" distR="0">
            <wp:extent cx="5800725" cy="4400550"/>
            <wp:effectExtent l="19050" t="19050" r="28575" b="19050"/>
            <wp:docPr id="102" name="Picture 286" descr="C:\Users\butlerga\Dropbox\Gwydir field trip May - June 2016\2016-05-24 08.5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Users\butlerga\Dropbox\Gwydir field trip May - June 2016\2016-05-24 08.51.59.jpg"/>
                    <pic:cNvPicPr>
                      <a:picLocks noChangeAspect="1" noChangeArrowheads="1"/>
                    </pic:cNvPicPr>
                  </pic:nvPicPr>
                  <pic:blipFill>
                    <a:blip r:embed="rId187">
                      <a:extLst>
                        <a:ext uri="{28A0092B-C50C-407E-A947-70E740481C1C}">
                          <a14:useLocalDpi xmlns:a14="http://schemas.microsoft.com/office/drawing/2010/main"/>
                        </a:ext>
                      </a:extLst>
                    </a:blip>
                    <a:srcRect/>
                    <a:stretch>
                      <a:fillRect/>
                    </a:stretch>
                  </pic:blipFill>
                  <pic:spPr bwMode="auto">
                    <a:xfrm>
                      <a:off x="0" y="0"/>
                      <a:ext cx="5800725" cy="4400550"/>
                    </a:xfrm>
                    <a:prstGeom prst="rect">
                      <a:avLst/>
                    </a:prstGeom>
                    <a:noFill/>
                    <a:ln w="9525" cmpd="sng" algn="ctr">
                      <a:solidFill>
                        <a:srgbClr val="7F7F7F"/>
                      </a:solidFill>
                      <a:miter lim="800000"/>
                      <a:headEnd/>
                      <a:tailEnd/>
                    </a:ln>
                    <a:effectLst/>
                  </pic:spPr>
                </pic:pic>
              </a:graphicData>
            </a:graphic>
          </wp:inline>
        </w:drawing>
      </w:r>
    </w:p>
    <w:p w:rsidR="00152762" w:rsidRPr="003545D3" w:rsidRDefault="00152762" w:rsidP="005A53B3">
      <w:pPr>
        <w:pStyle w:val="Caption"/>
      </w:pPr>
      <w:bookmarkStart w:id="166" w:name="_Ref459033303"/>
      <w:r>
        <w:t xml:space="preserve">Figure </w:t>
      </w:r>
      <w:fldSimple w:instr=" STYLEREF 6 \s ">
        <w:r w:rsidR="00673DAF">
          <w:rPr>
            <w:noProof/>
          </w:rPr>
          <w:t>J</w:t>
        </w:r>
      </w:fldSimple>
      <w:r w:rsidR="00673DAF">
        <w:noBreakHyphen/>
      </w:r>
      <w:fldSimple w:instr=" SEQ Figure \* ARABIC \s 6 ">
        <w:r w:rsidR="00673DAF">
          <w:rPr>
            <w:noProof/>
          </w:rPr>
          <w:t>2</w:t>
        </w:r>
      </w:fldSimple>
      <w:bookmarkEnd w:id="166"/>
      <w:r>
        <w:t xml:space="preserve"> </w:t>
      </w:r>
      <w:r w:rsidRPr="00776566">
        <w:t>Deploying receiver in the Gwydir River</w:t>
      </w:r>
      <w:r>
        <w:t>.</w:t>
      </w:r>
    </w:p>
    <w:p w:rsidR="00223954" w:rsidRPr="0030198A" w:rsidRDefault="00223954" w:rsidP="00223954">
      <w:pPr>
        <w:pStyle w:val="Heading8"/>
        <w:rPr>
          <w:lang w:val="en-US" w:eastAsia="zh-CN"/>
        </w:rPr>
      </w:pPr>
      <w:r w:rsidRPr="0030198A">
        <w:rPr>
          <w:lang w:val="en-US" w:eastAsia="zh-CN"/>
        </w:rPr>
        <w:t xml:space="preserve">Fish collection </w:t>
      </w:r>
    </w:p>
    <w:p w:rsidR="00524FA4" w:rsidRDefault="00223954" w:rsidP="00223954">
      <w:pPr>
        <w:pStyle w:val="NoSpacing"/>
        <w:spacing w:after="200" w:line="280" w:lineRule="exact"/>
        <w:rPr>
          <w:rFonts w:cs="Arial"/>
        </w:rPr>
      </w:pPr>
      <w:r>
        <w:rPr>
          <w:rFonts w:cs="Arial"/>
        </w:rPr>
        <w:t xml:space="preserve">The </w:t>
      </w:r>
      <w:r w:rsidR="009E7B98">
        <w:rPr>
          <w:rFonts w:cs="Arial"/>
        </w:rPr>
        <w:t xml:space="preserve">original </w:t>
      </w:r>
      <w:r w:rsidRPr="00927157">
        <w:rPr>
          <w:rFonts w:cs="Arial"/>
        </w:rPr>
        <w:t>inten</w:t>
      </w:r>
      <w:r>
        <w:rPr>
          <w:rFonts w:cs="Arial"/>
        </w:rPr>
        <w:t>tion was to tag</w:t>
      </w:r>
      <w:r w:rsidRPr="00927157">
        <w:rPr>
          <w:rFonts w:cs="Arial"/>
        </w:rPr>
        <w:t xml:space="preserve"> five </w:t>
      </w:r>
      <w:r>
        <w:rPr>
          <w:rFonts w:cs="Arial"/>
        </w:rPr>
        <w:t>“</w:t>
      </w:r>
      <w:r w:rsidRPr="00927157">
        <w:rPr>
          <w:rFonts w:cs="Arial"/>
        </w:rPr>
        <w:t>resident</w:t>
      </w:r>
      <w:r>
        <w:rPr>
          <w:rFonts w:cs="Arial"/>
        </w:rPr>
        <w:t>”</w:t>
      </w:r>
      <w:r w:rsidRPr="00927157">
        <w:rPr>
          <w:rFonts w:cs="Arial"/>
        </w:rPr>
        <w:t xml:space="preserve"> </w:t>
      </w:r>
      <w:r>
        <w:rPr>
          <w:rFonts w:cs="Arial"/>
        </w:rPr>
        <w:t xml:space="preserve">freshwater </w:t>
      </w:r>
      <w:r w:rsidRPr="00927157">
        <w:rPr>
          <w:rFonts w:cs="Arial"/>
        </w:rPr>
        <w:t xml:space="preserve">catfish and five </w:t>
      </w:r>
      <w:r>
        <w:rPr>
          <w:rFonts w:cs="Arial"/>
        </w:rPr>
        <w:t>“</w:t>
      </w:r>
      <w:r w:rsidRPr="00927157">
        <w:rPr>
          <w:rFonts w:cs="Arial"/>
        </w:rPr>
        <w:t>resident</w:t>
      </w:r>
      <w:r>
        <w:rPr>
          <w:rFonts w:cs="Arial"/>
        </w:rPr>
        <w:t>”</w:t>
      </w:r>
      <w:r w:rsidRPr="00927157">
        <w:rPr>
          <w:rFonts w:cs="Arial"/>
        </w:rPr>
        <w:t xml:space="preserve"> Murray cod </w:t>
      </w:r>
      <w:r>
        <w:rPr>
          <w:rFonts w:cs="Arial"/>
        </w:rPr>
        <w:t>in</w:t>
      </w:r>
      <w:r w:rsidRPr="00927157">
        <w:rPr>
          <w:rFonts w:cs="Arial"/>
        </w:rPr>
        <w:t xml:space="preserve"> each river, and </w:t>
      </w:r>
      <w:r>
        <w:rPr>
          <w:rFonts w:cs="Arial"/>
        </w:rPr>
        <w:t>also to translocate 10</w:t>
      </w:r>
      <w:r w:rsidRPr="00927157">
        <w:rPr>
          <w:rFonts w:cs="Arial"/>
        </w:rPr>
        <w:t xml:space="preserve"> catfish from Copeton Dam</w:t>
      </w:r>
      <w:r>
        <w:rPr>
          <w:rFonts w:cs="Arial"/>
        </w:rPr>
        <w:t xml:space="preserve"> and release five in each system as well</w:t>
      </w:r>
      <w:r w:rsidRPr="00927157">
        <w:rPr>
          <w:rFonts w:cs="Arial"/>
        </w:rPr>
        <w:t xml:space="preserve">. However, despite exhaustive efforts, riverine catfish proved elusive and had to </w:t>
      </w:r>
      <w:r w:rsidR="009E7B98">
        <w:rPr>
          <w:rFonts w:cs="Arial"/>
        </w:rPr>
        <w:t xml:space="preserve">be </w:t>
      </w:r>
      <w:r w:rsidRPr="00927157">
        <w:rPr>
          <w:rFonts w:cs="Arial"/>
        </w:rPr>
        <w:t xml:space="preserve">supplemented with </w:t>
      </w:r>
      <w:r>
        <w:rPr>
          <w:rFonts w:cs="Arial"/>
        </w:rPr>
        <w:t xml:space="preserve">a greater number of </w:t>
      </w:r>
      <w:r w:rsidRPr="00927157">
        <w:rPr>
          <w:rFonts w:cs="Arial"/>
        </w:rPr>
        <w:t>translocated individuals</w:t>
      </w:r>
      <w:r w:rsidR="009E7B98">
        <w:rPr>
          <w:rFonts w:cs="Arial"/>
        </w:rPr>
        <w:t xml:space="preserve"> from Copeton Dam</w:t>
      </w:r>
      <w:r w:rsidRPr="00927157">
        <w:rPr>
          <w:rFonts w:cs="Arial"/>
        </w:rPr>
        <w:t xml:space="preserve"> (</w:t>
      </w:r>
      <w:r w:rsidR="00AA4C84">
        <w:rPr>
          <w:rFonts w:cs="Arial"/>
        </w:rPr>
        <w:fldChar w:fldCharType="begin"/>
      </w:r>
      <w:r w:rsidR="00AA4C84">
        <w:rPr>
          <w:rFonts w:cs="Arial"/>
        </w:rPr>
        <w:instrText xml:space="preserve"> REF _Ref459033328 \h </w:instrText>
      </w:r>
      <w:r w:rsidR="00AA4C84">
        <w:rPr>
          <w:rFonts w:cs="Arial"/>
        </w:rPr>
      </w:r>
      <w:r w:rsidR="00AA4C84">
        <w:rPr>
          <w:rFonts w:cs="Arial"/>
        </w:rPr>
        <w:fldChar w:fldCharType="separate"/>
      </w:r>
      <w:r w:rsidR="005D5925">
        <w:t xml:space="preserve">Table </w:t>
      </w:r>
      <w:r w:rsidR="005D5925">
        <w:rPr>
          <w:noProof/>
        </w:rPr>
        <w:t>J</w:t>
      </w:r>
      <w:r w:rsidR="005D5925">
        <w:noBreakHyphen/>
      </w:r>
      <w:r w:rsidR="005D5925">
        <w:rPr>
          <w:noProof/>
        </w:rPr>
        <w:t>1</w:t>
      </w:r>
      <w:r w:rsidR="00AA4C84">
        <w:rPr>
          <w:rFonts w:cs="Arial"/>
        </w:rPr>
        <w:fldChar w:fldCharType="end"/>
      </w:r>
      <w:r w:rsidRPr="00927157">
        <w:rPr>
          <w:rFonts w:cs="Arial"/>
        </w:rPr>
        <w:t xml:space="preserve">). </w:t>
      </w:r>
      <w:r w:rsidR="00A97349">
        <w:rPr>
          <w:rFonts w:cs="Arial"/>
        </w:rPr>
        <w:t xml:space="preserve"> </w:t>
      </w:r>
      <w:r w:rsidRPr="00927157">
        <w:rPr>
          <w:rFonts w:cs="Arial"/>
        </w:rPr>
        <w:t xml:space="preserve">All resident fish were caught within the </w:t>
      </w:r>
      <w:r>
        <w:rPr>
          <w:rFonts w:cs="Arial"/>
        </w:rPr>
        <w:t xml:space="preserve">confines of the </w:t>
      </w:r>
      <w:r w:rsidRPr="00927157">
        <w:rPr>
          <w:rFonts w:cs="Arial"/>
        </w:rPr>
        <w:t xml:space="preserve">fine scale array to eliminate possible movement </w:t>
      </w:r>
      <w:r>
        <w:rPr>
          <w:rFonts w:cs="Arial"/>
        </w:rPr>
        <w:t>away from</w:t>
      </w:r>
      <w:r w:rsidRPr="00927157">
        <w:rPr>
          <w:rFonts w:cs="Arial"/>
        </w:rPr>
        <w:t xml:space="preserve"> the array </w:t>
      </w:r>
      <w:r>
        <w:rPr>
          <w:rFonts w:cs="Arial"/>
        </w:rPr>
        <w:t>as a result of</w:t>
      </w:r>
      <w:r w:rsidRPr="00927157">
        <w:rPr>
          <w:rFonts w:cs="Arial"/>
        </w:rPr>
        <w:t xml:space="preserve"> homing behaviour.</w:t>
      </w:r>
    </w:p>
    <w:p w:rsidR="00152762" w:rsidRDefault="00152762" w:rsidP="00152762">
      <w:pPr>
        <w:pStyle w:val="Caption"/>
        <w:keepNext/>
      </w:pPr>
      <w:bookmarkStart w:id="167" w:name="_Ref459033328"/>
      <w:r>
        <w:t xml:space="preserve">Table </w:t>
      </w:r>
      <w:fldSimple w:instr=" STYLEREF 6 \s ">
        <w:r w:rsidR="005D5925">
          <w:rPr>
            <w:noProof/>
          </w:rPr>
          <w:t>J</w:t>
        </w:r>
      </w:fldSimple>
      <w:r w:rsidR="005D4453">
        <w:noBreakHyphen/>
      </w:r>
      <w:fldSimple w:instr=" SEQ Table \* ARABIC \s 6 ">
        <w:r w:rsidR="005D5925">
          <w:rPr>
            <w:noProof/>
          </w:rPr>
          <w:t>1</w:t>
        </w:r>
      </w:fldSimple>
      <w:bookmarkEnd w:id="167"/>
      <w:r>
        <w:t xml:space="preserve"> </w:t>
      </w:r>
      <w:r w:rsidRPr="00C03C3E">
        <w:t xml:space="preserve">Source and numbers of freshwater catfish and Murray cod tagged and released in the </w:t>
      </w:r>
      <w:r w:rsidR="009E7B98" w:rsidRPr="00C03C3E">
        <w:t>Gwydir</w:t>
      </w:r>
      <w:r w:rsidRPr="00C03C3E">
        <w:t xml:space="preserve"> and Mehi rivers 2016.</w:t>
      </w:r>
    </w:p>
    <w:tbl>
      <w:tblPr>
        <w:tblW w:w="5000"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3120"/>
        <w:gridCol w:w="1701"/>
        <w:gridCol w:w="1597"/>
        <w:gridCol w:w="1378"/>
        <w:gridCol w:w="1404"/>
      </w:tblGrid>
      <w:tr w:rsidR="005F23F1" w:rsidRPr="00E23B8D" w:rsidTr="00CC18AA">
        <w:tc>
          <w:tcPr>
            <w:tcW w:w="1695" w:type="pct"/>
            <w:shd w:val="clear" w:color="auto" w:fill="D9D9D9"/>
            <w:noWrap/>
            <w:vAlign w:val="center"/>
          </w:tcPr>
          <w:p w:rsidR="00223954" w:rsidRPr="00CC18AA" w:rsidRDefault="00223954" w:rsidP="00CC18AA">
            <w:pPr>
              <w:spacing w:before="60" w:after="60"/>
              <w:jc w:val="center"/>
              <w:rPr>
                <w:rFonts w:cs="Arial"/>
                <w:b/>
                <w:bCs/>
                <w:i/>
                <w:szCs w:val="20"/>
                <w:lang w:val="en-US" w:eastAsia="zh-CN"/>
              </w:rPr>
            </w:pPr>
          </w:p>
        </w:tc>
        <w:tc>
          <w:tcPr>
            <w:tcW w:w="924" w:type="pct"/>
            <w:shd w:val="clear" w:color="auto" w:fill="D9D9D9"/>
            <w:noWrap/>
            <w:vAlign w:val="center"/>
          </w:tcPr>
          <w:p w:rsidR="00223954" w:rsidRPr="00CC18AA" w:rsidRDefault="00223954" w:rsidP="00CC18AA">
            <w:pPr>
              <w:spacing w:before="60" w:after="60"/>
              <w:jc w:val="center"/>
              <w:rPr>
                <w:rFonts w:cs="Arial"/>
                <w:bCs/>
                <w:szCs w:val="20"/>
                <w:lang w:val="en-US" w:eastAsia="zh-CN"/>
              </w:rPr>
            </w:pPr>
            <w:r w:rsidRPr="00CC18AA">
              <w:rPr>
                <w:rFonts w:cs="Arial"/>
                <w:bCs/>
                <w:szCs w:val="20"/>
                <w:lang w:val="en-US" w:eastAsia="zh-CN"/>
              </w:rPr>
              <w:t>Gwydir fine scale</w:t>
            </w:r>
          </w:p>
        </w:tc>
        <w:tc>
          <w:tcPr>
            <w:tcW w:w="868" w:type="pct"/>
            <w:shd w:val="clear" w:color="auto" w:fill="D9D9D9"/>
            <w:noWrap/>
            <w:vAlign w:val="center"/>
          </w:tcPr>
          <w:p w:rsidR="00223954" w:rsidRPr="00CC18AA" w:rsidRDefault="00223954" w:rsidP="00CC18AA">
            <w:pPr>
              <w:spacing w:before="60" w:after="60"/>
              <w:jc w:val="center"/>
              <w:rPr>
                <w:rFonts w:cs="Arial"/>
                <w:bCs/>
                <w:szCs w:val="20"/>
                <w:lang w:val="en-US" w:eastAsia="zh-CN"/>
              </w:rPr>
            </w:pPr>
            <w:r w:rsidRPr="00CC18AA">
              <w:rPr>
                <w:rFonts w:cs="Arial"/>
                <w:bCs/>
                <w:szCs w:val="20"/>
                <w:lang w:val="en-US" w:eastAsia="zh-CN"/>
              </w:rPr>
              <w:t>Gwydir extensive</w:t>
            </w:r>
          </w:p>
        </w:tc>
        <w:tc>
          <w:tcPr>
            <w:tcW w:w="749" w:type="pct"/>
            <w:shd w:val="clear" w:color="auto" w:fill="D9D9D9"/>
            <w:noWrap/>
            <w:vAlign w:val="center"/>
          </w:tcPr>
          <w:p w:rsidR="00223954" w:rsidRPr="00CC18AA" w:rsidRDefault="00223954" w:rsidP="00CC18AA">
            <w:pPr>
              <w:spacing w:before="60" w:after="60"/>
              <w:jc w:val="center"/>
              <w:rPr>
                <w:rFonts w:cs="Arial"/>
                <w:bCs/>
                <w:szCs w:val="20"/>
                <w:lang w:val="en-US" w:eastAsia="zh-CN"/>
              </w:rPr>
            </w:pPr>
            <w:r w:rsidRPr="00CC18AA">
              <w:rPr>
                <w:rFonts w:cs="Arial"/>
                <w:bCs/>
                <w:szCs w:val="20"/>
                <w:lang w:val="en-US" w:eastAsia="zh-CN"/>
              </w:rPr>
              <w:t>Mehi</w:t>
            </w:r>
          </w:p>
          <w:p w:rsidR="00223954" w:rsidRPr="00CC18AA" w:rsidRDefault="00223954" w:rsidP="00CC18AA">
            <w:pPr>
              <w:spacing w:before="60" w:after="60"/>
              <w:jc w:val="center"/>
              <w:rPr>
                <w:rFonts w:cs="Arial"/>
                <w:bCs/>
                <w:szCs w:val="20"/>
                <w:lang w:val="en-US" w:eastAsia="zh-CN"/>
              </w:rPr>
            </w:pPr>
            <w:r w:rsidRPr="00CC18AA">
              <w:rPr>
                <w:rFonts w:cs="Arial"/>
                <w:bCs/>
                <w:szCs w:val="20"/>
                <w:lang w:val="en-US" w:eastAsia="zh-CN"/>
              </w:rPr>
              <w:t>fine scale</w:t>
            </w:r>
          </w:p>
        </w:tc>
        <w:tc>
          <w:tcPr>
            <w:tcW w:w="763" w:type="pct"/>
            <w:shd w:val="clear" w:color="auto" w:fill="D9D9D9"/>
            <w:noWrap/>
            <w:vAlign w:val="center"/>
          </w:tcPr>
          <w:p w:rsidR="00223954" w:rsidRPr="00CC18AA" w:rsidRDefault="00223954" w:rsidP="00CC18AA">
            <w:pPr>
              <w:spacing w:before="60" w:after="60"/>
              <w:jc w:val="center"/>
              <w:rPr>
                <w:rFonts w:cs="Arial"/>
                <w:bCs/>
                <w:szCs w:val="20"/>
                <w:lang w:val="en-US" w:eastAsia="zh-CN"/>
              </w:rPr>
            </w:pPr>
            <w:r w:rsidRPr="00CC18AA">
              <w:rPr>
                <w:rFonts w:cs="Arial"/>
                <w:bCs/>
                <w:szCs w:val="20"/>
                <w:lang w:val="en-US" w:eastAsia="zh-CN"/>
              </w:rPr>
              <w:t>Mehi</w:t>
            </w:r>
          </w:p>
          <w:p w:rsidR="00223954" w:rsidRPr="00CC18AA" w:rsidRDefault="00223954" w:rsidP="00CC18AA">
            <w:pPr>
              <w:spacing w:before="60" w:after="60"/>
              <w:jc w:val="center"/>
              <w:rPr>
                <w:rFonts w:cs="Arial"/>
                <w:bCs/>
                <w:szCs w:val="20"/>
                <w:lang w:val="en-US" w:eastAsia="zh-CN"/>
              </w:rPr>
            </w:pPr>
            <w:r w:rsidRPr="00CC18AA">
              <w:rPr>
                <w:rFonts w:cs="Arial"/>
                <w:bCs/>
                <w:szCs w:val="20"/>
                <w:lang w:val="en-US" w:eastAsia="zh-CN"/>
              </w:rPr>
              <w:t>extensive</w:t>
            </w:r>
          </w:p>
        </w:tc>
      </w:tr>
      <w:tr w:rsidR="005F23F1" w:rsidRPr="00E23B8D" w:rsidTr="00CC18AA">
        <w:tc>
          <w:tcPr>
            <w:tcW w:w="1695" w:type="pct"/>
            <w:shd w:val="clear" w:color="auto" w:fill="auto"/>
            <w:noWrap/>
          </w:tcPr>
          <w:p w:rsidR="00223954" w:rsidRPr="00CC18AA" w:rsidRDefault="00223954" w:rsidP="00CC18AA">
            <w:pPr>
              <w:spacing w:before="60" w:after="60"/>
              <w:rPr>
                <w:rFonts w:cs="Arial"/>
                <w:bCs/>
                <w:szCs w:val="20"/>
                <w:lang w:val="en-US" w:eastAsia="zh-CN"/>
              </w:rPr>
            </w:pPr>
            <w:r w:rsidRPr="00CC18AA">
              <w:rPr>
                <w:rFonts w:cs="Arial"/>
                <w:bCs/>
                <w:szCs w:val="20"/>
                <w:lang w:val="en-US" w:eastAsia="zh-CN"/>
              </w:rPr>
              <w:t>Resident f</w:t>
            </w:r>
            <w:r w:rsidR="009E7B98" w:rsidRPr="00CC18AA">
              <w:rPr>
                <w:rFonts w:cs="Arial"/>
                <w:bCs/>
                <w:szCs w:val="20"/>
                <w:lang w:val="en-US" w:eastAsia="zh-CN"/>
              </w:rPr>
              <w:t>reshwater</w:t>
            </w:r>
            <w:r w:rsidRPr="00CC18AA">
              <w:rPr>
                <w:rFonts w:cs="Arial"/>
                <w:bCs/>
                <w:szCs w:val="20"/>
                <w:lang w:val="en-US" w:eastAsia="zh-CN"/>
              </w:rPr>
              <w:t xml:space="preserve"> catfish</w:t>
            </w:r>
          </w:p>
        </w:tc>
        <w:tc>
          <w:tcPr>
            <w:tcW w:w="924" w:type="pct"/>
            <w:shd w:val="clear" w:color="auto" w:fill="auto"/>
            <w:noWrap/>
          </w:tcPr>
          <w:p w:rsidR="00223954" w:rsidRPr="00CC18AA" w:rsidRDefault="00223954" w:rsidP="00CC18AA">
            <w:pPr>
              <w:spacing w:before="60" w:after="60"/>
              <w:jc w:val="center"/>
              <w:rPr>
                <w:rFonts w:cs="Arial"/>
                <w:szCs w:val="20"/>
                <w:lang w:val="en-US" w:eastAsia="zh-CN"/>
              </w:rPr>
            </w:pPr>
            <w:r w:rsidRPr="00CC18AA">
              <w:rPr>
                <w:rFonts w:cs="Arial"/>
                <w:szCs w:val="20"/>
                <w:lang w:val="en-US" w:eastAsia="zh-CN"/>
              </w:rPr>
              <w:t>3</w:t>
            </w:r>
          </w:p>
        </w:tc>
        <w:tc>
          <w:tcPr>
            <w:tcW w:w="868" w:type="pct"/>
            <w:shd w:val="clear" w:color="auto" w:fill="auto"/>
            <w:noWrap/>
          </w:tcPr>
          <w:p w:rsidR="00223954" w:rsidRPr="00CC18AA" w:rsidRDefault="00223954" w:rsidP="00CC18AA">
            <w:pPr>
              <w:spacing w:before="60" w:after="60"/>
              <w:jc w:val="center"/>
              <w:rPr>
                <w:rFonts w:cs="Arial"/>
                <w:szCs w:val="20"/>
                <w:lang w:val="en-US" w:eastAsia="zh-CN"/>
              </w:rPr>
            </w:pPr>
            <w:r w:rsidRPr="00CC18AA">
              <w:rPr>
                <w:rFonts w:cs="Arial"/>
                <w:szCs w:val="20"/>
                <w:lang w:val="en-US" w:eastAsia="zh-CN"/>
              </w:rPr>
              <w:t>0</w:t>
            </w:r>
          </w:p>
        </w:tc>
        <w:tc>
          <w:tcPr>
            <w:tcW w:w="749" w:type="pct"/>
            <w:shd w:val="clear" w:color="auto" w:fill="auto"/>
            <w:noWrap/>
          </w:tcPr>
          <w:p w:rsidR="00223954" w:rsidRPr="00CC18AA" w:rsidRDefault="00223954" w:rsidP="00CC18AA">
            <w:pPr>
              <w:spacing w:before="60" w:after="60"/>
              <w:jc w:val="center"/>
              <w:rPr>
                <w:rFonts w:cs="Arial"/>
                <w:szCs w:val="20"/>
                <w:lang w:val="en-US" w:eastAsia="zh-CN"/>
              </w:rPr>
            </w:pPr>
            <w:r w:rsidRPr="00CC18AA">
              <w:rPr>
                <w:rFonts w:cs="Arial"/>
                <w:szCs w:val="20"/>
                <w:lang w:val="en-US" w:eastAsia="zh-CN"/>
              </w:rPr>
              <w:t>0</w:t>
            </w:r>
          </w:p>
        </w:tc>
        <w:tc>
          <w:tcPr>
            <w:tcW w:w="763" w:type="pct"/>
            <w:shd w:val="clear" w:color="auto" w:fill="auto"/>
            <w:noWrap/>
          </w:tcPr>
          <w:p w:rsidR="00223954" w:rsidRPr="00CC18AA" w:rsidRDefault="00223954" w:rsidP="00CC18AA">
            <w:pPr>
              <w:spacing w:before="60" w:after="60"/>
              <w:jc w:val="center"/>
              <w:rPr>
                <w:rFonts w:cs="Arial"/>
                <w:szCs w:val="20"/>
                <w:lang w:val="en-US" w:eastAsia="zh-CN"/>
              </w:rPr>
            </w:pPr>
            <w:r w:rsidRPr="00CC18AA">
              <w:rPr>
                <w:rFonts w:cs="Arial"/>
                <w:szCs w:val="20"/>
                <w:lang w:val="en-US" w:eastAsia="zh-CN"/>
              </w:rPr>
              <w:t>1</w:t>
            </w:r>
          </w:p>
        </w:tc>
      </w:tr>
      <w:tr w:rsidR="005F23F1" w:rsidRPr="00E23B8D" w:rsidTr="00CC18AA">
        <w:tc>
          <w:tcPr>
            <w:tcW w:w="1695" w:type="pct"/>
            <w:shd w:val="clear" w:color="auto" w:fill="auto"/>
            <w:noWrap/>
          </w:tcPr>
          <w:p w:rsidR="00223954" w:rsidRPr="00CC18AA" w:rsidRDefault="00223954" w:rsidP="00CC18AA">
            <w:pPr>
              <w:spacing w:before="60" w:after="60"/>
              <w:rPr>
                <w:rFonts w:cs="Arial"/>
                <w:bCs/>
                <w:szCs w:val="20"/>
                <w:lang w:val="en-US" w:eastAsia="zh-CN"/>
              </w:rPr>
            </w:pPr>
            <w:r w:rsidRPr="00CC18AA">
              <w:rPr>
                <w:rFonts w:cs="Arial"/>
                <w:bCs/>
                <w:szCs w:val="20"/>
                <w:lang w:val="en-US" w:eastAsia="zh-CN"/>
              </w:rPr>
              <w:t>Translocated f</w:t>
            </w:r>
            <w:r w:rsidR="009E7B98" w:rsidRPr="00CC18AA">
              <w:rPr>
                <w:rFonts w:cs="Arial"/>
                <w:bCs/>
                <w:szCs w:val="20"/>
                <w:lang w:val="en-US" w:eastAsia="zh-CN"/>
              </w:rPr>
              <w:t>reshwater</w:t>
            </w:r>
            <w:r w:rsidR="005A53B3" w:rsidRPr="00CC18AA">
              <w:rPr>
                <w:rFonts w:cs="Arial"/>
                <w:bCs/>
                <w:szCs w:val="20"/>
                <w:lang w:val="en-US" w:eastAsia="zh-CN"/>
              </w:rPr>
              <w:t xml:space="preserve"> </w:t>
            </w:r>
            <w:r w:rsidRPr="00CC18AA">
              <w:rPr>
                <w:rFonts w:cs="Arial"/>
                <w:bCs/>
                <w:szCs w:val="20"/>
                <w:lang w:val="en-US" w:eastAsia="zh-CN"/>
              </w:rPr>
              <w:t>catfish</w:t>
            </w:r>
          </w:p>
        </w:tc>
        <w:tc>
          <w:tcPr>
            <w:tcW w:w="924" w:type="pct"/>
            <w:shd w:val="clear" w:color="auto" w:fill="auto"/>
            <w:noWrap/>
          </w:tcPr>
          <w:p w:rsidR="00223954" w:rsidRPr="00CC18AA" w:rsidRDefault="00223954" w:rsidP="00CC18AA">
            <w:pPr>
              <w:spacing w:before="60" w:after="60"/>
              <w:jc w:val="center"/>
              <w:rPr>
                <w:rFonts w:cs="Arial"/>
                <w:szCs w:val="20"/>
                <w:lang w:val="en-US" w:eastAsia="zh-CN"/>
              </w:rPr>
            </w:pPr>
            <w:r w:rsidRPr="00CC18AA">
              <w:rPr>
                <w:rFonts w:cs="Arial"/>
                <w:szCs w:val="20"/>
                <w:lang w:val="en-US" w:eastAsia="zh-CN"/>
              </w:rPr>
              <w:t>7</w:t>
            </w:r>
          </w:p>
        </w:tc>
        <w:tc>
          <w:tcPr>
            <w:tcW w:w="868" w:type="pct"/>
            <w:shd w:val="clear" w:color="auto" w:fill="auto"/>
            <w:noWrap/>
          </w:tcPr>
          <w:p w:rsidR="00223954" w:rsidRPr="00CC18AA" w:rsidRDefault="00223954" w:rsidP="00CC18AA">
            <w:pPr>
              <w:spacing w:before="60" w:after="60"/>
              <w:jc w:val="center"/>
              <w:rPr>
                <w:rFonts w:cs="Arial"/>
                <w:szCs w:val="20"/>
                <w:lang w:val="en-US" w:eastAsia="zh-CN"/>
              </w:rPr>
            </w:pPr>
            <w:r w:rsidRPr="00CC18AA">
              <w:rPr>
                <w:rFonts w:cs="Arial"/>
                <w:szCs w:val="20"/>
                <w:lang w:val="en-US" w:eastAsia="zh-CN"/>
              </w:rPr>
              <w:t>10</w:t>
            </w:r>
          </w:p>
        </w:tc>
        <w:tc>
          <w:tcPr>
            <w:tcW w:w="749" w:type="pct"/>
            <w:shd w:val="clear" w:color="auto" w:fill="auto"/>
            <w:noWrap/>
          </w:tcPr>
          <w:p w:rsidR="00223954" w:rsidRPr="00CC18AA" w:rsidRDefault="00223954" w:rsidP="00CC18AA">
            <w:pPr>
              <w:spacing w:before="60" w:after="60"/>
              <w:jc w:val="center"/>
              <w:rPr>
                <w:rFonts w:cs="Arial"/>
                <w:szCs w:val="20"/>
                <w:lang w:val="en-US" w:eastAsia="zh-CN"/>
              </w:rPr>
            </w:pPr>
            <w:r w:rsidRPr="00CC18AA">
              <w:rPr>
                <w:rFonts w:cs="Arial"/>
                <w:szCs w:val="20"/>
                <w:lang w:val="en-US" w:eastAsia="zh-CN"/>
              </w:rPr>
              <w:t>10</w:t>
            </w:r>
          </w:p>
        </w:tc>
        <w:tc>
          <w:tcPr>
            <w:tcW w:w="763" w:type="pct"/>
            <w:shd w:val="clear" w:color="auto" w:fill="auto"/>
            <w:noWrap/>
          </w:tcPr>
          <w:p w:rsidR="00223954" w:rsidRPr="00CC18AA" w:rsidRDefault="00223954" w:rsidP="00CC18AA">
            <w:pPr>
              <w:spacing w:before="60" w:after="60"/>
              <w:jc w:val="center"/>
              <w:rPr>
                <w:rFonts w:cs="Arial"/>
                <w:szCs w:val="20"/>
                <w:lang w:val="en-US" w:eastAsia="zh-CN"/>
              </w:rPr>
            </w:pPr>
            <w:r w:rsidRPr="00CC18AA">
              <w:rPr>
                <w:rFonts w:cs="Arial"/>
                <w:szCs w:val="20"/>
                <w:lang w:val="en-US" w:eastAsia="zh-CN"/>
              </w:rPr>
              <w:t>9</w:t>
            </w:r>
          </w:p>
        </w:tc>
      </w:tr>
      <w:tr w:rsidR="005F23F1" w:rsidRPr="00E23B8D" w:rsidTr="00CC18AA">
        <w:tc>
          <w:tcPr>
            <w:tcW w:w="1695" w:type="pct"/>
            <w:shd w:val="clear" w:color="auto" w:fill="auto"/>
            <w:noWrap/>
          </w:tcPr>
          <w:p w:rsidR="00223954" w:rsidRPr="00CC18AA" w:rsidRDefault="00223954" w:rsidP="00CC18AA">
            <w:pPr>
              <w:spacing w:before="60" w:after="60"/>
              <w:rPr>
                <w:rFonts w:cs="Arial"/>
                <w:b/>
                <w:bCs/>
                <w:i/>
                <w:szCs w:val="20"/>
                <w:lang w:val="en-US" w:eastAsia="zh-CN"/>
              </w:rPr>
            </w:pPr>
            <w:r w:rsidRPr="00CC18AA">
              <w:rPr>
                <w:rFonts w:cs="Arial"/>
                <w:bCs/>
                <w:szCs w:val="20"/>
                <w:lang w:val="en-US" w:eastAsia="zh-CN"/>
              </w:rPr>
              <w:t>Resident Murray cod</w:t>
            </w:r>
          </w:p>
        </w:tc>
        <w:tc>
          <w:tcPr>
            <w:tcW w:w="924" w:type="pct"/>
            <w:shd w:val="clear" w:color="auto" w:fill="auto"/>
            <w:noWrap/>
          </w:tcPr>
          <w:p w:rsidR="00223954" w:rsidRPr="00CC18AA" w:rsidRDefault="00223954" w:rsidP="00CC18AA">
            <w:pPr>
              <w:spacing w:before="60" w:after="60"/>
              <w:jc w:val="center"/>
              <w:rPr>
                <w:rFonts w:cs="Arial"/>
                <w:szCs w:val="20"/>
                <w:lang w:val="en-US" w:eastAsia="zh-CN"/>
              </w:rPr>
            </w:pPr>
            <w:r w:rsidRPr="00CC18AA">
              <w:rPr>
                <w:rFonts w:cs="Arial"/>
                <w:szCs w:val="20"/>
                <w:lang w:val="en-US" w:eastAsia="zh-CN"/>
              </w:rPr>
              <w:t>5</w:t>
            </w:r>
          </w:p>
        </w:tc>
        <w:tc>
          <w:tcPr>
            <w:tcW w:w="868" w:type="pct"/>
            <w:shd w:val="clear" w:color="auto" w:fill="auto"/>
            <w:noWrap/>
          </w:tcPr>
          <w:p w:rsidR="00223954" w:rsidRPr="00CC18AA" w:rsidRDefault="00223954" w:rsidP="00CC18AA">
            <w:pPr>
              <w:spacing w:before="60" w:after="60"/>
              <w:jc w:val="center"/>
              <w:rPr>
                <w:rFonts w:cs="Arial"/>
                <w:szCs w:val="20"/>
                <w:lang w:val="en-US" w:eastAsia="zh-CN"/>
              </w:rPr>
            </w:pPr>
            <w:r w:rsidRPr="00CC18AA">
              <w:rPr>
                <w:rFonts w:cs="Arial"/>
                <w:szCs w:val="20"/>
                <w:lang w:val="en-US" w:eastAsia="zh-CN"/>
              </w:rPr>
              <w:t>5</w:t>
            </w:r>
          </w:p>
        </w:tc>
        <w:tc>
          <w:tcPr>
            <w:tcW w:w="749" w:type="pct"/>
            <w:shd w:val="clear" w:color="auto" w:fill="auto"/>
            <w:noWrap/>
          </w:tcPr>
          <w:p w:rsidR="00223954" w:rsidRPr="00CC18AA" w:rsidRDefault="00223954" w:rsidP="00CC18AA">
            <w:pPr>
              <w:spacing w:before="60" w:after="60"/>
              <w:jc w:val="center"/>
              <w:rPr>
                <w:rFonts w:cs="Arial"/>
                <w:szCs w:val="20"/>
                <w:lang w:val="en-US" w:eastAsia="zh-CN"/>
              </w:rPr>
            </w:pPr>
            <w:r w:rsidRPr="00CC18AA">
              <w:rPr>
                <w:rFonts w:cs="Arial"/>
                <w:szCs w:val="20"/>
                <w:lang w:val="en-US" w:eastAsia="zh-CN"/>
              </w:rPr>
              <w:t>5</w:t>
            </w:r>
          </w:p>
        </w:tc>
        <w:tc>
          <w:tcPr>
            <w:tcW w:w="763" w:type="pct"/>
            <w:shd w:val="clear" w:color="auto" w:fill="auto"/>
            <w:noWrap/>
          </w:tcPr>
          <w:p w:rsidR="00223954" w:rsidRPr="00CC18AA" w:rsidRDefault="00223954" w:rsidP="00CC18AA">
            <w:pPr>
              <w:spacing w:before="60" w:after="60"/>
              <w:jc w:val="center"/>
              <w:rPr>
                <w:rFonts w:cs="Arial"/>
                <w:szCs w:val="20"/>
                <w:lang w:val="en-US" w:eastAsia="zh-CN"/>
              </w:rPr>
            </w:pPr>
            <w:r w:rsidRPr="00CC18AA">
              <w:rPr>
                <w:rFonts w:cs="Arial"/>
                <w:szCs w:val="20"/>
                <w:lang w:val="en-US" w:eastAsia="zh-CN"/>
              </w:rPr>
              <w:t>5</w:t>
            </w:r>
          </w:p>
        </w:tc>
      </w:tr>
    </w:tbl>
    <w:p w:rsidR="00CD3111" w:rsidRDefault="00CD3111" w:rsidP="00223954">
      <w:pPr>
        <w:pStyle w:val="NoSpacing"/>
        <w:spacing w:after="200" w:line="280" w:lineRule="exact"/>
        <w:rPr>
          <w:rFonts w:cs="Arial"/>
        </w:rPr>
      </w:pPr>
    </w:p>
    <w:p w:rsidR="00223954" w:rsidRPr="00927157" w:rsidRDefault="00223954" w:rsidP="00223954">
      <w:pPr>
        <w:pStyle w:val="NoSpacing"/>
        <w:spacing w:after="200" w:line="280" w:lineRule="exact"/>
        <w:rPr>
          <w:rFonts w:cs="Arial"/>
          <w:lang w:val="en-US" w:eastAsia="zh-CN"/>
        </w:rPr>
      </w:pPr>
      <w:r w:rsidRPr="00927157">
        <w:rPr>
          <w:rFonts w:cs="Arial"/>
        </w:rPr>
        <w:t xml:space="preserve">All </w:t>
      </w:r>
      <w:r>
        <w:rPr>
          <w:rFonts w:cs="Arial"/>
        </w:rPr>
        <w:t>f</w:t>
      </w:r>
      <w:r w:rsidRPr="00927157">
        <w:rPr>
          <w:rFonts w:cs="Arial"/>
        </w:rPr>
        <w:t xml:space="preserve">ish were collected </w:t>
      </w:r>
      <w:r>
        <w:rPr>
          <w:rFonts w:cs="Arial"/>
        </w:rPr>
        <w:t>by</w:t>
      </w:r>
      <w:r w:rsidRPr="00927157">
        <w:rPr>
          <w:rFonts w:cs="Arial"/>
        </w:rPr>
        <w:t xml:space="preserve"> </w:t>
      </w:r>
      <w:r w:rsidRPr="00ED7ABE">
        <w:rPr>
          <w:rFonts w:cs="Arial"/>
        </w:rPr>
        <w:t>electrofishing,</w:t>
      </w:r>
      <w:r w:rsidRPr="00927157">
        <w:rPr>
          <w:rFonts w:cs="Arial"/>
        </w:rPr>
        <w:t xml:space="preserve"> gill netting (mesh size 100</w:t>
      </w:r>
      <w:r w:rsidR="009524AD">
        <w:rPr>
          <w:rFonts w:cs="Arial"/>
        </w:rPr>
        <w:t xml:space="preserve"> </w:t>
      </w:r>
      <w:r w:rsidRPr="00927157">
        <w:rPr>
          <w:rFonts w:cs="Arial"/>
        </w:rPr>
        <w:t xml:space="preserve">mm) </w:t>
      </w:r>
      <w:r>
        <w:rPr>
          <w:rFonts w:cs="Arial"/>
        </w:rPr>
        <w:t xml:space="preserve">or </w:t>
      </w:r>
      <w:r w:rsidRPr="00927157">
        <w:rPr>
          <w:rFonts w:cs="Arial"/>
        </w:rPr>
        <w:t>angling</w:t>
      </w:r>
      <w:r>
        <w:rPr>
          <w:rFonts w:cs="Arial"/>
        </w:rPr>
        <w:t xml:space="preserve"> from the 23</w:t>
      </w:r>
      <w:r w:rsidRPr="00223954">
        <w:rPr>
          <w:rFonts w:cs="Arial"/>
        </w:rPr>
        <w:t>rd</w:t>
      </w:r>
      <w:r>
        <w:rPr>
          <w:rFonts w:cs="Arial"/>
        </w:rPr>
        <w:t xml:space="preserve"> May to 1</w:t>
      </w:r>
      <w:r w:rsidRPr="00223954">
        <w:rPr>
          <w:rFonts w:cs="Arial"/>
        </w:rPr>
        <w:t>st</w:t>
      </w:r>
      <w:r>
        <w:rPr>
          <w:rFonts w:cs="Arial"/>
        </w:rPr>
        <w:t xml:space="preserve"> June 2016.</w:t>
      </w:r>
      <w:r w:rsidRPr="00927157">
        <w:rPr>
          <w:rFonts w:cs="Arial"/>
        </w:rPr>
        <w:t xml:space="preserve"> </w:t>
      </w:r>
      <w:r w:rsidR="00A97349">
        <w:rPr>
          <w:rFonts w:cs="Arial"/>
        </w:rPr>
        <w:t xml:space="preserve"> </w:t>
      </w:r>
      <w:r w:rsidRPr="00927157">
        <w:rPr>
          <w:rFonts w:cs="Arial"/>
        </w:rPr>
        <w:t xml:space="preserve">The exact capture location of </w:t>
      </w:r>
      <w:r>
        <w:rPr>
          <w:rFonts w:cs="Arial"/>
        </w:rPr>
        <w:t>riverine “</w:t>
      </w:r>
      <w:r w:rsidRPr="00927157">
        <w:rPr>
          <w:rFonts w:cs="Arial"/>
        </w:rPr>
        <w:t>resident</w:t>
      </w:r>
      <w:r>
        <w:rPr>
          <w:rFonts w:cs="Arial"/>
        </w:rPr>
        <w:t>”</w:t>
      </w:r>
      <w:r w:rsidRPr="00927157">
        <w:rPr>
          <w:rFonts w:cs="Arial"/>
        </w:rPr>
        <w:t xml:space="preserve"> fish was recorded and all fish were released within 50 m of their capture site.</w:t>
      </w:r>
      <w:r>
        <w:rPr>
          <w:rFonts w:cs="Arial"/>
        </w:rPr>
        <w:t xml:space="preserve"> Freshwater </w:t>
      </w:r>
      <w:r w:rsidRPr="00223954">
        <w:rPr>
          <w:rFonts w:cs="Arial"/>
        </w:rPr>
        <w:t xml:space="preserve">catfish from Copeton Dam were transported to the study sites in aerated 220 L covered drums, with a maximum of five fish per drum. At the study sites, fish from Copeton Dam were kept in a floating cage (mesh size 50 mm) until tag implantation. </w:t>
      </w:r>
    </w:p>
    <w:p w:rsidR="00223954" w:rsidRPr="0030198A" w:rsidRDefault="00223954" w:rsidP="00223954">
      <w:pPr>
        <w:pStyle w:val="Heading8"/>
        <w:rPr>
          <w:lang w:val="en-US" w:eastAsia="zh-CN"/>
        </w:rPr>
      </w:pPr>
      <w:r w:rsidRPr="0030198A">
        <w:rPr>
          <w:lang w:val="en-US" w:eastAsia="zh-CN"/>
        </w:rPr>
        <w:t>Acoustic tag implantation</w:t>
      </w:r>
    </w:p>
    <w:p w:rsidR="00223954" w:rsidRPr="00927157" w:rsidRDefault="00223954" w:rsidP="00223954">
      <w:pPr>
        <w:pStyle w:val="NoSpacing"/>
        <w:spacing w:after="200" w:line="280" w:lineRule="exact"/>
        <w:rPr>
          <w:rFonts w:cs="Arial"/>
        </w:rPr>
      </w:pPr>
      <w:r w:rsidRPr="00927157">
        <w:rPr>
          <w:rFonts w:cs="Arial"/>
        </w:rPr>
        <w:t xml:space="preserve">Fish were anaesthetised in ambient water containing 50 mg </w:t>
      </w:r>
      <w:r w:rsidR="009E7B98">
        <w:rPr>
          <w:rFonts w:cs="Arial"/>
        </w:rPr>
        <w:t xml:space="preserve">per </w:t>
      </w:r>
      <w:r w:rsidRPr="00927157">
        <w:rPr>
          <w:rFonts w:cs="Arial"/>
        </w:rPr>
        <w:t>L benzocaine (ethyl-</w:t>
      </w:r>
      <w:r w:rsidRPr="00223954">
        <w:rPr>
          <w:rFonts w:cs="Arial"/>
        </w:rPr>
        <w:t>p</w:t>
      </w:r>
      <w:r w:rsidRPr="00927157">
        <w:rPr>
          <w:rFonts w:cs="Arial"/>
        </w:rPr>
        <w:t xml:space="preserve">-aminobenzoate) (Sigma Aldrich, Shanghai) and weighed (g) and measured (mm). </w:t>
      </w:r>
      <w:r w:rsidR="00A97349">
        <w:rPr>
          <w:rFonts w:cs="Arial"/>
        </w:rPr>
        <w:t xml:space="preserve"> </w:t>
      </w:r>
      <w:r w:rsidRPr="00927157">
        <w:rPr>
          <w:rFonts w:cs="Arial"/>
        </w:rPr>
        <w:t>Fish were then be transferred to an operating cradle</w:t>
      </w:r>
      <w:r w:rsidR="00AA4C84">
        <w:rPr>
          <w:rFonts w:cs="Arial"/>
        </w:rPr>
        <w:t xml:space="preserve"> (</w:t>
      </w:r>
      <w:r w:rsidR="00AA4C84">
        <w:rPr>
          <w:rFonts w:cs="Arial"/>
        </w:rPr>
        <w:fldChar w:fldCharType="begin"/>
      </w:r>
      <w:r w:rsidR="00AA4C84">
        <w:rPr>
          <w:rFonts w:cs="Arial"/>
        </w:rPr>
        <w:instrText xml:space="preserve"> REF _Ref459033454 \h </w:instrText>
      </w:r>
      <w:r w:rsidR="00AA4C84">
        <w:rPr>
          <w:rFonts w:cs="Arial"/>
        </w:rPr>
      </w:r>
      <w:r w:rsidR="00AA4C84">
        <w:rPr>
          <w:rFonts w:cs="Arial"/>
        </w:rPr>
        <w:fldChar w:fldCharType="separate"/>
      </w:r>
      <w:r w:rsidR="005D5925">
        <w:t xml:space="preserve">Figure </w:t>
      </w:r>
      <w:r w:rsidR="005D5925">
        <w:rPr>
          <w:noProof/>
        </w:rPr>
        <w:t>J</w:t>
      </w:r>
      <w:r w:rsidR="005D5925">
        <w:noBreakHyphen/>
      </w:r>
      <w:r w:rsidR="005D5925">
        <w:rPr>
          <w:noProof/>
        </w:rPr>
        <w:t>3</w:t>
      </w:r>
      <w:r w:rsidR="00AA4C84">
        <w:rPr>
          <w:rFonts w:cs="Arial"/>
        </w:rPr>
        <w:fldChar w:fldCharType="end"/>
      </w:r>
      <w:r w:rsidR="00AA4C84">
        <w:rPr>
          <w:rFonts w:cs="Arial"/>
        </w:rPr>
        <w:t>)</w:t>
      </w:r>
      <w:r w:rsidRPr="00927157">
        <w:rPr>
          <w:rFonts w:cs="Arial"/>
        </w:rPr>
        <w:t xml:space="preserve">, with water containing an equivalent level of anaesthetic (50 mg </w:t>
      </w:r>
      <w:r w:rsidR="009E7B98">
        <w:rPr>
          <w:rFonts w:cs="Arial"/>
        </w:rPr>
        <w:t xml:space="preserve">per </w:t>
      </w:r>
      <w:r w:rsidRPr="00927157">
        <w:rPr>
          <w:rFonts w:cs="Arial"/>
        </w:rPr>
        <w:t xml:space="preserve">L) continually pumped over the gills to maintain anaesthesia. </w:t>
      </w:r>
      <w:r w:rsidR="00A97349">
        <w:rPr>
          <w:rFonts w:cs="Arial"/>
        </w:rPr>
        <w:t xml:space="preserve"> </w:t>
      </w:r>
      <w:r w:rsidRPr="00927157">
        <w:rPr>
          <w:rFonts w:cs="Arial"/>
        </w:rPr>
        <w:t xml:space="preserve">To access the peritoneal cavity, an incision was made through the body wall of the fish, adjacent to the linea </w:t>
      </w:r>
      <w:proofErr w:type="gramStart"/>
      <w:r w:rsidRPr="00927157">
        <w:rPr>
          <w:rFonts w:cs="Arial"/>
        </w:rPr>
        <w:t>alba</w:t>
      </w:r>
      <w:proofErr w:type="gramEnd"/>
      <w:r w:rsidRPr="00927157">
        <w:rPr>
          <w:rFonts w:cs="Arial"/>
        </w:rPr>
        <w:t xml:space="preserve"> and anterior of the anal vent. </w:t>
      </w:r>
      <w:r w:rsidR="00A97349">
        <w:rPr>
          <w:rFonts w:cs="Arial"/>
        </w:rPr>
        <w:t xml:space="preserve"> </w:t>
      </w:r>
      <w:r w:rsidRPr="00927157">
        <w:rPr>
          <w:rFonts w:cs="Arial"/>
        </w:rPr>
        <w:t xml:space="preserve">The gonads of the fish were examined through the incision to determine sex before the insertion of the tag. Either </w:t>
      </w:r>
      <w:r>
        <w:rPr>
          <w:rFonts w:cs="Arial"/>
        </w:rPr>
        <w:t xml:space="preserve">a </w:t>
      </w:r>
      <w:r w:rsidRPr="00927157">
        <w:rPr>
          <w:rFonts w:cs="Arial"/>
        </w:rPr>
        <w:t xml:space="preserve">Vemco V9 or V13 </w:t>
      </w:r>
      <w:r w:rsidRPr="00223954">
        <w:rPr>
          <w:rFonts w:cs="Arial"/>
        </w:rPr>
        <w:t xml:space="preserve">69 KHz </w:t>
      </w:r>
      <w:r w:rsidRPr="00927157">
        <w:rPr>
          <w:rFonts w:cs="Arial"/>
        </w:rPr>
        <w:t>aco</w:t>
      </w:r>
      <w:r>
        <w:rPr>
          <w:rFonts w:cs="Arial"/>
        </w:rPr>
        <w:t>ustic telemetry transmitter tag</w:t>
      </w:r>
      <w:r w:rsidRPr="00927157">
        <w:rPr>
          <w:rFonts w:cs="Arial"/>
        </w:rPr>
        <w:t xml:space="preserve"> (delay 90</w:t>
      </w:r>
      <w:r>
        <w:rPr>
          <w:rFonts w:cs="Arial"/>
        </w:rPr>
        <w:t>-160</w:t>
      </w:r>
      <w:r w:rsidRPr="00927157">
        <w:rPr>
          <w:rFonts w:cs="Arial"/>
        </w:rPr>
        <w:t xml:space="preserve"> secs, approximate battery life of two</w:t>
      </w:r>
      <w:r>
        <w:rPr>
          <w:rFonts w:cs="Arial"/>
        </w:rPr>
        <w:t>+</w:t>
      </w:r>
      <w:r w:rsidRPr="00927157">
        <w:rPr>
          <w:rFonts w:cs="Arial"/>
        </w:rPr>
        <w:t xml:space="preserve"> years) </w:t>
      </w:r>
      <w:r>
        <w:rPr>
          <w:rFonts w:cs="Arial"/>
        </w:rPr>
        <w:t xml:space="preserve">was used, with tag size dictated by the </w:t>
      </w:r>
      <w:r w:rsidRPr="00927157">
        <w:rPr>
          <w:rFonts w:cs="Arial"/>
        </w:rPr>
        <w:t xml:space="preserve">recommended </w:t>
      </w:r>
      <w:r>
        <w:rPr>
          <w:rFonts w:cs="Arial"/>
        </w:rPr>
        <w:t xml:space="preserve">maximum of </w:t>
      </w:r>
      <w:r w:rsidRPr="00927157">
        <w:rPr>
          <w:rFonts w:cs="Arial"/>
        </w:rPr>
        <w:t xml:space="preserve">2.25% of body weight </w:t>
      </w:r>
      <w:r w:rsidRPr="00927157">
        <w:rPr>
          <w:rFonts w:cs="Arial"/>
        </w:rPr>
        <w:fldChar w:fldCharType="begin">
          <w:fldData xml:space="preserve">PEVuZE5vdGU+PENpdGU+PEF1dGhvcj5CdXRsZXI8L0F1dGhvcj48WWVhcj4yMDA5PC9ZZWFyPjxS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</w:fldData>
        </w:fldChar>
      </w:r>
      <w:r w:rsidRPr="00927157">
        <w:rPr>
          <w:rFonts w:cs="Arial"/>
        </w:rPr>
        <w:instrText xml:space="preserve"> ADDIN EN.CITE </w:instrText>
      </w:r>
      <w:r w:rsidRPr="00927157">
        <w:rPr>
          <w:rFonts w:cs="Arial"/>
        </w:rPr>
        <w:fldChar w:fldCharType="begin">
          <w:fldData xml:space="preserve">PEVuZE5vdGU+PENpdGU+PEF1dGhvcj5CdXRsZXI8L0F1dGhvcj48WWVhcj4yMDA5PC9ZZWFyPjxS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</w:fldData>
        </w:fldChar>
      </w:r>
      <w:r w:rsidRPr="00927157">
        <w:rPr>
          <w:rFonts w:cs="Arial"/>
        </w:rPr>
        <w:instrText xml:space="preserve"> ADDIN EN.CITE.DATA </w:instrText>
      </w:r>
      <w:r w:rsidRPr="00927157">
        <w:rPr>
          <w:rFonts w:cs="Arial"/>
        </w:rPr>
      </w:r>
      <w:r w:rsidRPr="00927157">
        <w:rPr>
          <w:rFonts w:cs="Arial"/>
        </w:rPr>
        <w:fldChar w:fldCharType="end"/>
      </w:r>
      <w:r w:rsidRPr="00927157">
        <w:rPr>
          <w:rFonts w:cs="Arial"/>
        </w:rPr>
      </w:r>
      <w:r w:rsidRPr="00927157">
        <w:rPr>
          <w:rFonts w:cs="Arial"/>
        </w:rPr>
        <w:fldChar w:fldCharType="separate"/>
      </w:r>
      <w:r w:rsidRPr="00927157">
        <w:rPr>
          <w:rFonts w:cs="Arial"/>
        </w:rPr>
        <w:t>(Jepsen</w:t>
      </w:r>
      <w:r w:rsidRPr="00223954">
        <w:rPr>
          <w:rFonts w:cs="Arial"/>
        </w:rPr>
        <w:t xml:space="preserve"> et al.</w:t>
      </w:r>
      <w:r w:rsidRPr="00927157">
        <w:rPr>
          <w:rFonts w:cs="Arial"/>
        </w:rPr>
        <w:t xml:space="preserve"> 2002; Butler</w:t>
      </w:r>
      <w:r w:rsidRPr="00223954">
        <w:rPr>
          <w:rFonts w:cs="Arial"/>
        </w:rPr>
        <w:t xml:space="preserve"> et al.</w:t>
      </w:r>
      <w:r w:rsidRPr="00927157">
        <w:rPr>
          <w:rFonts w:cs="Arial"/>
        </w:rPr>
        <w:t xml:space="preserve"> 2009; Wagner</w:t>
      </w:r>
      <w:r w:rsidRPr="00223954">
        <w:rPr>
          <w:rFonts w:cs="Arial"/>
        </w:rPr>
        <w:t xml:space="preserve"> et al.</w:t>
      </w:r>
      <w:r w:rsidRPr="00927157">
        <w:rPr>
          <w:rFonts w:cs="Arial"/>
        </w:rPr>
        <w:t xml:space="preserve"> 2011)</w:t>
      </w:r>
      <w:r w:rsidRPr="00927157">
        <w:rPr>
          <w:rFonts w:cs="Arial"/>
        </w:rPr>
        <w:fldChar w:fldCharType="end"/>
      </w:r>
      <w:r w:rsidRPr="00927157">
        <w:rPr>
          <w:rFonts w:cs="Arial"/>
        </w:rPr>
        <w:t>.</w:t>
      </w:r>
      <w:r w:rsidR="00A97349">
        <w:rPr>
          <w:rFonts w:cs="Arial"/>
        </w:rPr>
        <w:t xml:space="preserve"> </w:t>
      </w:r>
      <w:r w:rsidRPr="00927157">
        <w:rPr>
          <w:rFonts w:cs="Arial"/>
        </w:rPr>
        <w:t xml:space="preserve"> </w:t>
      </w:r>
      <w:r>
        <w:rPr>
          <w:rFonts w:cs="Arial"/>
        </w:rPr>
        <w:t>P</w:t>
      </w:r>
      <w:r w:rsidRPr="00927157">
        <w:rPr>
          <w:rFonts w:cs="Arial"/>
        </w:rPr>
        <w:t xml:space="preserve">assive integrated transponder (PIT) tags were </w:t>
      </w:r>
      <w:r>
        <w:rPr>
          <w:rFonts w:cs="Arial"/>
        </w:rPr>
        <w:t xml:space="preserve">also </w:t>
      </w:r>
      <w:r w:rsidRPr="00927157">
        <w:rPr>
          <w:rFonts w:cs="Arial"/>
        </w:rPr>
        <w:t>inserted in the cavity</w:t>
      </w:r>
      <w:r>
        <w:rPr>
          <w:rFonts w:cs="Arial"/>
        </w:rPr>
        <w:t xml:space="preserve"> for long-term monitoring</w:t>
      </w:r>
      <w:r w:rsidRPr="00927157">
        <w:rPr>
          <w:rFonts w:cs="Arial"/>
        </w:rPr>
        <w:t xml:space="preserve">. Incisions were closed with two or three sutures using 0.3 mm pseudo-monofilament, absorbable thread (Vetafil Bengen; WdT, Garbsen, Germany). </w:t>
      </w:r>
      <w:r w:rsidR="00A97349">
        <w:rPr>
          <w:rFonts w:cs="Arial"/>
        </w:rPr>
        <w:t xml:space="preserve"> </w:t>
      </w:r>
      <w:r w:rsidRPr="00927157">
        <w:rPr>
          <w:rFonts w:cs="Arial"/>
        </w:rPr>
        <w:t xml:space="preserve">After suturing, the fish were given an intramuscular </w:t>
      </w:r>
      <w:r w:rsidRPr="00223954">
        <w:rPr>
          <w:rFonts w:cs="Arial"/>
        </w:rPr>
        <w:t>injection</w:t>
      </w:r>
      <w:r w:rsidRPr="00927157">
        <w:rPr>
          <w:rFonts w:cs="Arial"/>
        </w:rPr>
        <w:t xml:space="preserve"> </w:t>
      </w:r>
      <w:r>
        <w:rPr>
          <w:rFonts w:cs="Arial"/>
        </w:rPr>
        <w:t xml:space="preserve">of </w:t>
      </w:r>
      <w:r w:rsidRPr="00223954">
        <w:rPr>
          <w:rFonts w:cs="Arial"/>
        </w:rPr>
        <w:t>oxytetracycline hydrochloride (</w:t>
      </w:r>
      <w:r w:rsidRPr="00927157">
        <w:rPr>
          <w:rFonts w:cs="Arial"/>
        </w:rPr>
        <w:t>0.25 mL kg</w:t>
      </w:r>
      <w:r w:rsidRPr="00223954">
        <w:rPr>
          <w:rFonts w:cs="Arial"/>
        </w:rPr>
        <w:t>−1</w:t>
      </w:r>
      <w:r w:rsidRPr="00927157">
        <w:rPr>
          <w:rFonts w:cs="Arial"/>
        </w:rPr>
        <w:t>)</w:t>
      </w:r>
      <w:r w:rsidRPr="00223954">
        <w:rPr>
          <w:rFonts w:cs="Arial"/>
        </w:rPr>
        <w:t xml:space="preserve"> </w:t>
      </w:r>
      <w:r w:rsidRPr="00927157">
        <w:rPr>
          <w:rFonts w:cs="Arial"/>
        </w:rPr>
        <w:t xml:space="preserve">(CCD Animal Health and Nutrition, Toowoomba) and </w:t>
      </w:r>
      <w:r>
        <w:rPr>
          <w:rFonts w:cs="Arial"/>
        </w:rPr>
        <w:t xml:space="preserve">then </w:t>
      </w:r>
      <w:r w:rsidRPr="00927157">
        <w:rPr>
          <w:rFonts w:cs="Arial"/>
        </w:rPr>
        <w:t>returned to a floating cage to recover.</w:t>
      </w:r>
    </w:p>
    <w:p w:rsidR="00152762" w:rsidRDefault="004176FF" w:rsidP="00152762">
      <w:pPr>
        <w:keepNext/>
        <w:spacing w:after="0" w:line="360" w:lineRule="auto"/>
      </w:pPr>
      <w:r w:rsidRPr="00CC18AA">
        <w:rPr>
          <w:rFonts w:cs="Arial"/>
          <w:noProof/>
          <w:lang w:eastAsia="en-AU"/>
        </w:rPr>
        <w:drawing>
          <wp:inline distT="0" distB="0" distL="0" distR="0">
            <wp:extent cx="5829300" cy="4371975"/>
            <wp:effectExtent l="19050" t="19050" r="19050" b="28575"/>
            <wp:docPr id="103" name="Picture 287" descr="C:\Users\butlerga\Dropbox\Gwydir field trip May - June 2016\2016-05-31 17.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Users\butlerga\Dropbox\Gwydir field trip May - June 2016\2016-05-31 17.01.05.jpg"/>
                    <pic:cNvPicPr>
                      <a:picLocks noChangeAspect="1" noChangeArrowheads="1"/>
                    </pic:cNvPicPr>
                  </pic:nvPicPr>
                  <pic:blipFill>
                    <a:blip r:embed="rId188">
                      <a:extLst>
                        <a:ext uri="{28A0092B-C50C-407E-A947-70E740481C1C}">
                          <a14:useLocalDpi xmlns:a14="http://schemas.microsoft.com/office/drawing/2010/main"/>
                        </a:ext>
                      </a:extLst>
                    </a:blip>
                    <a:srcRect/>
                    <a:stretch>
                      <a:fillRect/>
                    </a:stretch>
                  </pic:blipFill>
                  <pic:spPr bwMode="auto">
                    <a:xfrm>
                      <a:off x="0" y="0"/>
                      <a:ext cx="5829300" cy="4371975"/>
                    </a:xfrm>
                    <a:prstGeom prst="rect">
                      <a:avLst/>
                    </a:prstGeom>
                    <a:noFill/>
                    <a:ln w="9525" cmpd="sng">
                      <a:solidFill>
                        <a:srgbClr val="7F7F7F"/>
                      </a:solidFill>
                      <a:miter lim="800000"/>
                      <a:headEnd/>
                      <a:tailEnd/>
                    </a:ln>
                    <a:effectLst/>
                  </pic:spPr>
                </pic:pic>
              </a:graphicData>
            </a:graphic>
          </wp:inline>
        </w:drawing>
      </w:r>
    </w:p>
    <w:p w:rsidR="00223954" w:rsidRDefault="00152762" w:rsidP="00152762">
      <w:pPr>
        <w:pStyle w:val="Caption"/>
        <w:rPr>
          <w:rFonts w:cs="Arial"/>
          <w:lang w:val="en-US" w:eastAsia="zh-CN"/>
        </w:rPr>
      </w:pPr>
      <w:bookmarkStart w:id="168" w:name="_Ref459033454"/>
      <w:r>
        <w:t xml:space="preserve">Figure </w:t>
      </w:r>
      <w:fldSimple w:instr=" STYLEREF 6 \s ">
        <w:r w:rsidR="00673DAF">
          <w:rPr>
            <w:noProof/>
          </w:rPr>
          <w:t>J</w:t>
        </w:r>
      </w:fldSimple>
      <w:r w:rsidR="00673DAF">
        <w:noBreakHyphen/>
      </w:r>
      <w:fldSimple w:instr=" SEQ Figure \* ARABIC \s 6 ">
        <w:r w:rsidR="00673DAF">
          <w:rPr>
            <w:noProof/>
          </w:rPr>
          <w:t>3</w:t>
        </w:r>
      </w:fldSimple>
      <w:bookmarkEnd w:id="168"/>
      <w:r>
        <w:t xml:space="preserve"> </w:t>
      </w:r>
      <w:r w:rsidRPr="00C27C05">
        <w:t>Freshwater catfish (</w:t>
      </w:r>
      <w:r w:rsidRPr="00AA4C84">
        <w:rPr>
          <w:i/>
        </w:rPr>
        <w:t>Tandanus</w:t>
      </w:r>
      <w:r w:rsidRPr="00C27C05">
        <w:t xml:space="preserve"> sp.) being implanted with acoustic tag</w:t>
      </w:r>
      <w:r>
        <w:t>.</w:t>
      </w:r>
    </w:p>
    <w:p w:rsidR="00223954" w:rsidRPr="0030198A" w:rsidRDefault="00223954" w:rsidP="00223954">
      <w:pPr>
        <w:pStyle w:val="Heading8"/>
        <w:rPr>
          <w:lang w:val="en-US" w:eastAsia="zh-CN"/>
        </w:rPr>
      </w:pPr>
      <w:r>
        <w:rPr>
          <w:lang w:val="en-US" w:eastAsia="zh-CN"/>
        </w:rPr>
        <w:t>Monitoring 2016-17</w:t>
      </w:r>
    </w:p>
    <w:p w:rsidR="00223954" w:rsidRDefault="00223954" w:rsidP="00223954">
      <w:pPr>
        <w:pStyle w:val="NoSpacing"/>
        <w:spacing w:after="200" w:line="280" w:lineRule="exact"/>
        <w:rPr>
          <w:rFonts w:cs="Arial"/>
        </w:rPr>
      </w:pPr>
      <w:r w:rsidRPr="00223954">
        <w:rPr>
          <w:rFonts w:cs="Arial"/>
        </w:rPr>
        <w:t>The receivers within the fine scale arrays will be downloaded every three-four months over the coming year.</w:t>
      </w:r>
      <w:r w:rsidR="00A97349">
        <w:rPr>
          <w:rFonts w:cs="Arial"/>
        </w:rPr>
        <w:t xml:space="preserve"> </w:t>
      </w:r>
      <w:r w:rsidRPr="00223954">
        <w:rPr>
          <w:rFonts w:cs="Arial"/>
        </w:rPr>
        <w:t xml:space="preserve"> The data from the fine-scale array will be processed by Vemco using the VEMCO Positioning System (VPS) software, where each fish is assigned a continuous metre level position. </w:t>
      </w:r>
      <w:r w:rsidR="00A97349">
        <w:rPr>
          <w:rFonts w:cs="Arial"/>
        </w:rPr>
        <w:t xml:space="preserve"> </w:t>
      </w:r>
      <w:r w:rsidRPr="00223954">
        <w:rPr>
          <w:rFonts w:cs="Arial"/>
        </w:rPr>
        <w:t xml:space="preserve">At this stage it is planned to only deploy the intensive array for up to six months but we are considering leaving it longer depending on the availability of receivers. </w:t>
      </w:r>
      <w:r w:rsidR="00A97349">
        <w:rPr>
          <w:rFonts w:cs="Arial"/>
        </w:rPr>
        <w:t xml:space="preserve"> </w:t>
      </w:r>
      <w:r w:rsidRPr="00223954">
        <w:rPr>
          <w:rFonts w:cs="Arial"/>
        </w:rPr>
        <w:t>We will also quantify total available habitat within the fine scale arrays boundaries using a Dual</w:t>
      </w:r>
      <w:r>
        <w:rPr>
          <w:rFonts w:cs="Arial"/>
        </w:rPr>
        <w:t xml:space="preserve"> Frequency Identification S</w:t>
      </w:r>
      <w:r w:rsidRPr="00927157">
        <w:rPr>
          <w:rFonts w:cs="Arial"/>
        </w:rPr>
        <w:t xml:space="preserve">onar (DIDSON) (Sound metrics, Washington). </w:t>
      </w:r>
      <w:r w:rsidR="00A97349">
        <w:rPr>
          <w:rFonts w:cs="Arial"/>
        </w:rPr>
        <w:t xml:space="preserve"> </w:t>
      </w:r>
      <w:r w:rsidRPr="00927157">
        <w:rPr>
          <w:rFonts w:cs="Arial"/>
        </w:rPr>
        <w:t xml:space="preserve">The entirety of the </w:t>
      </w:r>
      <w:r>
        <w:rPr>
          <w:rFonts w:cs="Arial"/>
        </w:rPr>
        <w:t xml:space="preserve">area will be </w:t>
      </w:r>
      <w:r w:rsidRPr="00927157">
        <w:rPr>
          <w:rFonts w:cs="Arial"/>
        </w:rPr>
        <w:t xml:space="preserve">passed over </w:t>
      </w:r>
      <w:r>
        <w:rPr>
          <w:rFonts w:cs="Arial"/>
        </w:rPr>
        <w:t>by</w:t>
      </w:r>
      <w:r w:rsidRPr="00927157">
        <w:rPr>
          <w:rFonts w:cs="Arial"/>
        </w:rPr>
        <w:t xml:space="preserve"> boat, recording GPS locations and margins of submerged logs, rocks, deep holes, log-jams, macrophyte beds, anthropogenic structures, bank overhangs, root masses and substrate type.</w:t>
      </w:r>
      <w:r w:rsidR="00A97349">
        <w:rPr>
          <w:rFonts w:cs="Arial"/>
        </w:rPr>
        <w:t xml:space="preserve"> </w:t>
      </w:r>
      <w:r w:rsidRPr="00927157">
        <w:rPr>
          <w:rFonts w:cs="Arial"/>
        </w:rPr>
        <w:t xml:space="preserve"> </w:t>
      </w:r>
      <w:r>
        <w:rPr>
          <w:rFonts w:cs="Arial"/>
        </w:rPr>
        <w:t>These data will allow us to quantify habitat selection under different flow regimes and at different times of the year.</w:t>
      </w:r>
    </w:p>
    <w:p w:rsidR="00223954" w:rsidRPr="00223954" w:rsidRDefault="00223954" w:rsidP="00223954">
      <w:pPr>
        <w:pStyle w:val="NoSpacing"/>
        <w:spacing w:after="200" w:line="280" w:lineRule="exact"/>
        <w:rPr>
          <w:rFonts w:cs="Arial"/>
        </w:rPr>
      </w:pPr>
      <w:r w:rsidRPr="00223954">
        <w:rPr>
          <w:rFonts w:cs="Arial"/>
        </w:rPr>
        <w:t xml:space="preserve">In regards to the broad scale array, data will be downloaded from the 30 receivers and temperature loggers every three-four months. </w:t>
      </w:r>
      <w:r w:rsidR="00A97349">
        <w:rPr>
          <w:rFonts w:cs="Arial"/>
        </w:rPr>
        <w:t xml:space="preserve"> </w:t>
      </w:r>
      <w:r w:rsidRPr="00223954">
        <w:rPr>
          <w:rFonts w:cs="Arial"/>
        </w:rPr>
        <w:t>These data will allow us to quantify larger-scale movements in relation to flow releases, water temperature, season and year.</w:t>
      </w:r>
    </w:p>
    <w:p w:rsidR="00223954" w:rsidRPr="0030198A" w:rsidRDefault="00223954" w:rsidP="00223954">
      <w:pPr>
        <w:pStyle w:val="Heading7"/>
      </w:pPr>
      <w:r w:rsidRPr="0030198A">
        <w:t>References</w:t>
      </w:r>
    </w:p>
    <w:p w:rsidR="00223954" w:rsidRPr="00E55ABD" w:rsidRDefault="00223954" w:rsidP="00223954">
      <w:pPr>
        <w:pStyle w:val="NoSpacing"/>
        <w:spacing w:after="200" w:line="280" w:lineRule="exact"/>
        <w:rPr>
          <w:rFonts w:cs="Arial"/>
        </w:rPr>
      </w:pPr>
      <w:r w:rsidRPr="00E55ABD">
        <w:rPr>
          <w:rFonts w:cs="Arial"/>
        </w:rPr>
        <w:t>Butler, G.L., Mackay, B., Rowland, S.J</w:t>
      </w:r>
      <w:proofErr w:type="gramStart"/>
      <w:r w:rsidRPr="00E55ABD">
        <w:rPr>
          <w:rFonts w:cs="Arial"/>
        </w:rPr>
        <w:t>.</w:t>
      </w:r>
      <w:r w:rsidR="0071746D">
        <w:rPr>
          <w:rFonts w:cs="Arial"/>
        </w:rPr>
        <w:t>&amp;</w:t>
      </w:r>
      <w:proofErr w:type="gramEnd"/>
      <w:r w:rsidR="0071746D">
        <w:rPr>
          <w:rFonts w:cs="Arial"/>
        </w:rPr>
        <w:t xml:space="preserve"> Pease, B.C. 2009.</w:t>
      </w:r>
      <w:r w:rsidRPr="00E55ABD">
        <w:rPr>
          <w:rFonts w:cs="Arial"/>
        </w:rPr>
        <w:t xml:space="preserve"> Retention of intra-peritoneal transmitters and post-operative recovery of four Australian native fish species. </w:t>
      </w:r>
      <w:r w:rsidRPr="0071746D">
        <w:rPr>
          <w:rFonts w:cs="Arial"/>
          <w:i/>
        </w:rPr>
        <w:t>Marine and Freshwater Research, 60,</w:t>
      </w:r>
      <w:r w:rsidRPr="00E55ABD">
        <w:rPr>
          <w:rFonts w:cs="Arial"/>
        </w:rPr>
        <w:t xml:space="preserve"> 361-370.</w:t>
      </w:r>
    </w:p>
    <w:p w:rsidR="00223954" w:rsidRPr="00E55ABD" w:rsidRDefault="00223954" w:rsidP="00223954">
      <w:pPr>
        <w:pStyle w:val="NoSpacing"/>
        <w:spacing w:after="200" w:line="280" w:lineRule="exact"/>
        <w:rPr>
          <w:rFonts w:cs="Arial"/>
        </w:rPr>
      </w:pPr>
      <w:r w:rsidRPr="00E55ABD">
        <w:rPr>
          <w:rFonts w:cs="Arial"/>
        </w:rPr>
        <w:t xml:space="preserve">Espinoza, M., Farrugia, T.J., Webber, D.M., Smith, F. </w:t>
      </w:r>
      <w:r w:rsidR="0071746D">
        <w:rPr>
          <w:rFonts w:cs="Arial"/>
        </w:rPr>
        <w:t>&amp; Lowe, C.G. 2011.</w:t>
      </w:r>
      <w:r w:rsidRPr="00E55ABD">
        <w:rPr>
          <w:rFonts w:cs="Arial"/>
        </w:rPr>
        <w:t xml:space="preserve"> Testing a new acoustic telemetry technique to quantify long-term, fine-scale movements of aquatic animals. </w:t>
      </w:r>
      <w:r w:rsidRPr="0071746D">
        <w:rPr>
          <w:rFonts w:cs="Arial"/>
          <w:i/>
        </w:rPr>
        <w:t>Fisheries Research, 108</w:t>
      </w:r>
      <w:r w:rsidRPr="00FE7A52">
        <w:rPr>
          <w:rFonts w:cs="Arial"/>
        </w:rPr>
        <w:t>,</w:t>
      </w:r>
      <w:r w:rsidRPr="00E55ABD">
        <w:rPr>
          <w:rFonts w:cs="Arial"/>
        </w:rPr>
        <w:t xml:space="preserve"> 364-371.</w:t>
      </w:r>
    </w:p>
    <w:p w:rsidR="00223954" w:rsidRPr="00E55ABD" w:rsidRDefault="00223954" w:rsidP="00223954">
      <w:pPr>
        <w:pStyle w:val="NoSpacing"/>
        <w:spacing w:after="200" w:line="280" w:lineRule="exact"/>
        <w:rPr>
          <w:rFonts w:cs="Arial"/>
        </w:rPr>
      </w:pPr>
      <w:r w:rsidRPr="00E55ABD">
        <w:rPr>
          <w:rFonts w:cs="Arial"/>
        </w:rPr>
        <w:t xml:space="preserve">Jepsen, N., Koed, A., Thorstad, E.B. </w:t>
      </w:r>
      <w:r w:rsidR="0071746D">
        <w:rPr>
          <w:rFonts w:cs="Arial"/>
        </w:rPr>
        <w:t>&amp; Baras, E. 2002.</w:t>
      </w:r>
      <w:r w:rsidRPr="00E55ABD">
        <w:rPr>
          <w:rFonts w:cs="Arial"/>
        </w:rPr>
        <w:t xml:space="preserve"> Surgical implantation of telemetry transmitters in fish: how much have we learned? </w:t>
      </w:r>
      <w:r w:rsidRPr="0071746D">
        <w:rPr>
          <w:rFonts w:cs="Arial"/>
          <w:i/>
        </w:rPr>
        <w:t>Hydrobiologia, 483,</w:t>
      </w:r>
      <w:r w:rsidRPr="00E55ABD">
        <w:rPr>
          <w:rFonts w:cs="Arial"/>
        </w:rPr>
        <w:t xml:space="preserve"> 239-248.</w:t>
      </w:r>
    </w:p>
    <w:p w:rsidR="00223954" w:rsidRPr="00E55ABD" w:rsidRDefault="00223954" w:rsidP="00223954">
      <w:pPr>
        <w:pStyle w:val="NoSpacing"/>
        <w:spacing w:after="200" w:line="280" w:lineRule="exact"/>
        <w:rPr>
          <w:rFonts w:cs="Arial"/>
        </w:rPr>
      </w:pPr>
      <w:r w:rsidRPr="00E55ABD">
        <w:rPr>
          <w:rFonts w:cs="Arial"/>
        </w:rPr>
        <w:t xml:space="preserve">Wagner, G.N., Cooke, S.J., Brown, R.S. </w:t>
      </w:r>
      <w:r w:rsidR="0071746D">
        <w:rPr>
          <w:rFonts w:cs="Arial"/>
        </w:rPr>
        <w:t>&amp; Deters, K.A. 2011.</w:t>
      </w:r>
      <w:r w:rsidRPr="00E55ABD">
        <w:rPr>
          <w:rFonts w:cs="Arial"/>
        </w:rPr>
        <w:t xml:space="preserve"> Surgical implantation techniques for electronic tags in fish. </w:t>
      </w:r>
      <w:r w:rsidRPr="0071746D">
        <w:rPr>
          <w:rFonts w:cs="Arial"/>
          <w:i/>
        </w:rPr>
        <w:t>Reviews in Fish Biology and Fisheries, 21,</w:t>
      </w:r>
      <w:r w:rsidRPr="00E55ABD">
        <w:rPr>
          <w:rFonts w:cs="Arial"/>
        </w:rPr>
        <w:t xml:space="preserve"> 71-81.</w:t>
      </w:r>
    </w:p>
    <w:p w:rsidR="00223954" w:rsidRPr="00927157" w:rsidRDefault="00223954" w:rsidP="00223954">
      <w:pPr>
        <w:spacing w:after="0" w:line="360" w:lineRule="auto"/>
        <w:rPr>
          <w:rFonts w:cs="Arial"/>
          <w:lang w:val="en-US" w:eastAsia="zh-CN"/>
        </w:rPr>
      </w:pPr>
    </w:p>
    <w:p w:rsidR="00223954" w:rsidRPr="00927157" w:rsidRDefault="00223954" w:rsidP="00223954">
      <w:pPr>
        <w:spacing w:after="0" w:line="360" w:lineRule="auto"/>
        <w:rPr>
          <w:rFonts w:cs="Arial"/>
        </w:rPr>
      </w:pPr>
    </w:p>
    <w:p w:rsidR="00F8016A" w:rsidRDefault="00F8016A" w:rsidP="00E809F1">
      <w:pPr>
        <w:sectPr w:rsidR="00F8016A" w:rsidSect="004F411E">
          <w:headerReference w:type="default" r:id="rId189"/>
          <w:type w:val="nextColumn"/>
          <w:pgSz w:w="11899" w:h="16838"/>
          <w:pgMar w:top="1508" w:right="1219" w:bottom="1457" w:left="1480" w:header="811" w:footer="305" w:gutter="0"/>
          <w:pgNumType w:start="1" w:chapStyle="6"/>
          <w:cols w:space="708"/>
          <w:docGrid w:linePitch="360"/>
        </w:sectPr>
      </w:pPr>
    </w:p>
    <w:p w:rsidR="0056539E" w:rsidRPr="00AE6164" w:rsidRDefault="0056539E" w:rsidP="00AE6164">
      <w:pPr>
        <w:pStyle w:val="Heading6"/>
      </w:pPr>
      <w:r w:rsidRPr="00AE6164">
        <w:t xml:space="preserve">Waterbird Diversity </w:t>
      </w:r>
    </w:p>
    <w:p w:rsidR="0056539E" w:rsidRDefault="0056539E" w:rsidP="00D65359">
      <w:pPr>
        <w:pStyle w:val="Heading7"/>
      </w:pPr>
      <w:r w:rsidRPr="00051750">
        <w:t>Introduction</w:t>
      </w:r>
    </w:p>
    <w:p w:rsidR="0056539E" w:rsidRDefault="0056539E" w:rsidP="0056539E">
      <w:r w:rsidRPr="004335CD">
        <w:t xml:space="preserve">The </w:t>
      </w:r>
      <w:r>
        <w:t xml:space="preserve">Gingham and </w:t>
      </w:r>
      <w:r w:rsidR="001C3C04">
        <w:t>lower</w:t>
      </w:r>
      <w:r>
        <w:t xml:space="preserve"> </w:t>
      </w:r>
      <w:r w:rsidRPr="004335CD">
        <w:t xml:space="preserve">Gwydir wetlands are recognised as an important </w:t>
      </w:r>
      <w:r>
        <w:t>area</w:t>
      </w:r>
      <w:r w:rsidRPr="004335CD">
        <w:t xml:space="preserve"> for waterbirds, and support some of the largest</w:t>
      </w:r>
      <w:r w:rsidR="00CE1A80">
        <w:t xml:space="preserve"> waterbird</w:t>
      </w:r>
      <w:r w:rsidRPr="004335CD">
        <w:t xml:space="preserve"> breeding colonies in Australia (DECCW 2011). </w:t>
      </w:r>
      <w:r w:rsidR="00A97349">
        <w:t xml:space="preserve"> </w:t>
      </w:r>
      <w:r w:rsidRPr="004335CD">
        <w:t>They also support a number of species listed under international agreements.</w:t>
      </w:r>
      <w:r w:rsidR="00A97349">
        <w:t xml:space="preserve"> </w:t>
      </w:r>
      <w:r w:rsidRPr="004335CD">
        <w:t xml:space="preserve"> In addition to the</w:t>
      </w:r>
      <w:r>
        <w:t xml:space="preserve"> Gingham and </w:t>
      </w:r>
      <w:r w:rsidR="001C3C04">
        <w:t>lower</w:t>
      </w:r>
      <w:r>
        <w:t xml:space="preserve"> </w:t>
      </w:r>
      <w:r w:rsidRPr="004335CD">
        <w:t xml:space="preserve">Gwydir </w:t>
      </w:r>
      <w:r>
        <w:t xml:space="preserve">wetlands </w:t>
      </w:r>
      <w:r w:rsidRPr="004335CD">
        <w:t>being an important habitat for waterbirds, the birds themselves constitute a useful indicator of river and wetland health at both regional and local scale</w:t>
      </w:r>
      <w:r>
        <w:t>s</w:t>
      </w:r>
      <w:r w:rsidRPr="004335CD">
        <w:t>, with surveys previously being undertaken in the Gwydir</w:t>
      </w:r>
      <w:r>
        <w:t xml:space="preserve"> system</w:t>
      </w:r>
      <w:r w:rsidRPr="004335CD">
        <w:t xml:space="preserve"> for a number of years (Spencer et al. 2014).</w:t>
      </w:r>
      <w:r w:rsidR="00A97349">
        <w:t xml:space="preserve"> </w:t>
      </w:r>
      <w:r w:rsidRPr="004335CD">
        <w:t xml:space="preserve"> </w:t>
      </w:r>
      <w:r>
        <w:t xml:space="preserve">Monitoring for this project in the 2014-15 water year showed that waterbird abundance, diversity and breeding activity all responded positively to the delivery of environmental water into the system. </w:t>
      </w:r>
      <w:r w:rsidR="00A97349">
        <w:t xml:space="preserve"> </w:t>
      </w:r>
      <w:r>
        <w:t>A comparison of sites that were wet against those that were dry (regardless of sampling period) showed a significant increase in both species richness and abundance which indicates that increases in these factors were driven by inundation (Commonwealth of Australia 2015).</w:t>
      </w:r>
    </w:p>
    <w:p w:rsidR="0056539E" w:rsidRPr="004335CD" w:rsidRDefault="0056539E" w:rsidP="0056539E">
      <w:r>
        <w:t xml:space="preserve">Monitoring was expanded in the 2015-16 water year to include several additional sites in the </w:t>
      </w:r>
      <w:r w:rsidR="001C3C04">
        <w:t>lower</w:t>
      </w:r>
      <w:r>
        <w:t xml:space="preserve"> Gwydir River and Gingham </w:t>
      </w:r>
      <w:r w:rsidR="00AD380A">
        <w:t>w</w:t>
      </w:r>
      <w:r w:rsidR="001C3C04">
        <w:t>atercourse</w:t>
      </w:r>
      <w:r>
        <w:t xml:space="preserve">, as well as channel and wetland sites </w:t>
      </w:r>
      <w:r w:rsidR="00AD380A">
        <w:t>within the</w:t>
      </w:r>
      <w:r>
        <w:t xml:space="preserve"> Mehi River and Moomin Creek which incorporates the Mallowa wetlands. </w:t>
      </w:r>
      <w:r w:rsidR="00A97349">
        <w:t xml:space="preserve"> </w:t>
      </w:r>
      <w:r w:rsidRPr="004335CD">
        <w:t xml:space="preserve">Several specific questions were addressed through the monitoring of waterbird diversity in the </w:t>
      </w:r>
      <w:r>
        <w:t>2015-16</w:t>
      </w:r>
      <w:r w:rsidRPr="004335CD">
        <w:t xml:space="preserve"> </w:t>
      </w:r>
      <w:r>
        <w:t>water year</w:t>
      </w:r>
      <w:r w:rsidRPr="004335CD">
        <w:t xml:space="preserve"> in the </w:t>
      </w:r>
      <w:r>
        <w:t xml:space="preserve">Gingham, </w:t>
      </w:r>
      <w:r w:rsidR="001C3C04">
        <w:t>lower</w:t>
      </w:r>
      <w:r>
        <w:t xml:space="preserve"> </w:t>
      </w:r>
      <w:r w:rsidRPr="004335CD">
        <w:t xml:space="preserve">Gwydir </w:t>
      </w:r>
      <w:r>
        <w:t xml:space="preserve">and Mallowa </w:t>
      </w:r>
      <w:r w:rsidRPr="004335CD">
        <w:t>wetlands:</w:t>
      </w:r>
    </w:p>
    <w:p w:rsidR="0056539E" w:rsidRPr="00E23B8D" w:rsidRDefault="0056539E" w:rsidP="005E1E2E">
      <w:pPr>
        <w:pStyle w:val="Bullets1"/>
        <w:numPr>
          <w:ilvl w:val="0"/>
          <w:numId w:val="10"/>
        </w:numPr>
        <w:ind w:left="1134" w:hanging="567"/>
      </w:pPr>
      <w:r w:rsidRPr="00E23B8D">
        <w:t>What did Commonwealth environmental water contribute to waterbird populations?</w:t>
      </w:r>
    </w:p>
    <w:p w:rsidR="0056539E" w:rsidRPr="00E23B8D" w:rsidRDefault="0056539E" w:rsidP="005E1E2E">
      <w:pPr>
        <w:pStyle w:val="Bullets1"/>
        <w:numPr>
          <w:ilvl w:val="0"/>
          <w:numId w:val="10"/>
        </w:numPr>
        <w:ind w:left="1134" w:hanging="567"/>
      </w:pPr>
      <w:r w:rsidRPr="00E23B8D">
        <w:t>What did Commonwealth environmental water contribute to waterbird species diversity?</w:t>
      </w:r>
    </w:p>
    <w:p w:rsidR="0056539E" w:rsidRDefault="0056539E" w:rsidP="005E1E2E">
      <w:pPr>
        <w:pStyle w:val="Bullets1"/>
        <w:numPr>
          <w:ilvl w:val="0"/>
          <w:numId w:val="10"/>
        </w:numPr>
        <w:spacing w:after="240"/>
        <w:ind w:left="1134" w:hanging="567"/>
      </w:pPr>
      <w:r w:rsidRPr="00E23B8D">
        <w:t>What did Commonwealth environmental water contribute to waterbird survival</w:t>
      </w:r>
    </w:p>
    <w:p w:rsidR="0056539E" w:rsidRPr="009E19BD" w:rsidRDefault="0056539E" w:rsidP="00D65359">
      <w:pPr>
        <w:pStyle w:val="Heading8"/>
      </w:pPr>
      <w:r>
        <w:t>Environmental watering in 2015-16</w:t>
      </w:r>
    </w:p>
    <w:p w:rsidR="0056539E" w:rsidRPr="003126AB" w:rsidRDefault="0056539E" w:rsidP="0056539E">
      <w:r w:rsidRPr="003126AB">
        <w:t>During 2015-16</w:t>
      </w:r>
      <w:r w:rsidR="00AD380A">
        <w:t>,</w:t>
      </w:r>
      <w:r w:rsidRPr="003126AB">
        <w:t xml:space="preserve"> environmental water was delivered to several of the </w:t>
      </w:r>
      <w:r w:rsidR="001C3C04">
        <w:t>lower</w:t>
      </w:r>
      <w:r w:rsidRPr="003126AB">
        <w:t xml:space="preserve"> Gwydir River channels (</w:t>
      </w:r>
      <w:r w:rsidR="00B23C45">
        <w:fldChar w:fldCharType="begin"/>
      </w:r>
      <w:r w:rsidR="00B23C45">
        <w:instrText xml:space="preserve"> REF _Ref457987841 \r \h </w:instrText>
      </w:r>
      <w:r w:rsidR="00B23C45">
        <w:fldChar w:fldCharType="separate"/>
      </w:r>
      <w:r w:rsidR="005D5925">
        <w:t>Appendix A</w:t>
      </w:r>
      <w:r w:rsidR="00B23C45">
        <w:fldChar w:fldCharType="end"/>
      </w:r>
      <w:r w:rsidRPr="003126AB">
        <w:t>).</w:t>
      </w:r>
      <w:r w:rsidR="00A97349">
        <w:t xml:space="preserve"> </w:t>
      </w:r>
      <w:r w:rsidRPr="003126AB">
        <w:t xml:space="preserve"> In November 2015, a flow event occurred down the Mehi River and supplementary water licences owned by the CEWO were triggered. </w:t>
      </w:r>
      <w:r w:rsidR="00A97349">
        <w:t xml:space="preserve"> </w:t>
      </w:r>
      <w:r w:rsidRPr="003126AB">
        <w:t>A total of 1300 ML were accounted for with 964 ML of this water flowing down the Mehi River, and 336 ML directed down Mallowa Creek.  Through January 2016, flows were delivered into the Mallowa Creek system to inundate fringing wetlands.</w:t>
      </w:r>
      <w:r w:rsidR="00A97349">
        <w:t xml:space="preserve"> </w:t>
      </w:r>
      <w:r w:rsidRPr="003126AB">
        <w:t xml:space="preserve"> Flows were also delivered into the </w:t>
      </w:r>
      <w:r w:rsidR="001C3C04">
        <w:t>lower</w:t>
      </w:r>
      <w:r w:rsidRPr="003126AB">
        <w:t xml:space="preserve"> Gwydir River and Gingham </w:t>
      </w:r>
      <w:r w:rsidR="001C3C04">
        <w:t>watercourse</w:t>
      </w:r>
      <w:r w:rsidRPr="003126AB">
        <w:t xml:space="preserve"> in February 2016, to replace flows that were abstracted in a supplementary flow event. </w:t>
      </w:r>
      <w:r w:rsidR="000A32AE">
        <w:t xml:space="preserve"> Due to critically low flows experienced in the lower Gwydir system in March and April 2016, water was delivered down the lower Gwydir, Gingham, Mehi and Carole channels as part of a dry river flow action in early April. </w:t>
      </w:r>
      <w:r w:rsidR="00A97349">
        <w:t xml:space="preserve"> </w:t>
      </w:r>
      <w:r w:rsidR="000A32AE">
        <w:t xml:space="preserve">This followed a period of 30-40 days of nil flows conditions across the catchment. </w:t>
      </w:r>
      <w:r w:rsidRPr="003126AB">
        <w:t>While not large in volume (</w:t>
      </w:r>
      <w:r w:rsidR="00B23C45">
        <w:fldChar w:fldCharType="begin"/>
      </w:r>
      <w:r w:rsidR="00B23C45">
        <w:instrText xml:space="preserve"> REF _Ref457987841 \r \h </w:instrText>
      </w:r>
      <w:r w:rsidR="00B23C45">
        <w:fldChar w:fldCharType="separate"/>
      </w:r>
      <w:r w:rsidR="005D5925">
        <w:t>Appendix A</w:t>
      </w:r>
      <w:r w:rsidR="00B23C45">
        <w:fldChar w:fldCharType="end"/>
      </w:r>
      <w:r w:rsidRPr="003126AB">
        <w:t xml:space="preserve">), these flows </w:t>
      </w:r>
      <w:r w:rsidR="00AD380A">
        <w:t>made</w:t>
      </w:r>
      <w:r w:rsidRPr="003126AB">
        <w:t xml:space="preserve"> it into the wetlands</w:t>
      </w:r>
      <w:r w:rsidR="00B23C45">
        <w:t xml:space="preserve"> (</w:t>
      </w:r>
      <w:r w:rsidR="00B23C45">
        <w:fldChar w:fldCharType="begin"/>
      </w:r>
      <w:r w:rsidR="00B23C45">
        <w:instrText xml:space="preserve"> REF _Ref457987879 \r \h </w:instrText>
      </w:r>
      <w:r w:rsidR="00B23C45">
        <w:fldChar w:fldCharType="separate"/>
      </w:r>
      <w:r w:rsidR="005D5925">
        <w:t>Appendix B</w:t>
      </w:r>
      <w:r w:rsidR="00B23C45">
        <w:fldChar w:fldCharType="end"/>
      </w:r>
      <w:r w:rsidR="00B23C45">
        <w:t>)</w:t>
      </w:r>
      <w:r w:rsidRPr="003126AB">
        <w:t>, inundating a number of waterbird survey sites (</w:t>
      </w:r>
      <w:r w:rsidRPr="00CA18EE">
        <w:fldChar w:fldCharType="begin"/>
      </w:r>
      <w:r w:rsidRPr="003126AB">
        <w:instrText xml:space="preserve"> REF _Ref452985498 \h </w:instrText>
      </w:r>
      <w:r w:rsidRPr="00CE0CDA">
        <w:instrText xml:space="preserve"> \* MERGEFORMAT </w:instrText>
      </w:r>
      <w:r w:rsidRPr="00CA18EE">
        <w:fldChar w:fldCharType="separate"/>
      </w:r>
      <w:r w:rsidR="005D5925">
        <w:t>Table K</w:t>
      </w:r>
      <w:r w:rsidR="005D5925">
        <w:noBreakHyphen/>
        <w:t>1</w:t>
      </w:r>
      <w:r w:rsidRPr="00CA18EE">
        <w:fldChar w:fldCharType="end"/>
      </w:r>
      <w:r w:rsidRPr="003126AB">
        <w:t xml:space="preserve">). </w:t>
      </w:r>
    </w:p>
    <w:p w:rsidR="0056539E" w:rsidRDefault="0056539E" w:rsidP="0056539E">
      <w:r>
        <w:t xml:space="preserve">Twenty-one of the 29 sites surveyed for waterbirds in November 2015 were inundated, largely as a result of localised rainfall in late October/ early November 2015. </w:t>
      </w:r>
      <w:r w:rsidR="00A97349">
        <w:t xml:space="preserve"> </w:t>
      </w:r>
      <w:r>
        <w:t xml:space="preserve">The number of sites inundated during the March 2016 survey reduced to 15 sites. </w:t>
      </w:r>
      <w:r w:rsidR="00A97349">
        <w:t xml:space="preserve"> </w:t>
      </w:r>
      <w:r>
        <w:t>The majority of these sites were sustained by environmental flows released between survey times (</w:t>
      </w:r>
      <w:r>
        <w:fldChar w:fldCharType="begin"/>
      </w:r>
      <w:r>
        <w:instrText xml:space="preserve"> REF _Ref452985498 \h  \* MERGEFORMAT </w:instrText>
      </w:r>
      <w:r>
        <w:fldChar w:fldCharType="separate"/>
      </w:r>
      <w:r w:rsidR="005D5925">
        <w:t>Table K</w:t>
      </w:r>
      <w:r w:rsidR="005D5925">
        <w:noBreakHyphen/>
        <w:t>1</w:t>
      </w:r>
      <w:r>
        <w:fldChar w:fldCharType="end"/>
      </w:r>
      <w:r>
        <w:t>).</w:t>
      </w:r>
    </w:p>
    <w:p w:rsidR="0056539E" w:rsidRDefault="0056539E" w:rsidP="0056539E">
      <w:pPr>
        <w:pStyle w:val="Caption"/>
        <w:keepNext/>
      </w:pPr>
      <w:bookmarkStart w:id="169" w:name="_Ref452985498"/>
      <w:r>
        <w:t xml:space="preserve">Table </w:t>
      </w:r>
      <w:fldSimple w:instr=" STYLEREF 6 \s ">
        <w:r w:rsidR="005D5925">
          <w:rPr>
            <w:noProof/>
          </w:rPr>
          <w:t>K</w:t>
        </w:r>
      </w:fldSimple>
      <w:r w:rsidR="005D4453">
        <w:noBreakHyphen/>
      </w:r>
      <w:fldSimple w:instr=" SEQ Table \* ARABIC \s 6 ">
        <w:r w:rsidR="005D5925">
          <w:rPr>
            <w:noProof/>
          </w:rPr>
          <w:t>1</w:t>
        </w:r>
      </w:fldSimple>
      <w:bookmarkEnd w:id="169"/>
      <w:r>
        <w:rPr>
          <w:noProof/>
        </w:rPr>
        <w:t>:</w:t>
      </w:r>
      <w:r>
        <w:t xml:space="preserve"> </w:t>
      </w:r>
      <w:r w:rsidRPr="00BD3EAE">
        <w:t xml:space="preserve">Percentage area inundated for sites surveyed in November 2015 and March 2016. </w:t>
      </w:r>
      <w:r w:rsidRPr="005F4F99">
        <w:rPr>
          <w:szCs w:val="18"/>
        </w:rPr>
        <w:t xml:space="preserve">Sites considered as inundated (&gt;5% inundation) are highlighted blue (‘wet’) and those that were not are highlighted yellow (‘dry’). </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662"/>
        <w:gridCol w:w="1497"/>
        <w:gridCol w:w="2365"/>
        <w:gridCol w:w="1040"/>
        <w:gridCol w:w="1040"/>
        <w:gridCol w:w="1596"/>
      </w:tblGrid>
      <w:tr w:rsidR="0056539E" w:rsidRPr="00E23B8D" w:rsidTr="003B535A">
        <w:trPr>
          <w:trHeight w:val="680"/>
          <w:tblHeader/>
        </w:trPr>
        <w:tc>
          <w:tcPr>
            <w:tcW w:w="698" w:type="pct"/>
            <w:vMerge w:val="restart"/>
            <w:shd w:val="clear" w:color="000000" w:fill="D9D9D9"/>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Monitoring Zone</w:t>
            </w:r>
          </w:p>
        </w:tc>
        <w:tc>
          <w:tcPr>
            <w:tcW w:w="855" w:type="pct"/>
            <w:vMerge w:val="restart"/>
            <w:shd w:val="clear" w:color="000000" w:fill="D9D9D9"/>
            <w:noWrap/>
            <w:vAlign w:val="center"/>
            <w:hideMark/>
          </w:tcPr>
          <w:p w:rsidR="0056539E" w:rsidRPr="00E23B8D" w:rsidRDefault="00605C43" w:rsidP="00E23B8D">
            <w:pPr>
              <w:spacing w:before="60" w:after="60"/>
              <w:jc w:val="center"/>
              <w:rPr>
                <w:rFonts w:cs="Arial"/>
                <w:color w:val="000000"/>
                <w:szCs w:val="20"/>
                <w:lang w:val="en-US"/>
              </w:rPr>
            </w:pPr>
            <w:r w:rsidRPr="00E23B8D">
              <w:rPr>
                <w:rFonts w:cs="Arial"/>
                <w:color w:val="000000"/>
                <w:szCs w:val="20"/>
                <w:lang w:val="en-US"/>
              </w:rPr>
              <w:t>System</w:t>
            </w:r>
          </w:p>
        </w:tc>
        <w:tc>
          <w:tcPr>
            <w:tcW w:w="1326" w:type="pct"/>
            <w:vMerge w:val="restart"/>
            <w:shd w:val="clear" w:color="000000" w:fill="D9D9D9"/>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Site Name</w:t>
            </w:r>
          </w:p>
        </w:tc>
        <w:tc>
          <w:tcPr>
            <w:tcW w:w="1212" w:type="pct"/>
            <w:gridSpan w:val="2"/>
            <w:shd w:val="clear" w:color="000000" w:fill="D9D9D9"/>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Inundation Area (%)</w:t>
            </w:r>
          </w:p>
        </w:tc>
        <w:tc>
          <w:tcPr>
            <w:tcW w:w="908" w:type="pct"/>
            <w:vMerge w:val="restart"/>
            <w:shd w:val="clear" w:color="000000" w:fill="D9D9D9"/>
            <w:vAlign w:val="center"/>
            <w:hideMark/>
          </w:tcPr>
          <w:p w:rsidR="0056539E" w:rsidRPr="00E23B8D" w:rsidRDefault="0056539E" w:rsidP="00862795">
            <w:pPr>
              <w:spacing w:before="60" w:after="60"/>
              <w:ind w:left="-108"/>
              <w:jc w:val="center"/>
              <w:rPr>
                <w:rFonts w:cs="Arial"/>
                <w:color w:val="000000"/>
                <w:szCs w:val="20"/>
                <w:lang w:val="en-US"/>
              </w:rPr>
            </w:pPr>
            <w:r w:rsidRPr="00E23B8D">
              <w:rPr>
                <w:rFonts w:cs="Arial"/>
                <w:color w:val="000000"/>
                <w:szCs w:val="20"/>
                <w:lang w:val="en-US"/>
              </w:rPr>
              <w:t>Difference Between Seasons (%)</w:t>
            </w:r>
          </w:p>
        </w:tc>
      </w:tr>
      <w:tr w:rsidR="0056539E" w:rsidRPr="00E23B8D" w:rsidTr="003B535A">
        <w:trPr>
          <w:trHeight w:val="185"/>
          <w:tblHeader/>
        </w:trPr>
        <w:tc>
          <w:tcPr>
            <w:tcW w:w="698" w:type="pct"/>
            <w:vMerge/>
            <w:vAlign w:val="center"/>
            <w:hideMark/>
          </w:tcPr>
          <w:p w:rsidR="0056539E" w:rsidRPr="00E23B8D" w:rsidRDefault="0056539E" w:rsidP="00E23B8D">
            <w:pPr>
              <w:spacing w:before="60" w:after="60"/>
              <w:jc w:val="left"/>
              <w:rPr>
                <w:rFonts w:cs="Arial"/>
                <w:color w:val="000000"/>
                <w:szCs w:val="20"/>
                <w:lang w:val="en-US"/>
              </w:rPr>
            </w:pPr>
          </w:p>
        </w:tc>
        <w:tc>
          <w:tcPr>
            <w:tcW w:w="855" w:type="pct"/>
            <w:vMerge/>
            <w:vAlign w:val="center"/>
            <w:hideMark/>
          </w:tcPr>
          <w:p w:rsidR="0056539E" w:rsidRPr="00E23B8D" w:rsidRDefault="0056539E" w:rsidP="00E23B8D">
            <w:pPr>
              <w:spacing w:before="60" w:after="60"/>
              <w:jc w:val="left"/>
              <w:rPr>
                <w:rFonts w:cs="Arial"/>
                <w:color w:val="000000"/>
                <w:szCs w:val="20"/>
                <w:lang w:val="en-US"/>
              </w:rPr>
            </w:pPr>
          </w:p>
        </w:tc>
        <w:tc>
          <w:tcPr>
            <w:tcW w:w="1326" w:type="pct"/>
            <w:vMerge/>
            <w:vAlign w:val="center"/>
            <w:hideMark/>
          </w:tcPr>
          <w:p w:rsidR="0056539E" w:rsidRPr="00E23B8D" w:rsidRDefault="0056539E" w:rsidP="00E23B8D">
            <w:pPr>
              <w:spacing w:before="60" w:after="60"/>
              <w:jc w:val="left"/>
              <w:rPr>
                <w:rFonts w:cs="Arial"/>
                <w:color w:val="000000"/>
                <w:szCs w:val="20"/>
                <w:lang w:val="en-US"/>
              </w:rPr>
            </w:pPr>
          </w:p>
        </w:tc>
        <w:tc>
          <w:tcPr>
            <w:tcW w:w="606" w:type="pct"/>
            <w:shd w:val="clear" w:color="000000" w:fill="D9D9D9"/>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Nov-15</w:t>
            </w:r>
          </w:p>
        </w:tc>
        <w:tc>
          <w:tcPr>
            <w:tcW w:w="606" w:type="pct"/>
            <w:shd w:val="clear" w:color="000000" w:fill="D9D9D9"/>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Mar-16</w:t>
            </w:r>
          </w:p>
        </w:tc>
        <w:tc>
          <w:tcPr>
            <w:tcW w:w="908" w:type="pct"/>
            <w:vMerge/>
            <w:vAlign w:val="center"/>
            <w:hideMark/>
          </w:tcPr>
          <w:p w:rsidR="0056539E" w:rsidRPr="00E23B8D" w:rsidRDefault="0056539E" w:rsidP="00E23B8D">
            <w:pPr>
              <w:spacing w:before="60" w:after="60"/>
              <w:jc w:val="left"/>
              <w:rPr>
                <w:rFonts w:cs="Arial"/>
                <w:color w:val="000000"/>
                <w:szCs w:val="20"/>
                <w:lang w:val="en-US"/>
              </w:rPr>
            </w:pPr>
          </w:p>
        </w:tc>
      </w:tr>
      <w:tr w:rsidR="0056539E" w:rsidRPr="00E23B8D" w:rsidTr="003B535A">
        <w:trPr>
          <w:trHeight w:val="240"/>
        </w:trPr>
        <w:tc>
          <w:tcPr>
            <w:tcW w:w="698" w:type="pct"/>
            <w:vMerge w:val="restart"/>
            <w:shd w:val="clear" w:color="auto" w:fill="auto"/>
            <w:vAlign w:val="center"/>
            <w:hideMark/>
          </w:tcPr>
          <w:p w:rsidR="0056539E" w:rsidRPr="00E23B8D" w:rsidRDefault="001C3C04" w:rsidP="00E23B8D">
            <w:pPr>
              <w:spacing w:before="60" w:after="60"/>
              <w:jc w:val="center"/>
              <w:rPr>
                <w:rFonts w:cs="Arial"/>
                <w:color w:val="000000"/>
                <w:szCs w:val="20"/>
                <w:lang w:val="en-US"/>
              </w:rPr>
            </w:pPr>
            <w:r w:rsidRPr="00E23B8D">
              <w:rPr>
                <w:rFonts w:cs="Arial"/>
                <w:color w:val="000000"/>
                <w:szCs w:val="20"/>
                <w:lang w:val="en-US"/>
              </w:rPr>
              <w:t>lower</w:t>
            </w:r>
            <w:r w:rsidR="0056539E" w:rsidRPr="00E23B8D">
              <w:rPr>
                <w:rFonts w:cs="Arial"/>
                <w:color w:val="000000"/>
                <w:szCs w:val="20"/>
                <w:lang w:val="en-US"/>
              </w:rPr>
              <w:t xml:space="preserve"> Gwydir River and Gingham </w:t>
            </w:r>
            <w:r w:rsidRPr="00E23B8D">
              <w:rPr>
                <w:rFonts w:cs="Arial"/>
                <w:color w:val="000000"/>
                <w:szCs w:val="20"/>
                <w:lang w:val="en-US"/>
              </w:rPr>
              <w:t>watercourse</w:t>
            </w:r>
          </w:p>
        </w:tc>
        <w:tc>
          <w:tcPr>
            <w:tcW w:w="855" w:type="pct"/>
            <w:vMerge w:val="restart"/>
            <w:shd w:val="clear" w:color="auto" w:fill="auto"/>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 xml:space="preserve">Gingham </w:t>
            </w:r>
            <w:r w:rsidR="001C3C04" w:rsidRPr="00E23B8D">
              <w:rPr>
                <w:rFonts w:cs="Arial"/>
                <w:color w:val="000000"/>
                <w:szCs w:val="20"/>
                <w:lang w:val="en-US"/>
              </w:rPr>
              <w:t>watercourse</w:t>
            </w:r>
            <w:r w:rsidRPr="00E23B8D">
              <w:rPr>
                <w:rFonts w:cs="Arial"/>
                <w:color w:val="000000"/>
                <w:szCs w:val="20"/>
                <w:lang w:val="en-US"/>
              </w:rPr>
              <w:t xml:space="preserve"> and wetlands</w:t>
            </w:r>
          </w:p>
        </w:tc>
        <w:tc>
          <w:tcPr>
            <w:tcW w:w="132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Baroona Waterhole</w:t>
            </w:r>
          </w:p>
        </w:tc>
        <w:tc>
          <w:tcPr>
            <w:tcW w:w="606" w:type="pct"/>
            <w:shd w:val="clear" w:color="auto" w:fill="FFFF99"/>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0</w:t>
            </w:r>
          </w:p>
        </w:tc>
        <w:tc>
          <w:tcPr>
            <w:tcW w:w="606" w:type="pct"/>
            <w:shd w:val="clear" w:color="auto" w:fill="FFFF99"/>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0</w:t>
            </w:r>
          </w:p>
        </w:tc>
        <w:tc>
          <w:tcPr>
            <w:tcW w:w="908"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0</w:t>
            </w:r>
          </w:p>
        </w:tc>
      </w:tr>
      <w:tr w:rsidR="0056539E" w:rsidRPr="00E23B8D" w:rsidTr="00CC18AA">
        <w:trPr>
          <w:trHeight w:val="240"/>
        </w:trPr>
        <w:tc>
          <w:tcPr>
            <w:tcW w:w="698" w:type="pct"/>
            <w:vMerge/>
            <w:vAlign w:val="center"/>
            <w:hideMark/>
          </w:tcPr>
          <w:p w:rsidR="0056539E" w:rsidRPr="00E23B8D" w:rsidRDefault="0056539E" w:rsidP="00E23B8D">
            <w:pPr>
              <w:spacing w:before="60" w:after="60"/>
              <w:jc w:val="center"/>
              <w:rPr>
                <w:rFonts w:cs="Arial"/>
                <w:color w:val="000000"/>
                <w:szCs w:val="20"/>
                <w:lang w:val="en-US"/>
              </w:rPr>
            </w:pPr>
          </w:p>
        </w:tc>
        <w:tc>
          <w:tcPr>
            <w:tcW w:w="855" w:type="pct"/>
            <w:vMerge/>
            <w:vAlign w:val="center"/>
            <w:hideMark/>
          </w:tcPr>
          <w:p w:rsidR="0056539E" w:rsidRPr="00E23B8D" w:rsidRDefault="0056539E" w:rsidP="00E23B8D">
            <w:pPr>
              <w:spacing w:before="60" w:after="60"/>
              <w:jc w:val="center"/>
              <w:rPr>
                <w:rFonts w:cs="Arial"/>
                <w:color w:val="000000"/>
                <w:szCs w:val="20"/>
                <w:lang w:val="en-US"/>
              </w:rPr>
            </w:pPr>
          </w:p>
        </w:tc>
        <w:tc>
          <w:tcPr>
            <w:tcW w:w="132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Boyanga Waterhole</w:t>
            </w:r>
          </w:p>
        </w:tc>
        <w:tc>
          <w:tcPr>
            <w:tcW w:w="606" w:type="pct"/>
            <w:shd w:val="clear" w:color="auto" w:fill="C6D9F1"/>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30</w:t>
            </w:r>
          </w:p>
        </w:tc>
        <w:tc>
          <w:tcPr>
            <w:tcW w:w="606" w:type="pct"/>
            <w:shd w:val="clear" w:color="auto" w:fill="C6D9F1"/>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5</w:t>
            </w:r>
          </w:p>
        </w:tc>
        <w:tc>
          <w:tcPr>
            <w:tcW w:w="908"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-25</w:t>
            </w:r>
          </w:p>
        </w:tc>
      </w:tr>
      <w:tr w:rsidR="0056539E" w:rsidRPr="00E23B8D" w:rsidTr="00CC18AA">
        <w:trPr>
          <w:trHeight w:val="240"/>
        </w:trPr>
        <w:tc>
          <w:tcPr>
            <w:tcW w:w="698" w:type="pct"/>
            <w:vMerge/>
            <w:vAlign w:val="center"/>
            <w:hideMark/>
          </w:tcPr>
          <w:p w:rsidR="0056539E" w:rsidRPr="00E23B8D" w:rsidRDefault="0056539E" w:rsidP="00E23B8D">
            <w:pPr>
              <w:spacing w:before="60" w:after="60"/>
              <w:jc w:val="center"/>
              <w:rPr>
                <w:rFonts w:cs="Arial"/>
                <w:color w:val="000000"/>
                <w:szCs w:val="20"/>
                <w:lang w:val="en-US"/>
              </w:rPr>
            </w:pPr>
          </w:p>
        </w:tc>
        <w:tc>
          <w:tcPr>
            <w:tcW w:w="855" w:type="pct"/>
            <w:vMerge/>
            <w:vAlign w:val="center"/>
            <w:hideMark/>
          </w:tcPr>
          <w:p w:rsidR="0056539E" w:rsidRPr="00E23B8D" w:rsidRDefault="0056539E" w:rsidP="00E23B8D">
            <w:pPr>
              <w:spacing w:before="60" w:after="60"/>
              <w:jc w:val="center"/>
              <w:rPr>
                <w:rFonts w:cs="Arial"/>
                <w:color w:val="000000"/>
                <w:szCs w:val="20"/>
                <w:lang w:val="en-US"/>
              </w:rPr>
            </w:pPr>
          </w:p>
        </w:tc>
        <w:tc>
          <w:tcPr>
            <w:tcW w:w="132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Bunnor Bird Hide</w:t>
            </w:r>
          </w:p>
        </w:tc>
        <w:tc>
          <w:tcPr>
            <w:tcW w:w="606" w:type="pct"/>
            <w:shd w:val="clear" w:color="auto" w:fill="C6D9F1"/>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93</w:t>
            </w:r>
          </w:p>
        </w:tc>
        <w:tc>
          <w:tcPr>
            <w:tcW w:w="606" w:type="pct"/>
            <w:shd w:val="clear" w:color="auto" w:fill="C6D9F1"/>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70*</w:t>
            </w:r>
          </w:p>
        </w:tc>
        <w:tc>
          <w:tcPr>
            <w:tcW w:w="908"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-23</w:t>
            </w:r>
          </w:p>
        </w:tc>
      </w:tr>
      <w:tr w:rsidR="0056539E" w:rsidRPr="00E23B8D" w:rsidTr="00CC18AA">
        <w:trPr>
          <w:trHeight w:val="240"/>
        </w:trPr>
        <w:tc>
          <w:tcPr>
            <w:tcW w:w="698" w:type="pct"/>
            <w:vMerge/>
            <w:vAlign w:val="center"/>
            <w:hideMark/>
          </w:tcPr>
          <w:p w:rsidR="0056539E" w:rsidRPr="00E23B8D" w:rsidRDefault="0056539E" w:rsidP="00E23B8D">
            <w:pPr>
              <w:spacing w:before="60" w:after="60"/>
              <w:jc w:val="center"/>
              <w:rPr>
                <w:rFonts w:cs="Arial"/>
                <w:color w:val="000000"/>
                <w:szCs w:val="20"/>
                <w:lang w:val="en-US"/>
              </w:rPr>
            </w:pPr>
          </w:p>
        </w:tc>
        <w:tc>
          <w:tcPr>
            <w:tcW w:w="855" w:type="pct"/>
            <w:vMerge/>
            <w:vAlign w:val="center"/>
            <w:hideMark/>
          </w:tcPr>
          <w:p w:rsidR="0056539E" w:rsidRPr="00E23B8D" w:rsidRDefault="0056539E" w:rsidP="00E23B8D">
            <w:pPr>
              <w:spacing w:before="60" w:after="60"/>
              <w:jc w:val="center"/>
              <w:rPr>
                <w:rFonts w:cs="Arial"/>
                <w:color w:val="000000"/>
                <w:szCs w:val="20"/>
                <w:lang w:val="en-US"/>
              </w:rPr>
            </w:pPr>
          </w:p>
        </w:tc>
        <w:tc>
          <w:tcPr>
            <w:tcW w:w="132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Three Corners Wetland</w:t>
            </w:r>
          </w:p>
        </w:tc>
        <w:tc>
          <w:tcPr>
            <w:tcW w:w="606" w:type="pct"/>
            <w:shd w:val="clear" w:color="auto" w:fill="C6D9F1"/>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5</w:t>
            </w:r>
          </w:p>
        </w:tc>
        <w:tc>
          <w:tcPr>
            <w:tcW w:w="606" w:type="pct"/>
            <w:shd w:val="clear" w:color="auto" w:fill="FFFF99"/>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0</w:t>
            </w:r>
          </w:p>
        </w:tc>
        <w:tc>
          <w:tcPr>
            <w:tcW w:w="908"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-5</w:t>
            </w:r>
          </w:p>
        </w:tc>
      </w:tr>
      <w:tr w:rsidR="0056539E" w:rsidRPr="00E23B8D" w:rsidTr="003B535A">
        <w:trPr>
          <w:trHeight w:val="240"/>
        </w:trPr>
        <w:tc>
          <w:tcPr>
            <w:tcW w:w="698" w:type="pct"/>
            <w:vMerge/>
            <w:vAlign w:val="center"/>
            <w:hideMark/>
          </w:tcPr>
          <w:p w:rsidR="0056539E" w:rsidRPr="00E23B8D" w:rsidRDefault="0056539E" w:rsidP="00E23B8D">
            <w:pPr>
              <w:spacing w:before="60" w:after="60"/>
              <w:jc w:val="center"/>
              <w:rPr>
                <w:rFonts w:cs="Arial"/>
                <w:color w:val="000000"/>
                <w:szCs w:val="20"/>
                <w:lang w:val="en-US"/>
              </w:rPr>
            </w:pPr>
          </w:p>
        </w:tc>
        <w:tc>
          <w:tcPr>
            <w:tcW w:w="855" w:type="pct"/>
            <w:vMerge/>
            <w:vAlign w:val="center"/>
            <w:hideMark/>
          </w:tcPr>
          <w:p w:rsidR="0056539E" w:rsidRPr="00E23B8D" w:rsidRDefault="0056539E" w:rsidP="00E23B8D">
            <w:pPr>
              <w:spacing w:before="60" w:after="60"/>
              <w:jc w:val="center"/>
              <w:rPr>
                <w:rFonts w:cs="Arial"/>
                <w:color w:val="000000"/>
                <w:szCs w:val="20"/>
                <w:lang w:val="en-US"/>
              </w:rPr>
            </w:pPr>
          </w:p>
        </w:tc>
        <w:tc>
          <w:tcPr>
            <w:tcW w:w="132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Gingham Bridge</w:t>
            </w:r>
          </w:p>
        </w:tc>
        <w:tc>
          <w:tcPr>
            <w:tcW w:w="606" w:type="pct"/>
            <w:shd w:val="clear" w:color="auto" w:fill="FFFF99"/>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0</w:t>
            </w:r>
          </w:p>
        </w:tc>
        <w:tc>
          <w:tcPr>
            <w:tcW w:w="606" w:type="pct"/>
            <w:shd w:val="clear" w:color="auto" w:fill="FFFF99"/>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0</w:t>
            </w:r>
          </w:p>
        </w:tc>
        <w:tc>
          <w:tcPr>
            <w:tcW w:w="908"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0</w:t>
            </w:r>
          </w:p>
        </w:tc>
      </w:tr>
      <w:tr w:rsidR="0056539E" w:rsidRPr="00E23B8D" w:rsidTr="00CC18AA">
        <w:trPr>
          <w:trHeight w:val="240"/>
        </w:trPr>
        <w:tc>
          <w:tcPr>
            <w:tcW w:w="698" w:type="pct"/>
            <w:vMerge/>
            <w:vAlign w:val="center"/>
            <w:hideMark/>
          </w:tcPr>
          <w:p w:rsidR="0056539E" w:rsidRPr="00E23B8D" w:rsidRDefault="0056539E" w:rsidP="00E23B8D">
            <w:pPr>
              <w:spacing w:before="60" w:after="60"/>
              <w:jc w:val="center"/>
              <w:rPr>
                <w:rFonts w:cs="Arial"/>
                <w:color w:val="000000"/>
                <w:szCs w:val="20"/>
                <w:lang w:val="en-US"/>
              </w:rPr>
            </w:pPr>
          </w:p>
        </w:tc>
        <w:tc>
          <w:tcPr>
            <w:tcW w:w="855" w:type="pct"/>
            <w:vMerge/>
            <w:vAlign w:val="center"/>
            <w:hideMark/>
          </w:tcPr>
          <w:p w:rsidR="0056539E" w:rsidRPr="00E23B8D" w:rsidRDefault="0056539E" w:rsidP="00E23B8D">
            <w:pPr>
              <w:spacing w:before="60" w:after="60"/>
              <w:jc w:val="center"/>
              <w:rPr>
                <w:rFonts w:cs="Arial"/>
                <w:color w:val="000000"/>
                <w:szCs w:val="20"/>
                <w:lang w:val="en-US"/>
              </w:rPr>
            </w:pPr>
          </w:p>
        </w:tc>
        <w:tc>
          <w:tcPr>
            <w:tcW w:w="132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Gingham Waterhole</w:t>
            </w:r>
          </w:p>
        </w:tc>
        <w:tc>
          <w:tcPr>
            <w:tcW w:w="606" w:type="pct"/>
            <w:shd w:val="clear" w:color="auto" w:fill="C6D9F1"/>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30</w:t>
            </w:r>
          </w:p>
        </w:tc>
        <w:tc>
          <w:tcPr>
            <w:tcW w:w="606" w:type="pct"/>
            <w:shd w:val="clear" w:color="auto" w:fill="C6D9F1"/>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80*</w:t>
            </w:r>
          </w:p>
        </w:tc>
        <w:tc>
          <w:tcPr>
            <w:tcW w:w="908"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50</w:t>
            </w:r>
          </w:p>
        </w:tc>
      </w:tr>
      <w:tr w:rsidR="0056539E" w:rsidRPr="00E23B8D" w:rsidTr="00CC18AA">
        <w:trPr>
          <w:trHeight w:val="240"/>
        </w:trPr>
        <w:tc>
          <w:tcPr>
            <w:tcW w:w="698" w:type="pct"/>
            <w:vMerge/>
            <w:vAlign w:val="center"/>
            <w:hideMark/>
          </w:tcPr>
          <w:p w:rsidR="0056539E" w:rsidRPr="00E23B8D" w:rsidRDefault="0056539E" w:rsidP="00E23B8D">
            <w:pPr>
              <w:spacing w:before="60" w:after="60"/>
              <w:jc w:val="center"/>
              <w:rPr>
                <w:rFonts w:cs="Arial"/>
                <w:color w:val="000000"/>
                <w:szCs w:val="20"/>
                <w:lang w:val="en-US"/>
              </w:rPr>
            </w:pPr>
          </w:p>
        </w:tc>
        <w:tc>
          <w:tcPr>
            <w:tcW w:w="855" w:type="pct"/>
            <w:vMerge/>
            <w:vAlign w:val="center"/>
            <w:hideMark/>
          </w:tcPr>
          <w:p w:rsidR="0056539E" w:rsidRPr="00E23B8D" w:rsidRDefault="0056539E" w:rsidP="00E23B8D">
            <w:pPr>
              <w:spacing w:before="60" w:after="60"/>
              <w:jc w:val="center"/>
              <w:rPr>
                <w:rFonts w:cs="Arial"/>
                <w:color w:val="000000"/>
                <w:szCs w:val="20"/>
                <w:lang w:val="en-US"/>
              </w:rPr>
            </w:pPr>
          </w:p>
        </w:tc>
        <w:tc>
          <w:tcPr>
            <w:tcW w:w="132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Goddard's Lease</w:t>
            </w:r>
          </w:p>
        </w:tc>
        <w:tc>
          <w:tcPr>
            <w:tcW w:w="606" w:type="pct"/>
            <w:shd w:val="clear" w:color="auto" w:fill="C6D9F1"/>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5</w:t>
            </w:r>
          </w:p>
        </w:tc>
        <w:tc>
          <w:tcPr>
            <w:tcW w:w="606" w:type="pct"/>
            <w:shd w:val="clear" w:color="auto" w:fill="C6D9F1"/>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40*</w:t>
            </w:r>
          </w:p>
        </w:tc>
        <w:tc>
          <w:tcPr>
            <w:tcW w:w="908"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35</w:t>
            </w:r>
          </w:p>
        </w:tc>
      </w:tr>
      <w:tr w:rsidR="0056539E" w:rsidRPr="00E23B8D" w:rsidTr="00CC18AA">
        <w:trPr>
          <w:trHeight w:val="240"/>
        </w:trPr>
        <w:tc>
          <w:tcPr>
            <w:tcW w:w="698" w:type="pct"/>
            <w:vMerge/>
            <w:vAlign w:val="center"/>
            <w:hideMark/>
          </w:tcPr>
          <w:p w:rsidR="0056539E" w:rsidRPr="00E23B8D" w:rsidRDefault="0056539E" w:rsidP="00E23B8D">
            <w:pPr>
              <w:spacing w:before="60" w:after="60"/>
              <w:jc w:val="center"/>
              <w:rPr>
                <w:rFonts w:cs="Arial"/>
                <w:color w:val="000000"/>
                <w:szCs w:val="20"/>
                <w:lang w:val="en-US"/>
              </w:rPr>
            </w:pPr>
          </w:p>
        </w:tc>
        <w:tc>
          <w:tcPr>
            <w:tcW w:w="855" w:type="pct"/>
            <w:vMerge/>
            <w:vAlign w:val="center"/>
            <w:hideMark/>
          </w:tcPr>
          <w:p w:rsidR="0056539E" w:rsidRPr="00E23B8D" w:rsidRDefault="0056539E" w:rsidP="00E23B8D">
            <w:pPr>
              <w:spacing w:before="60" w:after="60"/>
              <w:jc w:val="center"/>
              <w:rPr>
                <w:rFonts w:cs="Arial"/>
                <w:color w:val="000000"/>
                <w:szCs w:val="20"/>
                <w:lang w:val="en-US"/>
              </w:rPr>
            </w:pPr>
          </w:p>
        </w:tc>
        <w:tc>
          <w:tcPr>
            <w:tcW w:w="132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Jackson Paddock</w:t>
            </w:r>
          </w:p>
        </w:tc>
        <w:tc>
          <w:tcPr>
            <w:tcW w:w="606" w:type="pct"/>
            <w:shd w:val="clear" w:color="auto" w:fill="C6D9F1"/>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5</w:t>
            </w:r>
          </w:p>
        </w:tc>
        <w:tc>
          <w:tcPr>
            <w:tcW w:w="606" w:type="pct"/>
            <w:shd w:val="clear" w:color="auto" w:fill="C6D9F1"/>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5*</w:t>
            </w:r>
          </w:p>
        </w:tc>
        <w:tc>
          <w:tcPr>
            <w:tcW w:w="908"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0</w:t>
            </w:r>
          </w:p>
        </w:tc>
      </w:tr>
      <w:tr w:rsidR="0056539E" w:rsidRPr="00E23B8D" w:rsidTr="003B535A">
        <w:trPr>
          <w:trHeight w:val="240"/>
        </w:trPr>
        <w:tc>
          <w:tcPr>
            <w:tcW w:w="698" w:type="pct"/>
            <w:vMerge/>
            <w:vAlign w:val="center"/>
            <w:hideMark/>
          </w:tcPr>
          <w:p w:rsidR="0056539E" w:rsidRPr="00E23B8D" w:rsidRDefault="0056539E" w:rsidP="00E23B8D">
            <w:pPr>
              <w:spacing w:before="60" w:after="60"/>
              <w:jc w:val="center"/>
              <w:rPr>
                <w:rFonts w:cs="Arial"/>
                <w:color w:val="000000"/>
                <w:szCs w:val="20"/>
                <w:lang w:val="en-US"/>
              </w:rPr>
            </w:pPr>
          </w:p>
        </w:tc>
        <w:tc>
          <w:tcPr>
            <w:tcW w:w="855" w:type="pct"/>
            <w:vMerge/>
            <w:vAlign w:val="center"/>
            <w:hideMark/>
          </w:tcPr>
          <w:p w:rsidR="0056539E" w:rsidRPr="00E23B8D" w:rsidRDefault="0056539E" w:rsidP="00E23B8D">
            <w:pPr>
              <w:spacing w:before="60" w:after="60"/>
              <w:jc w:val="center"/>
              <w:rPr>
                <w:rFonts w:cs="Arial"/>
                <w:color w:val="000000"/>
                <w:szCs w:val="20"/>
                <w:lang w:val="en-US"/>
              </w:rPr>
            </w:pPr>
          </w:p>
        </w:tc>
        <w:tc>
          <w:tcPr>
            <w:tcW w:w="132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Racecourse Lagoon</w:t>
            </w:r>
          </w:p>
        </w:tc>
        <w:tc>
          <w:tcPr>
            <w:tcW w:w="606" w:type="pct"/>
            <w:shd w:val="clear" w:color="auto" w:fill="FFFF99"/>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3</w:t>
            </w:r>
          </w:p>
        </w:tc>
        <w:tc>
          <w:tcPr>
            <w:tcW w:w="606" w:type="pct"/>
            <w:shd w:val="clear" w:color="auto" w:fill="FFFF99"/>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0</w:t>
            </w:r>
          </w:p>
        </w:tc>
        <w:tc>
          <w:tcPr>
            <w:tcW w:w="908"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-3</w:t>
            </w:r>
          </w:p>
        </w:tc>
      </w:tr>
      <w:tr w:rsidR="0056539E" w:rsidRPr="00E23B8D" w:rsidTr="00CC18AA">
        <w:trPr>
          <w:trHeight w:val="240"/>
        </w:trPr>
        <w:tc>
          <w:tcPr>
            <w:tcW w:w="698" w:type="pct"/>
            <w:vMerge/>
            <w:vAlign w:val="center"/>
            <w:hideMark/>
          </w:tcPr>
          <w:p w:rsidR="0056539E" w:rsidRPr="00E23B8D" w:rsidRDefault="0056539E" w:rsidP="00E23B8D">
            <w:pPr>
              <w:spacing w:before="60" w:after="60"/>
              <w:jc w:val="center"/>
              <w:rPr>
                <w:rFonts w:cs="Arial"/>
                <w:color w:val="000000"/>
                <w:szCs w:val="20"/>
                <w:lang w:val="en-US"/>
              </w:rPr>
            </w:pPr>
          </w:p>
        </w:tc>
        <w:tc>
          <w:tcPr>
            <w:tcW w:w="855" w:type="pct"/>
            <w:vMerge/>
            <w:vAlign w:val="center"/>
            <w:hideMark/>
          </w:tcPr>
          <w:p w:rsidR="0056539E" w:rsidRPr="00E23B8D" w:rsidRDefault="0056539E" w:rsidP="00E23B8D">
            <w:pPr>
              <w:spacing w:before="60" w:after="60"/>
              <w:jc w:val="center"/>
              <w:rPr>
                <w:rFonts w:cs="Arial"/>
                <w:color w:val="000000"/>
                <w:szCs w:val="20"/>
                <w:lang w:val="en-US"/>
              </w:rPr>
            </w:pPr>
          </w:p>
        </w:tc>
        <w:tc>
          <w:tcPr>
            <w:tcW w:w="132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Lynworth</w:t>
            </w:r>
          </w:p>
        </w:tc>
        <w:tc>
          <w:tcPr>
            <w:tcW w:w="606" w:type="pct"/>
            <w:shd w:val="clear" w:color="auto" w:fill="C6D9F1"/>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5</w:t>
            </w:r>
          </w:p>
        </w:tc>
        <w:tc>
          <w:tcPr>
            <w:tcW w:w="606" w:type="pct"/>
            <w:shd w:val="clear" w:color="auto" w:fill="C6D9F1"/>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10*</w:t>
            </w:r>
          </w:p>
        </w:tc>
        <w:tc>
          <w:tcPr>
            <w:tcW w:w="908"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5</w:t>
            </w:r>
          </w:p>
        </w:tc>
      </w:tr>
      <w:tr w:rsidR="0056539E" w:rsidRPr="00E23B8D" w:rsidTr="003B535A">
        <w:trPr>
          <w:trHeight w:val="240"/>
        </w:trPr>
        <w:tc>
          <w:tcPr>
            <w:tcW w:w="698" w:type="pct"/>
            <w:vMerge/>
            <w:vAlign w:val="center"/>
            <w:hideMark/>
          </w:tcPr>
          <w:p w:rsidR="0056539E" w:rsidRPr="00E23B8D" w:rsidRDefault="0056539E" w:rsidP="00E23B8D">
            <w:pPr>
              <w:spacing w:before="60" w:after="60"/>
              <w:jc w:val="center"/>
              <w:rPr>
                <w:rFonts w:cs="Arial"/>
                <w:color w:val="000000"/>
                <w:szCs w:val="20"/>
                <w:lang w:val="en-US"/>
              </w:rPr>
            </w:pPr>
          </w:p>
        </w:tc>
        <w:tc>
          <w:tcPr>
            <w:tcW w:w="855" w:type="pct"/>
            <w:vMerge/>
            <w:vAlign w:val="center"/>
            <w:hideMark/>
          </w:tcPr>
          <w:p w:rsidR="0056539E" w:rsidRPr="00E23B8D" w:rsidRDefault="0056539E" w:rsidP="00E23B8D">
            <w:pPr>
              <w:spacing w:before="60" w:after="60"/>
              <w:jc w:val="center"/>
              <w:rPr>
                <w:rFonts w:cs="Arial"/>
                <w:color w:val="000000"/>
                <w:szCs w:val="20"/>
                <w:lang w:val="en-US"/>
              </w:rPr>
            </w:pPr>
          </w:p>
        </w:tc>
        <w:tc>
          <w:tcPr>
            <w:tcW w:w="132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Talmoi Waterhole</w:t>
            </w:r>
          </w:p>
        </w:tc>
        <w:tc>
          <w:tcPr>
            <w:tcW w:w="606" w:type="pct"/>
            <w:shd w:val="clear" w:color="auto" w:fill="FFFF99"/>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0</w:t>
            </w:r>
          </w:p>
        </w:tc>
        <w:tc>
          <w:tcPr>
            <w:tcW w:w="606" w:type="pct"/>
            <w:shd w:val="clear" w:color="auto" w:fill="FFFF99"/>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0</w:t>
            </w:r>
          </w:p>
        </w:tc>
        <w:tc>
          <w:tcPr>
            <w:tcW w:w="908"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0</w:t>
            </w:r>
          </w:p>
        </w:tc>
      </w:tr>
      <w:tr w:rsidR="0056539E" w:rsidRPr="00E23B8D" w:rsidTr="003B535A">
        <w:trPr>
          <w:trHeight w:val="240"/>
        </w:trPr>
        <w:tc>
          <w:tcPr>
            <w:tcW w:w="698" w:type="pct"/>
            <w:vMerge/>
            <w:vAlign w:val="center"/>
            <w:hideMark/>
          </w:tcPr>
          <w:p w:rsidR="0056539E" w:rsidRPr="00E23B8D" w:rsidRDefault="0056539E" w:rsidP="00E23B8D">
            <w:pPr>
              <w:spacing w:before="60" w:after="60"/>
              <w:jc w:val="center"/>
              <w:rPr>
                <w:rFonts w:cs="Arial"/>
                <w:color w:val="000000"/>
                <w:szCs w:val="20"/>
                <w:lang w:val="en-US"/>
              </w:rPr>
            </w:pPr>
          </w:p>
        </w:tc>
        <w:tc>
          <w:tcPr>
            <w:tcW w:w="855" w:type="pct"/>
            <w:vMerge/>
            <w:vAlign w:val="center"/>
            <w:hideMark/>
          </w:tcPr>
          <w:p w:rsidR="0056539E" w:rsidRPr="00E23B8D" w:rsidRDefault="0056539E" w:rsidP="00E23B8D">
            <w:pPr>
              <w:spacing w:before="60" w:after="60"/>
              <w:jc w:val="center"/>
              <w:rPr>
                <w:rFonts w:cs="Arial"/>
                <w:color w:val="000000"/>
                <w:szCs w:val="20"/>
                <w:lang w:val="en-US"/>
              </w:rPr>
            </w:pPr>
          </w:p>
        </w:tc>
        <w:tc>
          <w:tcPr>
            <w:tcW w:w="132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Tillaloo Waterhole</w:t>
            </w:r>
          </w:p>
        </w:tc>
        <w:tc>
          <w:tcPr>
            <w:tcW w:w="606" w:type="pct"/>
            <w:shd w:val="clear" w:color="auto" w:fill="FFFF99"/>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0</w:t>
            </w:r>
          </w:p>
        </w:tc>
        <w:tc>
          <w:tcPr>
            <w:tcW w:w="606" w:type="pct"/>
            <w:shd w:val="clear" w:color="auto" w:fill="FFFF99"/>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0</w:t>
            </w:r>
          </w:p>
        </w:tc>
        <w:tc>
          <w:tcPr>
            <w:tcW w:w="908"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0</w:t>
            </w:r>
          </w:p>
        </w:tc>
      </w:tr>
      <w:tr w:rsidR="0056539E" w:rsidRPr="00E23B8D" w:rsidTr="00CC18AA">
        <w:trPr>
          <w:trHeight w:val="240"/>
        </w:trPr>
        <w:tc>
          <w:tcPr>
            <w:tcW w:w="698" w:type="pct"/>
            <w:vMerge/>
            <w:vAlign w:val="center"/>
            <w:hideMark/>
          </w:tcPr>
          <w:p w:rsidR="0056539E" w:rsidRPr="00E23B8D" w:rsidRDefault="0056539E" w:rsidP="00E23B8D">
            <w:pPr>
              <w:spacing w:before="60" w:after="60"/>
              <w:jc w:val="center"/>
              <w:rPr>
                <w:rFonts w:cs="Arial"/>
                <w:color w:val="000000"/>
                <w:szCs w:val="20"/>
                <w:lang w:val="en-US"/>
              </w:rPr>
            </w:pPr>
          </w:p>
        </w:tc>
        <w:tc>
          <w:tcPr>
            <w:tcW w:w="855" w:type="pct"/>
            <w:vMerge/>
            <w:vAlign w:val="center"/>
            <w:hideMark/>
          </w:tcPr>
          <w:p w:rsidR="0056539E" w:rsidRPr="00E23B8D" w:rsidRDefault="0056539E" w:rsidP="00E23B8D">
            <w:pPr>
              <w:spacing w:before="60" w:after="60"/>
              <w:jc w:val="center"/>
              <w:rPr>
                <w:rFonts w:cs="Arial"/>
                <w:color w:val="000000"/>
                <w:szCs w:val="20"/>
                <w:lang w:val="en-US"/>
              </w:rPr>
            </w:pPr>
          </w:p>
        </w:tc>
        <w:tc>
          <w:tcPr>
            <w:tcW w:w="132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Westholme SE</w:t>
            </w:r>
          </w:p>
        </w:tc>
        <w:tc>
          <w:tcPr>
            <w:tcW w:w="606" w:type="pct"/>
            <w:shd w:val="clear" w:color="auto" w:fill="C6D9F1"/>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60</w:t>
            </w:r>
          </w:p>
        </w:tc>
        <w:tc>
          <w:tcPr>
            <w:tcW w:w="606" w:type="pct"/>
            <w:shd w:val="clear" w:color="auto" w:fill="C6D9F1"/>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60*</w:t>
            </w:r>
          </w:p>
        </w:tc>
        <w:tc>
          <w:tcPr>
            <w:tcW w:w="908"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0</w:t>
            </w:r>
          </w:p>
        </w:tc>
      </w:tr>
      <w:tr w:rsidR="0056539E" w:rsidRPr="00E23B8D" w:rsidTr="003B535A">
        <w:trPr>
          <w:trHeight w:val="240"/>
        </w:trPr>
        <w:tc>
          <w:tcPr>
            <w:tcW w:w="698" w:type="pct"/>
            <w:vMerge/>
            <w:vAlign w:val="center"/>
            <w:hideMark/>
          </w:tcPr>
          <w:p w:rsidR="0056539E" w:rsidRPr="00E23B8D" w:rsidRDefault="0056539E" w:rsidP="00E23B8D">
            <w:pPr>
              <w:spacing w:before="60" w:after="60"/>
              <w:jc w:val="center"/>
              <w:rPr>
                <w:rFonts w:cs="Arial"/>
                <w:color w:val="000000"/>
                <w:szCs w:val="20"/>
                <w:lang w:val="en-US"/>
              </w:rPr>
            </w:pPr>
          </w:p>
        </w:tc>
        <w:tc>
          <w:tcPr>
            <w:tcW w:w="855" w:type="pct"/>
            <w:vMerge/>
            <w:vAlign w:val="center"/>
            <w:hideMark/>
          </w:tcPr>
          <w:p w:rsidR="0056539E" w:rsidRPr="00E23B8D" w:rsidRDefault="0056539E" w:rsidP="00E23B8D">
            <w:pPr>
              <w:spacing w:before="60" w:after="60"/>
              <w:jc w:val="center"/>
              <w:rPr>
                <w:rFonts w:cs="Arial"/>
                <w:color w:val="000000"/>
                <w:szCs w:val="20"/>
                <w:lang w:val="en-US"/>
              </w:rPr>
            </w:pPr>
          </w:p>
        </w:tc>
        <w:tc>
          <w:tcPr>
            <w:tcW w:w="132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Westholme NW</w:t>
            </w:r>
          </w:p>
        </w:tc>
        <w:tc>
          <w:tcPr>
            <w:tcW w:w="606" w:type="pct"/>
            <w:shd w:val="clear" w:color="auto" w:fill="FFFF99"/>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0</w:t>
            </w:r>
          </w:p>
        </w:tc>
        <w:tc>
          <w:tcPr>
            <w:tcW w:w="606" w:type="pct"/>
            <w:shd w:val="clear" w:color="auto" w:fill="FFFF99"/>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0</w:t>
            </w:r>
          </w:p>
        </w:tc>
        <w:tc>
          <w:tcPr>
            <w:tcW w:w="908"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0</w:t>
            </w:r>
          </w:p>
        </w:tc>
      </w:tr>
      <w:tr w:rsidR="0056539E" w:rsidRPr="00E23B8D" w:rsidTr="00CC18AA">
        <w:trPr>
          <w:trHeight w:val="240"/>
        </w:trPr>
        <w:tc>
          <w:tcPr>
            <w:tcW w:w="698" w:type="pct"/>
            <w:vMerge/>
            <w:vAlign w:val="center"/>
            <w:hideMark/>
          </w:tcPr>
          <w:p w:rsidR="0056539E" w:rsidRPr="00E23B8D" w:rsidRDefault="0056539E" w:rsidP="00E23B8D">
            <w:pPr>
              <w:spacing w:before="60" w:after="60"/>
              <w:jc w:val="center"/>
              <w:rPr>
                <w:rFonts w:cs="Arial"/>
                <w:color w:val="000000"/>
                <w:szCs w:val="20"/>
                <w:lang w:val="en-US"/>
              </w:rPr>
            </w:pPr>
          </w:p>
        </w:tc>
        <w:tc>
          <w:tcPr>
            <w:tcW w:w="855" w:type="pct"/>
            <w:vMerge w:val="restart"/>
            <w:shd w:val="clear" w:color="auto" w:fill="auto"/>
            <w:vAlign w:val="center"/>
            <w:hideMark/>
          </w:tcPr>
          <w:p w:rsidR="0056539E" w:rsidRPr="00E23B8D" w:rsidRDefault="001C3C04" w:rsidP="00E23B8D">
            <w:pPr>
              <w:spacing w:before="60" w:after="60"/>
              <w:jc w:val="center"/>
              <w:rPr>
                <w:rFonts w:cs="Arial"/>
                <w:color w:val="000000"/>
                <w:szCs w:val="20"/>
                <w:lang w:val="en-US"/>
              </w:rPr>
            </w:pPr>
            <w:r w:rsidRPr="00E23B8D">
              <w:rPr>
                <w:rFonts w:cs="Arial"/>
                <w:color w:val="000000"/>
                <w:szCs w:val="20"/>
                <w:lang w:val="en-US"/>
              </w:rPr>
              <w:t>lower</w:t>
            </w:r>
            <w:r w:rsidR="0056539E" w:rsidRPr="00E23B8D">
              <w:rPr>
                <w:rFonts w:cs="Arial"/>
                <w:color w:val="000000"/>
                <w:szCs w:val="20"/>
                <w:lang w:val="en-US"/>
              </w:rPr>
              <w:t xml:space="preserve"> Gwydir River and wetlands</w:t>
            </w:r>
          </w:p>
        </w:tc>
        <w:tc>
          <w:tcPr>
            <w:tcW w:w="132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Allambie Bridge</w:t>
            </w:r>
          </w:p>
        </w:tc>
        <w:tc>
          <w:tcPr>
            <w:tcW w:w="606" w:type="pct"/>
            <w:shd w:val="clear" w:color="auto" w:fill="C6D9F1"/>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50</w:t>
            </w:r>
          </w:p>
        </w:tc>
        <w:tc>
          <w:tcPr>
            <w:tcW w:w="606" w:type="pct"/>
            <w:shd w:val="clear" w:color="auto" w:fill="C6D9F1"/>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5*</w:t>
            </w:r>
          </w:p>
        </w:tc>
        <w:tc>
          <w:tcPr>
            <w:tcW w:w="908"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-45</w:t>
            </w:r>
          </w:p>
        </w:tc>
      </w:tr>
      <w:tr w:rsidR="0056539E" w:rsidRPr="00E23B8D" w:rsidTr="00CC18AA">
        <w:trPr>
          <w:trHeight w:val="300"/>
        </w:trPr>
        <w:tc>
          <w:tcPr>
            <w:tcW w:w="698" w:type="pct"/>
            <w:vMerge/>
            <w:vAlign w:val="center"/>
            <w:hideMark/>
          </w:tcPr>
          <w:p w:rsidR="0056539E" w:rsidRPr="00E23B8D" w:rsidRDefault="0056539E" w:rsidP="00E23B8D">
            <w:pPr>
              <w:spacing w:before="60" w:after="60"/>
              <w:jc w:val="center"/>
              <w:rPr>
                <w:rFonts w:cs="Arial"/>
                <w:color w:val="000000"/>
                <w:szCs w:val="20"/>
                <w:lang w:val="en-US"/>
              </w:rPr>
            </w:pPr>
          </w:p>
        </w:tc>
        <w:tc>
          <w:tcPr>
            <w:tcW w:w="855" w:type="pct"/>
            <w:vMerge/>
            <w:vAlign w:val="center"/>
            <w:hideMark/>
          </w:tcPr>
          <w:p w:rsidR="0056539E" w:rsidRPr="00E23B8D" w:rsidRDefault="0056539E" w:rsidP="00E23B8D">
            <w:pPr>
              <w:spacing w:before="60" w:after="60"/>
              <w:jc w:val="center"/>
              <w:rPr>
                <w:rFonts w:cs="Arial"/>
                <w:color w:val="000000"/>
                <w:szCs w:val="20"/>
                <w:lang w:val="en-US"/>
              </w:rPr>
            </w:pPr>
          </w:p>
        </w:tc>
        <w:tc>
          <w:tcPr>
            <w:tcW w:w="132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Brageen Crossing</w:t>
            </w:r>
          </w:p>
        </w:tc>
        <w:tc>
          <w:tcPr>
            <w:tcW w:w="606" w:type="pct"/>
            <w:shd w:val="clear" w:color="auto" w:fill="C6D9F1"/>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20</w:t>
            </w:r>
          </w:p>
        </w:tc>
        <w:tc>
          <w:tcPr>
            <w:tcW w:w="606" w:type="pct"/>
            <w:shd w:val="clear" w:color="auto" w:fill="C6D9F1"/>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5*</w:t>
            </w:r>
          </w:p>
        </w:tc>
        <w:tc>
          <w:tcPr>
            <w:tcW w:w="908"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-15</w:t>
            </w:r>
          </w:p>
        </w:tc>
      </w:tr>
      <w:tr w:rsidR="0056539E" w:rsidRPr="00E23B8D" w:rsidTr="003B535A">
        <w:trPr>
          <w:trHeight w:val="240"/>
        </w:trPr>
        <w:tc>
          <w:tcPr>
            <w:tcW w:w="698" w:type="pct"/>
            <w:vMerge/>
            <w:vAlign w:val="center"/>
            <w:hideMark/>
          </w:tcPr>
          <w:p w:rsidR="0056539E" w:rsidRPr="00E23B8D" w:rsidRDefault="0056539E" w:rsidP="00E23B8D">
            <w:pPr>
              <w:spacing w:before="60" w:after="60"/>
              <w:jc w:val="center"/>
              <w:rPr>
                <w:rFonts w:cs="Arial"/>
                <w:color w:val="000000"/>
                <w:szCs w:val="20"/>
                <w:lang w:val="en-US"/>
              </w:rPr>
            </w:pPr>
          </w:p>
        </w:tc>
        <w:tc>
          <w:tcPr>
            <w:tcW w:w="855" w:type="pct"/>
            <w:vMerge/>
            <w:vAlign w:val="center"/>
            <w:hideMark/>
          </w:tcPr>
          <w:p w:rsidR="0056539E" w:rsidRPr="00E23B8D" w:rsidRDefault="0056539E" w:rsidP="00E23B8D">
            <w:pPr>
              <w:spacing w:before="60" w:after="60"/>
              <w:jc w:val="center"/>
              <w:rPr>
                <w:rFonts w:cs="Arial"/>
                <w:color w:val="000000"/>
                <w:szCs w:val="20"/>
                <w:lang w:val="en-US"/>
              </w:rPr>
            </w:pPr>
          </w:p>
        </w:tc>
        <w:tc>
          <w:tcPr>
            <w:tcW w:w="132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Belmont</w:t>
            </w:r>
          </w:p>
        </w:tc>
        <w:tc>
          <w:tcPr>
            <w:tcW w:w="606" w:type="pct"/>
            <w:shd w:val="clear" w:color="auto" w:fill="FFFF99"/>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2</w:t>
            </w:r>
          </w:p>
        </w:tc>
        <w:tc>
          <w:tcPr>
            <w:tcW w:w="606" w:type="pct"/>
            <w:shd w:val="clear" w:color="auto" w:fill="FFFF99"/>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1</w:t>
            </w:r>
          </w:p>
        </w:tc>
        <w:tc>
          <w:tcPr>
            <w:tcW w:w="908"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-1</w:t>
            </w:r>
          </w:p>
        </w:tc>
      </w:tr>
      <w:tr w:rsidR="0056539E" w:rsidRPr="00E23B8D" w:rsidTr="00CC18AA">
        <w:trPr>
          <w:trHeight w:val="240"/>
        </w:trPr>
        <w:tc>
          <w:tcPr>
            <w:tcW w:w="698" w:type="pct"/>
            <w:vMerge/>
            <w:vAlign w:val="center"/>
            <w:hideMark/>
          </w:tcPr>
          <w:p w:rsidR="0056539E" w:rsidRPr="00E23B8D" w:rsidRDefault="0056539E" w:rsidP="00E23B8D">
            <w:pPr>
              <w:spacing w:before="60" w:after="60"/>
              <w:jc w:val="center"/>
              <w:rPr>
                <w:rFonts w:cs="Arial"/>
                <w:color w:val="000000"/>
                <w:szCs w:val="20"/>
                <w:lang w:val="en-US"/>
              </w:rPr>
            </w:pPr>
          </w:p>
        </w:tc>
        <w:tc>
          <w:tcPr>
            <w:tcW w:w="855" w:type="pct"/>
            <w:vMerge/>
            <w:vAlign w:val="center"/>
            <w:hideMark/>
          </w:tcPr>
          <w:p w:rsidR="0056539E" w:rsidRPr="00E23B8D" w:rsidRDefault="0056539E" w:rsidP="00E23B8D">
            <w:pPr>
              <w:spacing w:before="60" w:after="60"/>
              <w:jc w:val="center"/>
              <w:rPr>
                <w:rFonts w:cs="Arial"/>
                <w:color w:val="000000"/>
                <w:szCs w:val="20"/>
                <w:lang w:val="en-US"/>
              </w:rPr>
            </w:pPr>
          </w:p>
        </w:tc>
        <w:tc>
          <w:tcPr>
            <w:tcW w:w="132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Old Dromana Dam</w:t>
            </w:r>
          </w:p>
        </w:tc>
        <w:tc>
          <w:tcPr>
            <w:tcW w:w="606" w:type="pct"/>
            <w:shd w:val="clear" w:color="auto" w:fill="C6D9F1"/>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20</w:t>
            </w:r>
          </w:p>
        </w:tc>
        <w:tc>
          <w:tcPr>
            <w:tcW w:w="606" w:type="pct"/>
            <w:shd w:val="clear" w:color="auto" w:fill="C6D9F1"/>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30*</w:t>
            </w:r>
          </w:p>
        </w:tc>
        <w:tc>
          <w:tcPr>
            <w:tcW w:w="908"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10</w:t>
            </w:r>
          </w:p>
        </w:tc>
      </w:tr>
      <w:tr w:rsidR="0056539E" w:rsidRPr="00E23B8D" w:rsidTr="00CC18AA">
        <w:trPr>
          <w:trHeight w:val="240"/>
        </w:trPr>
        <w:tc>
          <w:tcPr>
            <w:tcW w:w="698" w:type="pct"/>
            <w:vMerge/>
            <w:vAlign w:val="center"/>
            <w:hideMark/>
          </w:tcPr>
          <w:p w:rsidR="0056539E" w:rsidRPr="00E23B8D" w:rsidRDefault="0056539E" w:rsidP="00E23B8D">
            <w:pPr>
              <w:spacing w:before="60" w:after="60"/>
              <w:jc w:val="center"/>
              <w:rPr>
                <w:rFonts w:cs="Arial"/>
                <w:color w:val="000000"/>
                <w:szCs w:val="20"/>
                <w:lang w:val="en-US"/>
              </w:rPr>
            </w:pPr>
          </w:p>
        </w:tc>
        <w:tc>
          <w:tcPr>
            <w:tcW w:w="855" w:type="pct"/>
            <w:vMerge/>
            <w:vAlign w:val="center"/>
            <w:hideMark/>
          </w:tcPr>
          <w:p w:rsidR="0056539E" w:rsidRPr="00E23B8D" w:rsidRDefault="0056539E" w:rsidP="00E23B8D">
            <w:pPr>
              <w:spacing w:before="60" w:after="60"/>
              <w:jc w:val="center"/>
              <w:rPr>
                <w:rFonts w:cs="Arial"/>
                <w:color w:val="000000"/>
                <w:szCs w:val="20"/>
                <w:lang w:val="en-US"/>
              </w:rPr>
            </w:pPr>
          </w:p>
        </w:tc>
        <w:tc>
          <w:tcPr>
            <w:tcW w:w="132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 xml:space="preserve">Old Dromana Transect </w:t>
            </w:r>
          </w:p>
        </w:tc>
        <w:tc>
          <w:tcPr>
            <w:tcW w:w="606" w:type="pct"/>
            <w:shd w:val="clear" w:color="auto" w:fill="C6D9F1"/>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50</w:t>
            </w:r>
          </w:p>
        </w:tc>
        <w:tc>
          <w:tcPr>
            <w:tcW w:w="606" w:type="pct"/>
            <w:shd w:val="clear" w:color="auto" w:fill="FFFF99"/>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0</w:t>
            </w:r>
          </w:p>
        </w:tc>
        <w:tc>
          <w:tcPr>
            <w:tcW w:w="908"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-50</w:t>
            </w:r>
          </w:p>
        </w:tc>
      </w:tr>
      <w:tr w:rsidR="0056539E" w:rsidRPr="00E23B8D" w:rsidTr="00CC18AA">
        <w:trPr>
          <w:trHeight w:val="240"/>
        </w:trPr>
        <w:tc>
          <w:tcPr>
            <w:tcW w:w="698" w:type="pct"/>
            <w:vMerge/>
            <w:vAlign w:val="center"/>
            <w:hideMark/>
          </w:tcPr>
          <w:p w:rsidR="0056539E" w:rsidRPr="00E23B8D" w:rsidRDefault="0056539E" w:rsidP="00E23B8D">
            <w:pPr>
              <w:spacing w:before="60" w:after="60"/>
              <w:jc w:val="center"/>
              <w:rPr>
                <w:rFonts w:cs="Arial"/>
                <w:color w:val="000000"/>
                <w:szCs w:val="20"/>
                <w:lang w:val="en-US"/>
              </w:rPr>
            </w:pPr>
          </w:p>
        </w:tc>
        <w:tc>
          <w:tcPr>
            <w:tcW w:w="855" w:type="pct"/>
            <w:vMerge/>
            <w:vAlign w:val="center"/>
            <w:hideMark/>
          </w:tcPr>
          <w:p w:rsidR="0056539E" w:rsidRPr="00E23B8D" w:rsidRDefault="0056539E" w:rsidP="00E23B8D">
            <w:pPr>
              <w:spacing w:before="60" w:after="60"/>
              <w:jc w:val="center"/>
              <w:rPr>
                <w:rFonts w:cs="Arial"/>
                <w:color w:val="000000"/>
                <w:szCs w:val="20"/>
                <w:lang w:val="en-US"/>
              </w:rPr>
            </w:pPr>
          </w:p>
        </w:tc>
        <w:tc>
          <w:tcPr>
            <w:tcW w:w="132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Wandoona Waterhole</w:t>
            </w:r>
          </w:p>
        </w:tc>
        <w:tc>
          <w:tcPr>
            <w:tcW w:w="606" w:type="pct"/>
            <w:shd w:val="clear" w:color="auto" w:fill="C6D9F1"/>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20</w:t>
            </w:r>
          </w:p>
        </w:tc>
        <w:tc>
          <w:tcPr>
            <w:tcW w:w="606" w:type="pct"/>
            <w:shd w:val="clear" w:color="auto" w:fill="C6D9F1"/>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10</w:t>
            </w:r>
          </w:p>
        </w:tc>
        <w:tc>
          <w:tcPr>
            <w:tcW w:w="908"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-10</w:t>
            </w:r>
          </w:p>
        </w:tc>
      </w:tr>
      <w:tr w:rsidR="0056539E" w:rsidRPr="00E23B8D" w:rsidTr="00CC18AA">
        <w:trPr>
          <w:trHeight w:val="240"/>
        </w:trPr>
        <w:tc>
          <w:tcPr>
            <w:tcW w:w="698" w:type="pct"/>
            <w:vMerge/>
            <w:vAlign w:val="center"/>
            <w:hideMark/>
          </w:tcPr>
          <w:p w:rsidR="0056539E" w:rsidRPr="00E23B8D" w:rsidRDefault="0056539E" w:rsidP="00E23B8D">
            <w:pPr>
              <w:spacing w:before="60" w:after="60"/>
              <w:jc w:val="center"/>
              <w:rPr>
                <w:rFonts w:cs="Arial"/>
                <w:color w:val="000000"/>
                <w:szCs w:val="20"/>
                <w:lang w:val="en-US"/>
              </w:rPr>
            </w:pPr>
          </w:p>
        </w:tc>
        <w:tc>
          <w:tcPr>
            <w:tcW w:w="855" w:type="pct"/>
            <w:vMerge/>
            <w:vAlign w:val="center"/>
            <w:hideMark/>
          </w:tcPr>
          <w:p w:rsidR="0056539E" w:rsidRPr="00E23B8D" w:rsidRDefault="0056539E" w:rsidP="00E23B8D">
            <w:pPr>
              <w:spacing w:before="60" w:after="60"/>
              <w:jc w:val="center"/>
              <w:rPr>
                <w:rFonts w:cs="Arial"/>
                <w:color w:val="000000"/>
                <w:szCs w:val="20"/>
                <w:lang w:val="en-US"/>
              </w:rPr>
            </w:pPr>
          </w:p>
        </w:tc>
        <w:tc>
          <w:tcPr>
            <w:tcW w:w="132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Gin Holes</w:t>
            </w:r>
          </w:p>
        </w:tc>
        <w:tc>
          <w:tcPr>
            <w:tcW w:w="606" w:type="pct"/>
            <w:shd w:val="clear" w:color="auto" w:fill="C6D9F1"/>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30</w:t>
            </w:r>
          </w:p>
        </w:tc>
        <w:tc>
          <w:tcPr>
            <w:tcW w:w="606" w:type="pct"/>
            <w:shd w:val="clear" w:color="auto" w:fill="FFFF99"/>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0</w:t>
            </w:r>
          </w:p>
        </w:tc>
        <w:tc>
          <w:tcPr>
            <w:tcW w:w="908"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-30</w:t>
            </w:r>
          </w:p>
        </w:tc>
      </w:tr>
      <w:tr w:rsidR="0056539E" w:rsidRPr="00E23B8D" w:rsidTr="003B535A">
        <w:trPr>
          <w:trHeight w:val="240"/>
        </w:trPr>
        <w:tc>
          <w:tcPr>
            <w:tcW w:w="698" w:type="pct"/>
            <w:vMerge w:val="restart"/>
            <w:shd w:val="clear" w:color="auto" w:fill="auto"/>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Mehi River and Moomin Creek</w:t>
            </w:r>
          </w:p>
        </w:tc>
        <w:tc>
          <w:tcPr>
            <w:tcW w:w="855" w:type="pct"/>
            <w:vMerge w:val="restart"/>
            <w:shd w:val="clear" w:color="auto" w:fill="auto"/>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Mallowa Creek and wetlands</w:t>
            </w:r>
          </w:p>
        </w:tc>
        <w:tc>
          <w:tcPr>
            <w:tcW w:w="132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Bungunya</w:t>
            </w:r>
          </w:p>
        </w:tc>
        <w:tc>
          <w:tcPr>
            <w:tcW w:w="606" w:type="pct"/>
            <w:shd w:val="clear" w:color="auto" w:fill="FFFF99"/>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0</w:t>
            </w:r>
          </w:p>
        </w:tc>
        <w:tc>
          <w:tcPr>
            <w:tcW w:w="606" w:type="pct"/>
            <w:shd w:val="clear" w:color="auto" w:fill="FFFF99"/>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0</w:t>
            </w:r>
          </w:p>
        </w:tc>
        <w:tc>
          <w:tcPr>
            <w:tcW w:w="908"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0</w:t>
            </w:r>
          </w:p>
        </w:tc>
      </w:tr>
      <w:tr w:rsidR="0056539E" w:rsidRPr="00E23B8D" w:rsidTr="00CC18AA">
        <w:trPr>
          <w:trHeight w:val="240"/>
        </w:trPr>
        <w:tc>
          <w:tcPr>
            <w:tcW w:w="698" w:type="pct"/>
            <w:vMerge/>
            <w:vAlign w:val="center"/>
            <w:hideMark/>
          </w:tcPr>
          <w:p w:rsidR="0056539E" w:rsidRPr="00E23B8D" w:rsidRDefault="0056539E" w:rsidP="00E23B8D">
            <w:pPr>
              <w:spacing w:before="60" w:after="60"/>
              <w:jc w:val="center"/>
              <w:rPr>
                <w:rFonts w:cs="Arial"/>
                <w:color w:val="000000"/>
                <w:szCs w:val="20"/>
                <w:lang w:val="en-US"/>
              </w:rPr>
            </w:pPr>
          </w:p>
        </w:tc>
        <w:tc>
          <w:tcPr>
            <w:tcW w:w="855" w:type="pct"/>
            <w:vMerge/>
            <w:vAlign w:val="center"/>
            <w:hideMark/>
          </w:tcPr>
          <w:p w:rsidR="0056539E" w:rsidRPr="00E23B8D" w:rsidRDefault="0056539E" w:rsidP="00E23B8D">
            <w:pPr>
              <w:spacing w:before="60" w:after="60"/>
              <w:jc w:val="center"/>
              <w:rPr>
                <w:rFonts w:cs="Arial"/>
                <w:color w:val="000000"/>
                <w:szCs w:val="20"/>
                <w:lang w:val="en-US"/>
              </w:rPr>
            </w:pPr>
          </w:p>
        </w:tc>
        <w:tc>
          <w:tcPr>
            <w:tcW w:w="132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Coombah</w:t>
            </w:r>
          </w:p>
        </w:tc>
        <w:tc>
          <w:tcPr>
            <w:tcW w:w="606" w:type="pct"/>
            <w:shd w:val="clear" w:color="auto" w:fill="C6D9F1"/>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30</w:t>
            </w:r>
          </w:p>
        </w:tc>
        <w:tc>
          <w:tcPr>
            <w:tcW w:w="606" w:type="pct"/>
            <w:shd w:val="clear" w:color="auto" w:fill="FFFF99"/>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0</w:t>
            </w:r>
          </w:p>
        </w:tc>
        <w:tc>
          <w:tcPr>
            <w:tcW w:w="908"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-30</w:t>
            </w:r>
          </w:p>
        </w:tc>
      </w:tr>
      <w:tr w:rsidR="0056539E" w:rsidRPr="00E23B8D" w:rsidTr="00CC18AA">
        <w:trPr>
          <w:trHeight w:val="240"/>
        </w:trPr>
        <w:tc>
          <w:tcPr>
            <w:tcW w:w="698" w:type="pct"/>
            <w:vMerge/>
            <w:vAlign w:val="center"/>
            <w:hideMark/>
          </w:tcPr>
          <w:p w:rsidR="0056539E" w:rsidRPr="00E23B8D" w:rsidRDefault="0056539E" w:rsidP="00E23B8D">
            <w:pPr>
              <w:spacing w:before="60" w:after="60"/>
              <w:jc w:val="center"/>
              <w:rPr>
                <w:rFonts w:cs="Arial"/>
                <w:color w:val="000000"/>
                <w:szCs w:val="20"/>
                <w:lang w:val="en-US"/>
              </w:rPr>
            </w:pPr>
          </w:p>
        </w:tc>
        <w:tc>
          <w:tcPr>
            <w:tcW w:w="855" w:type="pct"/>
            <w:vMerge/>
            <w:vAlign w:val="center"/>
            <w:hideMark/>
          </w:tcPr>
          <w:p w:rsidR="0056539E" w:rsidRPr="00E23B8D" w:rsidRDefault="0056539E" w:rsidP="00E23B8D">
            <w:pPr>
              <w:spacing w:before="60" w:after="60"/>
              <w:jc w:val="center"/>
              <w:rPr>
                <w:rFonts w:cs="Arial"/>
                <w:color w:val="000000"/>
                <w:szCs w:val="20"/>
                <w:lang w:val="en-US"/>
              </w:rPr>
            </w:pPr>
          </w:p>
        </w:tc>
        <w:tc>
          <w:tcPr>
            <w:tcW w:w="132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 xml:space="preserve">Gundare Weir  </w:t>
            </w:r>
          </w:p>
        </w:tc>
        <w:tc>
          <w:tcPr>
            <w:tcW w:w="606" w:type="pct"/>
            <w:shd w:val="clear" w:color="auto" w:fill="C6D9F1"/>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10</w:t>
            </w:r>
          </w:p>
        </w:tc>
        <w:tc>
          <w:tcPr>
            <w:tcW w:w="606" w:type="pct"/>
            <w:shd w:val="clear" w:color="auto" w:fill="C6D9F1"/>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40*</w:t>
            </w:r>
          </w:p>
        </w:tc>
        <w:tc>
          <w:tcPr>
            <w:tcW w:w="908"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30</w:t>
            </w:r>
          </w:p>
        </w:tc>
      </w:tr>
      <w:tr w:rsidR="0056539E" w:rsidRPr="00E23B8D" w:rsidTr="00CC18AA">
        <w:trPr>
          <w:trHeight w:val="240"/>
        </w:trPr>
        <w:tc>
          <w:tcPr>
            <w:tcW w:w="698" w:type="pct"/>
            <w:vMerge/>
            <w:vAlign w:val="center"/>
            <w:hideMark/>
          </w:tcPr>
          <w:p w:rsidR="0056539E" w:rsidRPr="00E23B8D" w:rsidRDefault="0056539E" w:rsidP="00E23B8D">
            <w:pPr>
              <w:spacing w:before="60" w:after="60"/>
              <w:jc w:val="center"/>
              <w:rPr>
                <w:rFonts w:cs="Arial"/>
                <w:color w:val="000000"/>
                <w:szCs w:val="20"/>
                <w:lang w:val="en-US"/>
              </w:rPr>
            </w:pPr>
          </w:p>
        </w:tc>
        <w:tc>
          <w:tcPr>
            <w:tcW w:w="855" w:type="pct"/>
            <w:vMerge/>
            <w:vAlign w:val="center"/>
            <w:hideMark/>
          </w:tcPr>
          <w:p w:rsidR="0056539E" w:rsidRPr="00E23B8D" w:rsidRDefault="0056539E" w:rsidP="00E23B8D">
            <w:pPr>
              <w:spacing w:before="60" w:after="60"/>
              <w:jc w:val="center"/>
              <w:rPr>
                <w:rFonts w:cs="Arial"/>
                <w:color w:val="000000"/>
                <w:szCs w:val="20"/>
                <w:lang w:val="en-US"/>
              </w:rPr>
            </w:pPr>
          </w:p>
        </w:tc>
        <w:tc>
          <w:tcPr>
            <w:tcW w:w="132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Valetta</w:t>
            </w:r>
          </w:p>
        </w:tc>
        <w:tc>
          <w:tcPr>
            <w:tcW w:w="606" w:type="pct"/>
            <w:shd w:val="clear" w:color="auto" w:fill="C6D9F1"/>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70</w:t>
            </w:r>
          </w:p>
        </w:tc>
        <w:tc>
          <w:tcPr>
            <w:tcW w:w="606" w:type="pct"/>
            <w:shd w:val="clear" w:color="auto" w:fill="FFFF99"/>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0</w:t>
            </w:r>
          </w:p>
        </w:tc>
        <w:tc>
          <w:tcPr>
            <w:tcW w:w="908"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-70</w:t>
            </w:r>
          </w:p>
        </w:tc>
      </w:tr>
      <w:tr w:rsidR="0056539E" w:rsidRPr="00E23B8D" w:rsidTr="00CC18AA">
        <w:trPr>
          <w:trHeight w:val="240"/>
        </w:trPr>
        <w:tc>
          <w:tcPr>
            <w:tcW w:w="698" w:type="pct"/>
            <w:vMerge/>
            <w:vAlign w:val="center"/>
            <w:hideMark/>
          </w:tcPr>
          <w:p w:rsidR="0056539E" w:rsidRPr="00E23B8D" w:rsidRDefault="0056539E" w:rsidP="00E23B8D">
            <w:pPr>
              <w:spacing w:before="60" w:after="60"/>
              <w:jc w:val="center"/>
              <w:rPr>
                <w:rFonts w:cs="Arial"/>
                <w:color w:val="000000"/>
                <w:szCs w:val="20"/>
                <w:lang w:val="en-US"/>
              </w:rPr>
            </w:pPr>
          </w:p>
        </w:tc>
        <w:tc>
          <w:tcPr>
            <w:tcW w:w="855" w:type="pct"/>
            <w:vMerge w:val="restart"/>
            <w:shd w:val="clear" w:color="auto" w:fill="auto"/>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Mehi River</w:t>
            </w:r>
          </w:p>
        </w:tc>
        <w:tc>
          <w:tcPr>
            <w:tcW w:w="132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Combadello Weir</w:t>
            </w:r>
          </w:p>
        </w:tc>
        <w:tc>
          <w:tcPr>
            <w:tcW w:w="606" w:type="pct"/>
            <w:shd w:val="clear" w:color="auto" w:fill="C6D9F1"/>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50</w:t>
            </w:r>
          </w:p>
        </w:tc>
        <w:tc>
          <w:tcPr>
            <w:tcW w:w="606" w:type="pct"/>
            <w:shd w:val="clear" w:color="auto" w:fill="C6D9F1"/>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20*</w:t>
            </w:r>
          </w:p>
        </w:tc>
        <w:tc>
          <w:tcPr>
            <w:tcW w:w="908"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-30</w:t>
            </w:r>
          </w:p>
        </w:tc>
      </w:tr>
      <w:tr w:rsidR="0056539E" w:rsidRPr="00E23B8D" w:rsidTr="00CC18AA">
        <w:trPr>
          <w:trHeight w:val="240"/>
        </w:trPr>
        <w:tc>
          <w:tcPr>
            <w:tcW w:w="698" w:type="pct"/>
            <w:vMerge/>
            <w:vAlign w:val="center"/>
            <w:hideMark/>
          </w:tcPr>
          <w:p w:rsidR="0056539E" w:rsidRPr="00E23B8D" w:rsidRDefault="0056539E" w:rsidP="00E23B8D">
            <w:pPr>
              <w:spacing w:before="60" w:after="60"/>
              <w:jc w:val="left"/>
              <w:rPr>
                <w:rFonts w:cs="Arial"/>
                <w:color w:val="000000"/>
                <w:szCs w:val="20"/>
                <w:lang w:val="en-US"/>
              </w:rPr>
            </w:pPr>
          </w:p>
        </w:tc>
        <w:tc>
          <w:tcPr>
            <w:tcW w:w="855" w:type="pct"/>
            <w:vMerge/>
            <w:vAlign w:val="center"/>
            <w:hideMark/>
          </w:tcPr>
          <w:p w:rsidR="0056539E" w:rsidRPr="00E23B8D" w:rsidRDefault="0056539E" w:rsidP="00E23B8D">
            <w:pPr>
              <w:spacing w:before="60" w:after="60"/>
              <w:jc w:val="left"/>
              <w:rPr>
                <w:rFonts w:cs="Arial"/>
                <w:color w:val="000000"/>
                <w:szCs w:val="20"/>
                <w:lang w:val="en-US"/>
              </w:rPr>
            </w:pPr>
          </w:p>
        </w:tc>
        <w:tc>
          <w:tcPr>
            <w:tcW w:w="132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Derra Waterhole</w:t>
            </w:r>
          </w:p>
        </w:tc>
        <w:tc>
          <w:tcPr>
            <w:tcW w:w="606" w:type="pct"/>
            <w:shd w:val="clear" w:color="auto" w:fill="C6D9F1"/>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10</w:t>
            </w:r>
          </w:p>
        </w:tc>
        <w:tc>
          <w:tcPr>
            <w:tcW w:w="606" w:type="pct"/>
            <w:shd w:val="clear" w:color="auto" w:fill="FFFF99"/>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2</w:t>
            </w:r>
          </w:p>
        </w:tc>
        <w:tc>
          <w:tcPr>
            <w:tcW w:w="908"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-8</w:t>
            </w:r>
          </w:p>
        </w:tc>
      </w:tr>
      <w:tr w:rsidR="0056539E" w:rsidRPr="00E23B8D" w:rsidTr="00CC18AA">
        <w:trPr>
          <w:trHeight w:val="240"/>
        </w:trPr>
        <w:tc>
          <w:tcPr>
            <w:tcW w:w="698" w:type="pct"/>
            <w:vMerge/>
            <w:vAlign w:val="center"/>
            <w:hideMark/>
          </w:tcPr>
          <w:p w:rsidR="0056539E" w:rsidRPr="00E23B8D" w:rsidRDefault="0056539E" w:rsidP="00E23B8D">
            <w:pPr>
              <w:spacing w:before="60" w:after="60"/>
              <w:jc w:val="left"/>
              <w:rPr>
                <w:rFonts w:cs="Arial"/>
                <w:color w:val="000000"/>
                <w:szCs w:val="20"/>
                <w:lang w:val="en-US"/>
              </w:rPr>
            </w:pPr>
          </w:p>
        </w:tc>
        <w:tc>
          <w:tcPr>
            <w:tcW w:w="855" w:type="pct"/>
            <w:vMerge/>
            <w:vAlign w:val="center"/>
            <w:hideMark/>
          </w:tcPr>
          <w:p w:rsidR="0056539E" w:rsidRPr="00E23B8D" w:rsidRDefault="0056539E" w:rsidP="00E23B8D">
            <w:pPr>
              <w:spacing w:before="60" w:after="60"/>
              <w:jc w:val="left"/>
              <w:rPr>
                <w:rFonts w:cs="Arial"/>
                <w:color w:val="000000"/>
                <w:szCs w:val="20"/>
                <w:lang w:val="en-US"/>
              </w:rPr>
            </w:pPr>
          </w:p>
        </w:tc>
        <w:tc>
          <w:tcPr>
            <w:tcW w:w="132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Tellegara Bridge</w:t>
            </w:r>
          </w:p>
        </w:tc>
        <w:tc>
          <w:tcPr>
            <w:tcW w:w="606" w:type="pct"/>
            <w:shd w:val="clear" w:color="auto" w:fill="C6D9F1"/>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20</w:t>
            </w:r>
          </w:p>
        </w:tc>
        <w:tc>
          <w:tcPr>
            <w:tcW w:w="606" w:type="pct"/>
            <w:shd w:val="clear" w:color="auto" w:fill="C6D9F1"/>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15*</w:t>
            </w:r>
          </w:p>
        </w:tc>
        <w:tc>
          <w:tcPr>
            <w:tcW w:w="908"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-5</w:t>
            </w:r>
          </w:p>
        </w:tc>
      </w:tr>
      <w:tr w:rsidR="0056539E" w:rsidRPr="00E23B8D" w:rsidTr="00CC18AA">
        <w:trPr>
          <w:trHeight w:val="240"/>
        </w:trPr>
        <w:tc>
          <w:tcPr>
            <w:tcW w:w="698" w:type="pct"/>
            <w:vMerge/>
            <w:vAlign w:val="center"/>
            <w:hideMark/>
          </w:tcPr>
          <w:p w:rsidR="0056539E" w:rsidRPr="00E23B8D" w:rsidRDefault="0056539E" w:rsidP="00E23B8D">
            <w:pPr>
              <w:spacing w:before="60" w:after="60"/>
              <w:jc w:val="left"/>
              <w:rPr>
                <w:rFonts w:cs="Arial"/>
                <w:color w:val="000000"/>
                <w:szCs w:val="20"/>
                <w:lang w:val="en-US"/>
              </w:rPr>
            </w:pPr>
          </w:p>
        </w:tc>
        <w:tc>
          <w:tcPr>
            <w:tcW w:w="855" w:type="pct"/>
            <w:vMerge/>
            <w:vAlign w:val="center"/>
            <w:hideMark/>
          </w:tcPr>
          <w:p w:rsidR="0056539E" w:rsidRPr="00E23B8D" w:rsidRDefault="0056539E" w:rsidP="00E23B8D">
            <w:pPr>
              <w:spacing w:before="60" w:after="60"/>
              <w:jc w:val="left"/>
              <w:rPr>
                <w:rFonts w:cs="Arial"/>
                <w:color w:val="000000"/>
                <w:szCs w:val="20"/>
                <w:lang w:val="en-US"/>
              </w:rPr>
            </w:pPr>
          </w:p>
        </w:tc>
        <w:tc>
          <w:tcPr>
            <w:tcW w:w="132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Whittaker's Lagoon</w:t>
            </w:r>
          </w:p>
        </w:tc>
        <w:tc>
          <w:tcPr>
            <w:tcW w:w="606" w:type="pct"/>
            <w:shd w:val="clear" w:color="auto" w:fill="C6D9F1"/>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10</w:t>
            </w:r>
          </w:p>
        </w:tc>
        <w:tc>
          <w:tcPr>
            <w:tcW w:w="606" w:type="pct"/>
            <w:shd w:val="clear" w:color="auto" w:fill="C6D9F1"/>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5</w:t>
            </w:r>
          </w:p>
        </w:tc>
        <w:tc>
          <w:tcPr>
            <w:tcW w:w="908"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-5</w:t>
            </w:r>
          </w:p>
        </w:tc>
      </w:tr>
    </w:tbl>
    <w:p w:rsidR="0056539E" w:rsidRPr="00CE0CDA" w:rsidRDefault="0056539E" w:rsidP="0056539E">
      <w:pPr>
        <w:rPr>
          <w:sz w:val="16"/>
          <w:szCs w:val="16"/>
        </w:rPr>
      </w:pPr>
      <w:r w:rsidRPr="00CE0CDA">
        <w:rPr>
          <w:sz w:val="16"/>
          <w:szCs w:val="16"/>
        </w:rPr>
        <w:t>* Sites marked with an asterisk were influenced by environmental water.</w:t>
      </w:r>
    </w:p>
    <w:p w:rsidR="0056539E" w:rsidRDefault="0056539E" w:rsidP="00D65359">
      <w:pPr>
        <w:pStyle w:val="Heading8"/>
      </w:pPr>
      <w:r>
        <w:t>Previous monitoring</w:t>
      </w:r>
    </w:p>
    <w:p w:rsidR="0056539E" w:rsidRDefault="0056539E" w:rsidP="009524AD">
      <w:r>
        <w:t xml:space="preserve">Seasonal </w:t>
      </w:r>
      <w:r w:rsidR="00AD380A">
        <w:t xml:space="preserve">waterbird </w:t>
      </w:r>
      <w:r>
        <w:t xml:space="preserve">ground counts were undertaken by NSW OEH in five wetland regions in NSW, including the </w:t>
      </w:r>
      <w:r w:rsidR="001C3C04">
        <w:t>lower</w:t>
      </w:r>
      <w:r>
        <w:t xml:space="preserve"> Gwydir (Spencer et al. 2014; NSW OEH 2014) for several years prior to the commencement of the LTIM project.  In the 2014-15 water year, monitoring for the LTIM project commenced which incorporated and expanded upon sites previously monitored in the NSW OEH program.</w:t>
      </w:r>
    </w:p>
    <w:p w:rsidR="0056539E" w:rsidRDefault="0056539E" w:rsidP="0056539E">
      <w:r>
        <w:t xml:space="preserve">In 2014-15 a total of 19 sites were surveyed in summer (December 2014) and autumn (March 2015) as part of the LTIM project.  These sites were located in the </w:t>
      </w:r>
      <w:r w:rsidR="001C3C04">
        <w:t>lower</w:t>
      </w:r>
      <w:r>
        <w:t xml:space="preserve"> Gwydir River and Gingham </w:t>
      </w:r>
      <w:r w:rsidR="001C3C04">
        <w:t>watercourse</w:t>
      </w:r>
      <w:r>
        <w:t xml:space="preserve"> monitoring zone and were surveyed in conjunction with NSW OEH staff using ground survey methods (Commonwealth of Australia 2014; </w:t>
      </w:r>
      <w:r w:rsidRPr="00711525">
        <w:t>Commonwealth of Australia 2015).</w:t>
      </w:r>
      <w:r>
        <w:t xml:space="preserve"> </w:t>
      </w:r>
    </w:p>
    <w:p w:rsidR="0056539E" w:rsidRDefault="0056539E" w:rsidP="009524AD">
      <w:r>
        <w:t xml:space="preserve">The results of previous monitoring indicated that waterbird abundance and diversity corresponded to habitat availability, with greater numbers of waterbirds observed in wetlands that were inundated either via environmental </w:t>
      </w:r>
      <w:r w:rsidR="00AD380A">
        <w:t>water</w:t>
      </w:r>
      <w:r>
        <w:t xml:space="preserve"> or from natural flooding (Commonwealth of Australia 2015).  In 2014-15</w:t>
      </w:r>
      <w:r w:rsidR="00AD380A">
        <w:t>,</w:t>
      </w:r>
      <w:r>
        <w:t xml:space="preserve"> 148 bird species, including 59 waterbird species were recorded in the Gingham and </w:t>
      </w:r>
      <w:r w:rsidR="001C3C04">
        <w:t>lower</w:t>
      </w:r>
      <w:r>
        <w:t xml:space="preserve"> Gwydir wetlands, including six waterbird species listed under one or more international migratory bird agreements (JAMBA, CAMBA and ROKAMBA) and two threatened species listed under the NSW TSC Act: brolga (</w:t>
      </w:r>
      <w:r>
        <w:rPr>
          <w:i/>
        </w:rPr>
        <w:t>Grus rubicunda)</w:t>
      </w:r>
      <w:r>
        <w:t xml:space="preserve"> and magpie goose (</w:t>
      </w:r>
      <w:r>
        <w:rPr>
          <w:i/>
        </w:rPr>
        <w:t>Anseranas semipalmata</w:t>
      </w:r>
      <w:r>
        <w:t xml:space="preserve">). </w:t>
      </w:r>
      <w:r w:rsidR="00A97349">
        <w:t xml:space="preserve"> </w:t>
      </w:r>
      <w:r>
        <w:t>Waterbird breeding was observed only during the March 2015 surveys and occurred at four sites (Bunnor Bird Hide, Gingham Waterhole, Wandoona Waterhole and Goddard’s Lease) (Commonwealth of Australia 2015).</w:t>
      </w:r>
    </w:p>
    <w:p w:rsidR="0056539E" w:rsidRDefault="0056539E" w:rsidP="00D65359">
      <w:pPr>
        <w:pStyle w:val="Heading7"/>
      </w:pPr>
      <w:r>
        <w:t>Methods</w:t>
      </w:r>
    </w:p>
    <w:p w:rsidR="0056539E" w:rsidRDefault="0056539E" w:rsidP="0056539E">
      <w:r>
        <w:t xml:space="preserve">A total of 29 sites were surveyed in both November 2015 and March 2016 encompassing </w:t>
      </w:r>
      <w:r w:rsidR="00121321">
        <w:t>creek</w:t>
      </w:r>
      <w:r>
        <w:t xml:space="preserve">, floodplain wetland and waterhole sites across the </w:t>
      </w:r>
      <w:r w:rsidR="001C3C04">
        <w:t>lower</w:t>
      </w:r>
      <w:r>
        <w:t xml:space="preserve"> Gwydir River and Gingham </w:t>
      </w:r>
      <w:r w:rsidR="001C3C04">
        <w:t>watercourse</w:t>
      </w:r>
      <w:r>
        <w:t>, and the Mehi River and Moomin Creek (</w:t>
      </w:r>
      <w:r>
        <w:fldChar w:fldCharType="begin"/>
      </w:r>
      <w:r>
        <w:instrText xml:space="preserve"> REF _Ref457564673 \h </w:instrText>
      </w:r>
      <w:r>
        <w:fldChar w:fldCharType="separate"/>
      </w:r>
      <w:r w:rsidR="005D5925">
        <w:t xml:space="preserve">Figure </w:t>
      </w:r>
      <w:r w:rsidR="005D5925">
        <w:rPr>
          <w:noProof/>
        </w:rPr>
        <w:t>K</w:t>
      </w:r>
      <w:r w:rsidR="005D5925">
        <w:noBreakHyphen/>
      </w:r>
      <w:r w:rsidR="005D5925">
        <w:rPr>
          <w:noProof/>
        </w:rPr>
        <w:t>1</w:t>
      </w:r>
      <w:r>
        <w:fldChar w:fldCharType="end"/>
      </w:r>
      <w:r>
        <w:t xml:space="preserve">; </w:t>
      </w:r>
      <w:r>
        <w:fldChar w:fldCharType="begin"/>
      </w:r>
      <w:r>
        <w:instrText xml:space="preserve"> REF _Ref457564679 \h </w:instrText>
      </w:r>
      <w:r>
        <w:fldChar w:fldCharType="separate"/>
      </w:r>
      <w:r w:rsidR="005D5925">
        <w:t xml:space="preserve">Figure </w:t>
      </w:r>
      <w:r w:rsidR="005D5925">
        <w:rPr>
          <w:noProof/>
        </w:rPr>
        <w:t>K</w:t>
      </w:r>
      <w:r w:rsidR="005D5925">
        <w:noBreakHyphen/>
      </w:r>
      <w:r w:rsidR="005D5925">
        <w:rPr>
          <w:noProof/>
        </w:rPr>
        <w:t>2</w:t>
      </w:r>
      <w:r>
        <w:fldChar w:fldCharType="end"/>
      </w:r>
      <w:r>
        <w:t xml:space="preserve"> </w:t>
      </w:r>
      <w:r>
        <w:fldChar w:fldCharType="begin"/>
      </w:r>
      <w:r>
        <w:instrText xml:space="preserve"> REF _Ref452987181 \h </w:instrText>
      </w:r>
      <w:r>
        <w:fldChar w:fldCharType="separate"/>
      </w:r>
      <w:r w:rsidR="005D5925">
        <w:t xml:space="preserve">Table </w:t>
      </w:r>
      <w:r w:rsidR="005D5925">
        <w:rPr>
          <w:noProof/>
        </w:rPr>
        <w:t>K</w:t>
      </w:r>
      <w:r w:rsidR="005D5925">
        <w:noBreakHyphen/>
      </w:r>
      <w:r w:rsidR="005D5925">
        <w:rPr>
          <w:noProof/>
        </w:rPr>
        <w:t>2</w:t>
      </w:r>
      <w:r>
        <w:fldChar w:fldCharType="end"/>
      </w:r>
      <w:r>
        <w:t xml:space="preserve">). </w:t>
      </w:r>
      <w:r w:rsidR="00A97349">
        <w:t xml:space="preserve"> </w:t>
      </w:r>
      <w:r>
        <w:t xml:space="preserve">While the majority of sites were consistent with those surveyed in 2014-15 water year, a review by OEH staff in 2016 resulted in some sites being combined to ensure statistical independence. </w:t>
      </w:r>
      <w:r w:rsidR="00A97349">
        <w:t xml:space="preserve"> </w:t>
      </w:r>
      <w:r>
        <w:t>Site area information was also reviewed and updated. 2014-15 data w</w:t>
      </w:r>
      <w:r w:rsidR="00AD380A">
        <w:t>ere</w:t>
      </w:r>
      <w:r>
        <w:t xml:space="preserve"> retrospectively updated to match new site parameters and to include sites in the Mehi River and Moomin Creek monitoring zone that were added to the LTIM program in 2015-16. </w:t>
      </w:r>
      <w:r w:rsidR="00A97349">
        <w:t xml:space="preserve"> </w:t>
      </w:r>
      <w:r>
        <w:t>Multi-year comparisons were conducted on these updated data.</w:t>
      </w:r>
    </w:p>
    <w:p w:rsidR="0056539E" w:rsidRDefault="0056539E" w:rsidP="0056539E">
      <w:pPr>
        <w:rPr>
          <w:szCs w:val="20"/>
        </w:rPr>
      </w:pPr>
      <w:r w:rsidRPr="004335CD">
        <w:rPr>
          <w:szCs w:val="20"/>
        </w:rPr>
        <w:t xml:space="preserve">Monitoring for this indicator was done in conjunction with staff from NSW OEH, using </w:t>
      </w:r>
      <w:r>
        <w:rPr>
          <w:szCs w:val="20"/>
        </w:rPr>
        <w:t>ground</w:t>
      </w:r>
      <w:r w:rsidRPr="004335CD">
        <w:rPr>
          <w:szCs w:val="20"/>
        </w:rPr>
        <w:t xml:space="preserve"> surveys (</w:t>
      </w:r>
      <w:r>
        <w:rPr>
          <w:szCs w:val="20"/>
        </w:rPr>
        <w:t>Commonwealth of Australia 2015</w:t>
      </w:r>
      <w:r w:rsidRPr="004335CD">
        <w:rPr>
          <w:szCs w:val="20"/>
        </w:rPr>
        <w:t xml:space="preserve">). </w:t>
      </w:r>
      <w:r w:rsidR="00A97349">
        <w:rPr>
          <w:szCs w:val="20"/>
        </w:rPr>
        <w:t xml:space="preserve"> </w:t>
      </w:r>
      <w:r>
        <w:rPr>
          <w:szCs w:val="20"/>
        </w:rPr>
        <w:t>Replicate surveys were undertaken in the morning and evening at each site, with several sites receiving three visits in order to capture a representative measure of waterbird species richness.  Surveys were conducted either as point or transect surveys.</w:t>
      </w:r>
    </w:p>
    <w:p w:rsidR="0056539E" w:rsidRDefault="0056539E" w:rsidP="0056539E">
      <w:pPr>
        <w:rPr>
          <w:szCs w:val="20"/>
        </w:rPr>
      </w:pPr>
      <w:r>
        <w:rPr>
          <w:szCs w:val="20"/>
        </w:rPr>
        <w:t xml:space="preserve">Point surveys involved </w:t>
      </w:r>
      <w:r w:rsidR="00AD380A">
        <w:rPr>
          <w:szCs w:val="20"/>
        </w:rPr>
        <w:t xml:space="preserve">surveying </w:t>
      </w:r>
      <w:r>
        <w:rPr>
          <w:szCs w:val="20"/>
        </w:rPr>
        <w:t xml:space="preserve">areas from one or more points located to cover the largest possible area of the survey site. </w:t>
      </w:r>
      <w:r w:rsidR="00A97349">
        <w:rPr>
          <w:szCs w:val="20"/>
        </w:rPr>
        <w:t xml:space="preserve"> </w:t>
      </w:r>
      <w:r>
        <w:rPr>
          <w:szCs w:val="20"/>
        </w:rPr>
        <w:t xml:space="preserve">Where multiple points were surveyed for a single site, these points were, as far as possible, out of sight from each other and focussed on different site sections.  Each point was surveyed for a minimum of 20 minutes and no more than an hour. </w:t>
      </w:r>
      <w:r w:rsidR="00A97349">
        <w:rPr>
          <w:szCs w:val="20"/>
        </w:rPr>
        <w:t xml:space="preserve"> </w:t>
      </w:r>
      <w:r>
        <w:rPr>
          <w:szCs w:val="20"/>
        </w:rPr>
        <w:t xml:space="preserve">At larger sites transect surveys were conducted along a pre-defined transect with fixed starting and finishing points where observers walked </w:t>
      </w:r>
      <w:proofErr w:type="gramStart"/>
      <w:r>
        <w:rPr>
          <w:szCs w:val="20"/>
        </w:rPr>
        <w:t>the transect</w:t>
      </w:r>
      <w:proofErr w:type="gramEnd"/>
      <w:r>
        <w:rPr>
          <w:szCs w:val="20"/>
        </w:rPr>
        <w:t xml:space="preserve"> for a minimum of 20 minutes but no more than one hour. </w:t>
      </w:r>
      <w:r w:rsidR="00A97349">
        <w:rPr>
          <w:szCs w:val="20"/>
        </w:rPr>
        <w:t xml:space="preserve"> </w:t>
      </w:r>
      <w:r>
        <w:rPr>
          <w:szCs w:val="20"/>
        </w:rPr>
        <w:t xml:space="preserve">Any species recorded </w:t>
      </w:r>
      <w:r w:rsidRPr="00603B31">
        <w:rPr>
          <w:i/>
          <w:szCs w:val="20"/>
        </w:rPr>
        <w:t>en route</w:t>
      </w:r>
      <w:r>
        <w:rPr>
          <w:szCs w:val="20"/>
        </w:rPr>
        <w:t xml:space="preserve"> to a site were recorded as incidental and, where spatially appropriate, these observations were included in the data for the nearest site.</w:t>
      </w:r>
    </w:p>
    <w:p w:rsidR="0056539E" w:rsidRDefault="0056539E" w:rsidP="0056539E">
      <w:pPr>
        <w:rPr>
          <w:szCs w:val="20"/>
        </w:rPr>
      </w:pPr>
      <w:r>
        <w:rPr>
          <w:szCs w:val="20"/>
        </w:rPr>
        <w:t xml:space="preserve">All species observed along with the maximum count of each species in any one replicate survey were used in the analysis. </w:t>
      </w:r>
      <w:r w:rsidR="00A97349">
        <w:rPr>
          <w:szCs w:val="20"/>
        </w:rPr>
        <w:t xml:space="preserve"> </w:t>
      </w:r>
      <w:r>
        <w:rPr>
          <w:szCs w:val="20"/>
        </w:rPr>
        <w:t>Site information including inundation percentage, vegetation type and cover and weather conditions were recorded for each replicate survey.</w:t>
      </w:r>
    </w:p>
    <w:p w:rsidR="0056539E" w:rsidRDefault="0056539E" w:rsidP="0056539E">
      <w:pPr>
        <w:sectPr w:rsidR="0056539E" w:rsidSect="00862795">
          <w:headerReference w:type="default" r:id="rId190"/>
          <w:footerReference w:type="default" r:id="rId191"/>
          <w:type w:val="nextColumn"/>
          <w:pgSz w:w="11899" w:h="16838"/>
          <w:pgMar w:top="1508" w:right="1219" w:bottom="1276" w:left="1480" w:header="811" w:footer="305" w:gutter="0"/>
          <w:pgNumType w:start="1" w:chapStyle="6"/>
          <w:cols w:space="708"/>
          <w:docGrid w:linePitch="360"/>
        </w:sectPr>
      </w:pPr>
      <w:r w:rsidRPr="004335CD">
        <w:t xml:space="preserve">Factorial regressions were undertaken </w:t>
      </w:r>
      <w:r>
        <w:t xml:space="preserve">using SYSTAT13 </w:t>
      </w:r>
      <w:r w:rsidRPr="004335CD">
        <w:t xml:space="preserve">on species </w:t>
      </w:r>
      <w:r>
        <w:t>richness</w:t>
      </w:r>
      <w:r w:rsidRPr="004335CD">
        <w:t xml:space="preserve">, </w:t>
      </w:r>
      <w:r>
        <w:t xml:space="preserve">waterbird abundance/ha </w:t>
      </w:r>
      <w:r w:rsidRPr="004335CD">
        <w:t xml:space="preserve">and waterbird functional guild data to compare between </w:t>
      </w:r>
      <w:r w:rsidR="00605C43">
        <w:t>system</w:t>
      </w:r>
      <w:r>
        <w:t xml:space="preserve">s, </w:t>
      </w:r>
      <w:r w:rsidRPr="004335CD">
        <w:t>survey times</w:t>
      </w:r>
      <w:r>
        <w:t>, site type</w:t>
      </w:r>
      <w:r w:rsidRPr="004335CD">
        <w:t xml:space="preserve"> and the presence of environmental water. </w:t>
      </w:r>
      <w:r w:rsidR="00A97349">
        <w:t xml:space="preserve"> </w:t>
      </w:r>
      <w:r w:rsidRPr="004335CD">
        <w:t xml:space="preserve">F-tests were used to test for equality of variances, and appropriate </w:t>
      </w:r>
      <w:r>
        <w:t>t</w:t>
      </w:r>
      <w:r w:rsidRPr="004335CD">
        <w:t>-</w:t>
      </w:r>
      <w:r>
        <w:t xml:space="preserve">tests were employed thereafter. </w:t>
      </w:r>
      <w:r w:rsidR="00A97349">
        <w:t xml:space="preserve"> </w:t>
      </w:r>
      <w:r>
        <w:t>The Shannon-Weiner function was calculated for each survey at each site and an evenness index (H</w:t>
      </w:r>
      <w:r>
        <w:rPr>
          <w:vertAlign w:val="subscript"/>
        </w:rPr>
        <w:t>E</w:t>
      </w:r>
      <w:r>
        <w:t xml:space="preserve">) derived from this. </w:t>
      </w:r>
      <w:r w:rsidR="00A97349">
        <w:t xml:space="preserve"> </w:t>
      </w:r>
      <w:r w:rsidRPr="00336D6C">
        <w:t xml:space="preserve">Multivariate nMDS analysis </w:t>
      </w:r>
      <w:r>
        <w:t xml:space="preserve">was </w:t>
      </w:r>
      <w:r w:rsidRPr="00336D6C">
        <w:t xml:space="preserve">undertaken </w:t>
      </w:r>
      <w:r>
        <w:t xml:space="preserve">on fourth root transformed data </w:t>
      </w:r>
      <w:r w:rsidRPr="00336D6C">
        <w:t>in PRIMER 6</w:t>
      </w:r>
      <w:r>
        <w:t xml:space="preserve"> </w:t>
      </w:r>
      <w:r w:rsidRPr="004335CD">
        <w:t xml:space="preserve">to </w:t>
      </w:r>
      <w:r>
        <w:t xml:space="preserve">analyse </w:t>
      </w:r>
      <w:r w:rsidRPr="004335CD">
        <w:t>patterns of bird community composition.</w:t>
      </w:r>
      <w:r>
        <w:t xml:space="preserve"> For this analysis sites which recorded fewer than two species were removed.</w:t>
      </w:r>
      <w:r w:rsidR="00A97349">
        <w:t xml:space="preserve"> </w:t>
      </w:r>
      <w:r w:rsidRPr="004335CD">
        <w:t xml:space="preserve"> P</w:t>
      </w:r>
      <w:r>
        <w:t>ERMANOVA</w:t>
      </w:r>
      <w:r w:rsidRPr="004335CD">
        <w:t xml:space="preserve"> tests were performed to compare between </w:t>
      </w:r>
      <w:r w:rsidR="00605C43">
        <w:t>system</w:t>
      </w:r>
      <w:r>
        <w:t xml:space="preserve">s, </w:t>
      </w:r>
      <w:r w:rsidRPr="004335CD">
        <w:t>s</w:t>
      </w:r>
      <w:r>
        <w:t xml:space="preserve">urvey time and the presence of water. </w:t>
      </w:r>
      <w:r w:rsidR="00A97349">
        <w:t xml:space="preserve"> </w:t>
      </w:r>
      <w:r>
        <w:t>SIMPER analysis was undertaken on functional guild data to determine guilds driving patterns in multi-year site type groupings.</w:t>
      </w:r>
    </w:p>
    <w:p w:rsidR="0056539E" w:rsidRDefault="004176FF" w:rsidP="00AD380A">
      <w:pPr>
        <w:keepNext/>
        <w:spacing w:line="240" w:lineRule="auto"/>
        <w:jc w:val="center"/>
      </w:pPr>
      <w:r w:rsidRPr="00CC18AA">
        <w:rPr>
          <w:noProof/>
          <w:sz w:val="16"/>
          <w:szCs w:val="16"/>
          <w:lang w:eastAsia="en-AU"/>
        </w:rPr>
        <w:drawing>
          <wp:inline distT="0" distB="0" distL="0" distR="0">
            <wp:extent cx="8029575" cy="5676900"/>
            <wp:effectExtent l="0" t="0" r="9525" b="0"/>
            <wp:docPr id="104"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92">
                      <a:extLst>
                        <a:ext uri="{28A0092B-C50C-407E-A947-70E740481C1C}">
                          <a14:useLocalDpi xmlns:a14="http://schemas.microsoft.com/office/drawing/2010/main"/>
                        </a:ext>
                      </a:extLst>
                    </a:blip>
                    <a:srcRect/>
                    <a:stretch>
                      <a:fillRect/>
                    </a:stretch>
                  </pic:blipFill>
                  <pic:spPr bwMode="auto">
                    <a:xfrm>
                      <a:off x="0" y="0"/>
                      <a:ext cx="8029575" cy="5676900"/>
                    </a:xfrm>
                    <a:prstGeom prst="rect">
                      <a:avLst/>
                    </a:prstGeom>
                    <a:noFill/>
                    <a:ln>
                      <a:noFill/>
                    </a:ln>
                  </pic:spPr>
                </pic:pic>
              </a:graphicData>
            </a:graphic>
          </wp:inline>
        </w:drawing>
      </w:r>
    </w:p>
    <w:p w:rsidR="0056539E" w:rsidRDefault="0056539E" w:rsidP="0056539E">
      <w:pPr>
        <w:pStyle w:val="Caption"/>
      </w:pPr>
      <w:bookmarkStart w:id="170" w:name="_Ref457564673"/>
      <w:r>
        <w:t xml:space="preserve">Figure </w:t>
      </w:r>
      <w:fldSimple w:instr=" STYLEREF 6 \s ">
        <w:r w:rsidR="00673DAF">
          <w:rPr>
            <w:noProof/>
          </w:rPr>
          <w:t>K</w:t>
        </w:r>
      </w:fldSimple>
      <w:r w:rsidR="00673DAF">
        <w:noBreakHyphen/>
      </w:r>
      <w:fldSimple w:instr=" SEQ Figure \* ARABIC \s 6 ">
        <w:r w:rsidR="00673DAF">
          <w:rPr>
            <w:noProof/>
          </w:rPr>
          <w:t>1</w:t>
        </w:r>
      </w:fldSimple>
      <w:bookmarkEnd w:id="170"/>
      <w:r>
        <w:rPr>
          <w:noProof/>
        </w:rPr>
        <w:t xml:space="preserve">: </w:t>
      </w:r>
      <w:r>
        <w:t xml:space="preserve"> Waterbird diversity monitoring sites within the </w:t>
      </w:r>
      <w:r w:rsidR="001C3C04">
        <w:t>lower</w:t>
      </w:r>
      <w:r>
        <w:t xml:space="preserve"> Gwydir and Gingham </w:t>
      </w:r>
      <w:r w:rsidR="001C3C04">
        <w:t>watercourse</w:t>
      </w:r>
      <w:r>
        <w:t xml:space="preserve"> monitoring zone</w:t>
      </w:r>
      <w:r w:rsidR="00AD380A">
        <w:t>.</w:t>
      </w:r>
    </w:p>
    <w:p w:rsidR="0056539E" w:rsidRDefault="004176FF" w:rsidP="00AD380A">
      <w:pPr>
        <w:keepNext/>
        <w:spacing w:line="240" w:lineRule="auto"/>
        <w:jc w:val="center"/>
      </w:pPr>
      <w:r w:rsidRPr="008F5E11">
        <w:rPr>
          <w:noProof/>
          <w:lang w:eastAsia="en-AU"/>
        </w:rPr>
        <w:drawing>
          <wp:inline distT="0" distB="0" distL="0" distR="0">
            <wp:extent cx="7962900" cy="5629275"/>
            <wp:effectExtent l="0" t="0" r="0" b="9525"/>
            <wp:docPr id="10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3">
                      <a:extLst>
                        <a:ext uri="{28A0092B-C50C-407E-A947-70E740481C1C}">
                          <a14:useLocalDpi xmlns:a14="http://schemas.microsoft.com/office/drawing/2010/main"/>
                        </a:ext>
                      </a:extLst>
                    </a:blip>
                    <a:srcRect/>
                    <a:stretch>
                      <a:fillRect/>
                    </a:stretch>
                  </pic:blipFill>
                  <pic:spPr bwMode="auto">
                    <a:xfrm>
                      <a:off x="0" y="0"/>
                      <a:ext cx="7962900" cy="5629275"/>
                    </a:xfrm>
                    <a:prstGeom prst="rect">
                      <a:avLst/>
                    </a:prstGeom>
                    <a:noFill/>
                    <a:ln>
                      <a:noFill/>
                    </a:ln>
                  </pic:spPr>
                </pic:pic>
              </a:graphicData>
            </a:graphic>
          </wp:inline>
        </w:drawing>
      </w:r>
    </w:p>
    <w:p w:rsidR="0056539E" w:rsidRDefault="0056539E" w:rsidP="0056539E">
      <w:pPr>
        <w:pStyle w:val="Caption"/>
      </w:pPr>
      <w:bookmarkStart w:id="171" w:name="_Ref457564679"/>
      <w:r>
        <w:t xml:space="preserve">Figure </w:t>
      </w:r>
      <w:fldSimple w:instr=" STYLEREF 6 \s ">
        <w:r w:rsidR="00673DAF">
          <w:rPr>
            <w:noProof/>
          </w:rPr>
          <w:t>K</w:t>
        </w:r>
      </w:fldSimple>
      <w:r w:rsidR="00673DAF">
        <w:noBreakHyphen/>
      </w:r>
      <w:fldSimple w:instr=" SEQ Figure \* ARABIC \s 6 ">
        <w:r w:rsidR="00673DAF">
          <w:rPr>
            <w:noProof/>
          </w:rPr>
          <w:t>2</w:t>
        </w:r>
      </w:fldSimple>
      <w:bookmarkEnd w:id="171"/>
      <w:r>
        <w:rPr>
          <w:noProof/>
        </w:rPr>
        <w:t xml:space="preserve">: </w:t>
      </w:r>
      <w:r>
        <w:t xml:space="preserve"> </w:t>
      </w:r>
      <w:r w:rsidRPr="00CF4DC1">
        <w:t>Waterbird diversity moni</w:t>
      </w:r>
      <w:r>
        <w:t>toring sites within the Mehi River and Mallowa Creek monitoring zone</w:t>
      </w:r>
      <w:r w:rsidR="00AD380A">
        <w:t>.</w:t>
      </w:r>
    </w:p>
    <w:p w:rsidR="001E44F6" w:rsidRPr="001E44F6" w:rsidRDefault="001E44F6" w:rsidP="001E44F6">
      <w:pPr>
        <w:sectPr w:rsidR="001E44F6" w:rsidRPr="001E44F6" w:rsidSect="00CD3111">
          <w:headerReference w:type="default" r:id="rId194"/>
          <w:footerReference w:type="default" r:id="rId195"/>
          <w:type w:val="nextColumn"/>
          <w:pgSz w:w="16838" w:h="11899" w:orient="landscape"/>
          <w:pgMar w:top="1276" w:right="1219" w:bottom="1134" w:left="1480" w:header="811" w:footer="305" w:gutter="0"/>
          <w:pgNumType w:chapStyle="6"/>
          <w:cols w:space="708"/>
          <w:docGrid w:linePitch="360"/>
        </w:sectPr>
      </w:pPr>
    </w:p>
    <w:p w:rsidR="0056539E" w:rsidRDefault="0056539E" w:rsidP="0056539E">
      <w:pPr>
        <w:pStyle w:val="Caption"/>
        <w:keepNext/>
      </w:pPr>
      <w:bookmarkStart w:id="172" w:name="_Ref452987181"/>
      <w:r>
        <w:t xml:space="preserve">Table </w:t>
      </w:r>
      <w:fldSimple w:instr=" STYLEREF 6 \s ">
        <w:r w:rsidR="005D5925">
          <w:rPr>
            <w:noProof/>
          </w:rPr>
          <w:t>K</w:t>
        </w:r>
      </w:fldSimple>
      <w:r w:rsidR="005D4453">
        <w:noBreakHyphen/>
      </w:r>
      <w:fldSimple w:instr=" SEQ Table \* ARABIC \s 6 ">
        <w:r w:rsidR="005D5925">
          <w:rPr>
            <w:noProof/>
          </w:rPr>
          <w:t>2</w:t>
        </w:r>
      </w:fldSimple>
      <w:bookmarkEnd w:id="172"/>
      <w:r>
        <w:rPr>
          <w:noProof/>
        </w:rPr>
        <w:t>:</w:t>
      </w:r>
      <w:r>
        <w:t xml:space="preserve"> </w:t>
      </w:r>
      <w:r w:rsidRPr="00EA0E52">
        <w:t>Location of waterbird survey sites within the Gwydir river system Selected Area</w:t>
      </w:r>
      <w:r>
        <w:t>. All co-ordinates reported in GDA94 zone 55.</w:t>
      </w:r>
    </w:p>
    <w:tbl>
      <w:tblPr>
        <w:tblW w:w="5000"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38"/>
        <w:gridCol w:w="973"/>
        <w:gridCol w:w="2164"/>
        <w:gridCol w:w="1777"/>
        <w:gridCol w:w="1018"/>
        <w:gridCol w:w="968"/>
        <w:gridCol w:w="1062"/>
      </w:tblGrid>
      <w:tr w:rsidR="0056539E" w:rsidRPr="00862795" w:rsidTr="00673DAF">
        <w:trPr>
          <w:trHeight w:val="600"/>
          <w:tblHeader/>
        </w:trPr>
        <w:tc>
          <w:tcPr>
            <w:tcW w:w="673" w:type="pct"/>
            <w:shd w:val="clear" w:color="auto" w:fill="D9D9D9"/>
            <w:vAlign w:val="center"/>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Monitoring Zone</w:t>
            </w:r>
          </w:p>
        </w:tc>
        <w:tc>
          <w:tcPr>
            <w:tcW w:w="529" w:type="pct"/>
            <w:shd w:val="clear" w:color="auto" w:fill="D9D9D9"/>
            <w:vAlign w:val="center"/>
            <w:hideMark/>
          </w:tcPr>
          <w:p w:rsidR="0056539E" w:rsidRPr="00862795" w:rsidRDefault="00605C43" w:rsidP="00862795">
            <w:pPr>
              <w:spacing w:before="60" w:after="60"/>
              <w:jc w:val="center"/>
              <w:rPr>
                <w:rFonts w:cs="Arial"/>
                <w:color w:val="000000"/>
                <w:szCs w:val="20"/>
                <w:lang w:val="en-US"/>
              </w:rPr>
            </w:pPr>
            <w:r w:rsidRPr="00862795">
              <w:rPr>
                <w:rFonts w:cs="Arial"/>
                <w:color w:val="000000"/>
                <w:szCs w:val="20"/>
                <w:lang w:val="en-US"/>
              </w:rPr>
              <w:t>System</w:t>
            </w:r>
          </w:p>
        </w:tc>
        <w:tc>
          <w:tcPr>
            <w:tcW w:w="1176" w:type="pct"/>
            <w:shd w:val="clear" w:color="auto" w:fill="D9D9D9"/>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Site Name</w:t>
            </w:r>
          </w:p>
        </w:tc>
        <w:tc>
          <w:tcPr>
            <w:tcW w:w="966" w:type="pct"/>
            <w:shd w:val="clear" w:color="auto" w:fill="D9D9D9"/>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Site</w:t>
            </w:r>
            <w:r w:rsidR="00862795">
              <w:rPr>
                <w:rFonts w:cs="Arial"/>
                <w:color w:val="000000"/>
                <w:szCs w:val="20"/>
                <w:lang w:val="en-US"/>
              </w:rPr>
              <w:t xml:space="preserve"> </w:t>
            </w:r>
            <w:r w:rsidRPr="00862795">
              <w:rPr>
                <w:rFonts w:cs="Arial"/>
                <w:color w:val="000000"/>
                <w:szCs w:val="20"/>
                <w:lang w:val="en-US"/>
              </w:rPr>
              <w:t>Type</w:t>
            </w:r>
          </w:p>
        </w:tc>
        <w:tc>
          <w:tcPr>
            <w:tcW w:w="553" w:type="pct"/>
            <w:shd w:val="clear" w:color="auto" w:fill="D9D9D9"/>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Survey Type</w:t>
            </w:r>
          </w:p>
        </w:tc>
        <w:tc>
          <w:tcPr>
            <w:tcW w:w="526" w:type="pct"/>
            <w:shd w:val="clear" w:color="auto" w:fill="D9D9D9"/>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Easting</w:t>
            </w:r>
          </w:p>
        </w:tc>
        <w:tc>
          <w:tcPr>
            <w:tcW w:w="577" w:type="pct"/>
            <w:shd w:val="clear" w:color="auto" w:fill="D9D9D9"/>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Northing</w:t>
            </w:r>
          </w:p>
        </w:tc>
      </w:tr>
      <w:tr w:rsidR="0056539E" w:rsidRPr="00862795" w:rsidTr="00673DAF">
        <w:trPr>
          <w:trHeight w:val="255"/>
        </w:trPr>
        <w:tc>
          <w:tcPr>
            <w:tcW w:w="673" w:type="pct"/>
            <w:vMerge w:val="restart"/>
            <w:vAlign w:val="center"/>
          </w:tcPr>
          <w:p w:rsidR="0056539E" w:rsidRPr="00862795" w:rsidRDefault="001C3C04" w:rsidP="00862795">
            <w:pPr>
              <w:spacing w:before="60" w:after="60"/>
              <w:jc w:val="center"/>
              <w:rPr>
                <w:rFonts w:cs="Arial"/>
                <w:color w:val="000000"/>
                <w:szCs w:val="20"/>
                <w:lang w:val="en-US"/>
              </w:rPr>
            </w:pPr>
            <w:r w:rsidRPr="00862795">
              <w:rPr>
                <w:rFonts w:cs="Arial"/>
                <w:color w:val="000000"/>
                <w:szCs w:val="20"/>
                <w:lang w:val="en-US"/>
              </w:rPr>
              <w:t>lower</w:t>
            </w:r>
            <w:r w:rsidR="0056539E" w:rsidRPr="00862795">
              <w:rPr>
                <w:rFonts w:cs="Arial"/>
                <w:color w:val="000000"/>
                <w:szCs w:val="20"/>
                <w:lang w:val="en-US"/>
              </w:rPr>
              <w:t xml:space="preserve"> Gwydir River and Gingham </w:t>
            </w:r>
            <w:r w:rsidRPr="00862795">
              <w:rPr>
                <w:rFonts w:cs="Arial"/>
                <w:color w:val="000000"/>
                <w:szCs w:val="20"/>
                <w:lang w:val="en-US"/>
              </w:rPr>
              <w:t>watercourse</w:t>
            </w:r>
          </w:p>
        </w:tc>
        <w:tc>
          <w:tcPr>
            <w:tcW w:w="529" w:type="pct"/>
            <w:vMerge w:val="restart"/>
            <w:shd w:val="clear" w:color="auto" w:fill="auto"/>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Gingham</w:t>
            </w:r>
          </w:p>
        </w:tc>
        <w:tc>
          <w:tcPr>
            <w:tcW w:w="117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Baroona Waterhole</w:t>
            </w:r>
          </w:p>
        </w:tc>
        <w:tc>
          <w:tcPr>
            <w:tcW w:w="96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Waterhole</w:t>
            </w:r>
          </w:p>
        </w:tc>
        <w:tc>
          <w:tcPr>
            <w:tcW w:w="553"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Point</w:t>
            </w:r>
          </w:p>
        </w:tc>
        <w:tc>
          <w:tcPr>
            <w:tcW w:w="526"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739764</w:t>
            </w:r>
          </w:p>
        </w:tc>
        <w:tc>
          <w:tcPr>
            <w:tcW w:w="577"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6762643</w:t>
            </w:r>
          </w:p>
        </w:tc>
      </w:tr>
      <w:tr w:rsidR="0056539E" w:rsidRPr="00862795" w:rsidTr="00673DAF">
        <w:trPr>
          <w:trHeight w:val="255"/>
        </w:trPr>
        <w:tc>
          <w:tcPr>
            <w:tcW w:w="673" w:type="pct"/>
            <w:vMerge/>
          </w:tcPr>
          <w:p w:rsidR="0056539E" w:rsidRPr="00862795" w:rsidRDefault="0056539E" w:rsidP="00862795">
            <w:pPr>
              <w:spacing w:before="60" w:after="60"/>
              <w:jc w:val="left"/>
              <w:rPr>
                <w:rFonts w:cs="Arial"/>
                <w:color w:val="000000"/>
                <w:szCs w:val="20"/>
                <w:lang w:val="en-US"/>
              </w:rPr>
            </w:pPr>
          </w:p>
        </w:tc>
        <w:tc>
          <w:tcPr>
            <w:tcW w:w="529" w:type="pct"/>
            <w:vMerge/>
            <w:vAlign w:val="center"/>
            <w:hideMark/>
          </w:tcPr>
          <w:p w:rsidR="0056539E" w:rsidRPr="00862795" w:rsidRDefault="0056539E" w:rsidP="00862795">
            <w:pPr>
              <w:spacing w:before="60" w:after="60"/>
              <w:jc w:val="center"/>
              <w:rPr>
                <w:rFonts w:cs="Arial"/>
                <w:color w:val="000000"/>
                <w:szCs w:val="20"/>
                <w:lang w:val="en-US"/>
              </w:rPr>
            </w:pPr>
          </w:p>
        </w:tc>
        <w:tc>
          <w:tcPr>
            <w:tcW w:w="117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Boyanga Waterhole</w:t>
            </w:r>
          </w:p>
        </w:tc>
        <w:tc>
          <w:tcPr>
            <w:tcW w:w="96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Waterhole</w:t>
            </w:r>
          </w:p>
        </w:tc>
        <w:tc>
          <w:tcPr>
            <w:tcW w:w="553"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Point</w:t>
            </w:r>
          </w:p>
        </w:tc>
        <w:tc>
          <w:tcPr>
            <w:tcW w:w="526"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718064</w:t>
            </w:r>
          </w:p>
        </w:tc>
        <w:tc>
          <w:tcPr>
            <w:tcW w:w="577"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6766759</w:t>
            </w:r>
          </w:p>
        </w:tc>
      </w:tr>
      <w:tr w:rsidR="0056539E" w:rsidRPr="00862795" w:rsidTr="00673DAF">
        <w:trPr>
          <w:trHeight w:val="255"/>
        </w:trPr>
        <w:tc>
          <w:tcPr>
            <w:tcW w:w="673" w:type="pct"/>
            <w:vMerge/>
          </w:tcPr>
          <w:p w:rsidR="0056539E" w:rsidRPr="00862795" w:rsidRDefault="0056539E" w:rsidP="00862795">
            <w:pPr>
              <w:spacing w:before="60" w:after="60"/>
              <w:jc w:val="left"/>
              <w:rPr>
                <w:rFonts w:cs="Arial"/>
                <w:color w:val="000000"/>
                <w:szCs w:val="20"/>
                <w:lang w:val="en-US"/>
              </w:rPr>
            </w:pPr>
          </w:p>
        </w:tc>
        <w:tc>
          <w:tcPr>
            <w:tcW w:w="529" w:type="pct"/>
            <w:vMerge/>
            <w:vAlign w:val="center"/>
            <w:hideMark/>
          </w:tcPr>
          <w:p w:rsidR="0056539E" w:rsidRPr="00862795" w:rsidRDefault="0056539E" w:rsidP="00862795">
            <w:pPr>
              <w:spacing w:before="60" w:after="60"/>
              <w:jc w:val="center"/>
              <w:rPr>
                <w:rFonts w:cs="Arial"/>
                <w:color w:val="000000"/>
                <w:szCs w:val="20"/>
                <w:lang w:val="en-US"/>
              </w:rPr>
            </w:pPr>
          </w:p>
        </w:tc>
        <w:tc>
          <w:tcPr>
            <w:tcW w:w="117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Bunnor Bird Hide</w:t>
            </w:r>
          </w:p>
        </w:tc>
        <w:tc>
          <w:tcPr>
            <w:tcW w:w="96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Floodplain wetland</w:t>
            </w:r>
          </w:p>
        </w:tc>
        <w:tc>
          <w:tcPr>
            <w:tcW w:w="553"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Point</w:t>
            </w:r>
          </w:p>
        </w:tc>
        <w:tc>
          <w:tcPr>
            <w:tcW w:w="526"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731404</w:t>
            </w:r>
          </w:p>
        </w:tc>
        <w:tc>
          <w:tcPr>
            <w:tcW w:w="577"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6759072</w:t>
            </w:r>
          </w:p>
        </w:tc>
      </w:tr>
      <w:tr w:rsidR="0056539E" w:rsidRPr="00862795" w:rsidTr="00673DAF">
        <w:trPr>
          <w:trHeight w:val="255"/>
        </w:trPr>
        <w:tc>
          <w:tcPr>
            <w:tcW w:w="673" w:type="pct"/>
            <w:vMerge/>
          </w:tcPr>
          <w:p w:rsidR="0056539E" w:rsidRPr="00862795" w:rsidRDefault="0056539E" w:rsidP="00862795">
            <w:pPr>
              <w:spacing w:before="60" w:after="60"/>
              <w:jc w:val="left"/>
              <w:rPr>
                <w:rFonts w:cs="Arial"/>
                <w:color w:val="000000"/>
                <w:szCs w:val="20"/>
                <w:lang w:val="en-US"/>
              </w:rPr>
            </w:pPr>
          </w:p>
        </w:tc>
        <w:tc>
          <w:tcPr>
            <w:tcW w:w="529" w:type="pct"/>
            <w:vMerge/>
            <w:vAlign w:val="center"/>
            <w:hideMark/>
          </w:tcPr>
          <w:p w:rsidR="0056539E" w:rsidRPr="00862795" w:rsidRDefault="0056539E" w:rsidP="00862795">
            <w:pPr>
              <w:spacing w:before="60" w:after="60"/>
              <w:jc w:val="center"/>
              <w:rPr>
                <w:rFonts w:cs="Arial"/>
                <w:color w:val="000000"/>
                <w:szCs w:val="20"/>
                <w:lang w:val="en-US"/>
              </w:rPr>
            </w:pPr>
          </w:p>
        </w:tc>
        <w:tc>
          <w:tcPr>
            <w:tcW w:w="117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Three Corners Wetland</w:t>
            </w:r>
          </w:p>
        </w:tc>
        <w:tc>
          <w:tcPr>
            <w:tcW w:w="96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Floodplain wetland</w:t>
            </w:r>
          </w:p>
        </w:tc>
        <w:tc>
          <w:tcPr>
            <w:tcW w:w="553"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Point</w:t>
            </w:r>
          </w:p>
        </w:tc>
        <w:tc>
          <w:tcPr>
            <w:tcW w:w="526"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714691</w:t>
            </w:r>
          </w:p>
        </w:tc>
        <w:tc>
          <w:tcPr>
            <w:tcW w:w="577"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6767141</w:t>
            </w:r>
          </w:p>
        </w:tc>
      </w:tr>
      <w:tr w:rsidR="0056539E" w:rsidRPr="00862795" w:rsidTr="00673DAF">
        <w:trPr>
          <w:trHeight w:val="255"/>
        </w:trPr>
        <w:tc>
          <w:tcPr>
            <w:tcW w:w="673" w:type="pct"/>
            <w:vMerge/>
          </w:tcPr>
          <w:p w:rsidR="0056539E" w:rsidRPr="00862795" w:rsidRDefault="0056539E" w:rsidP="00862795">
            <w:pPr>
              <w:spacing w:before="60" w:after="60"/>
              <w:jc w:val="left"/>
              <w:rPr>
                <w:rFonts w:cs="Arial"/>
                <w:color w:val="000000"/>
                <w:szCs w:val="20"/>
                <w:lang w:val="en-US"/>
              </w:rPr>
            </w:pPr>
          </w:p>
        </w:tc>
        <w:tc>
          <w:tcPr>
            <w:tcW w:w="529" w:type="pct"/>
            <w:vMerge/>
            <w:vAlign w:val="center"/>
            <w:hideMark/>
          </w:tcPr>
          <w:p w:rsidR="0056539E" w:rsidRPr="00862795" w:rsidRDefault="0056539E" w:rsidP="00862795">
            <w:pPr>
              <w:spacing w:before="60" w:after="60"/>
              <w:jc w:val="center"/>
              <w:rPr>
                <w:rFonts w:cs="Arial"/>
                <w:color w:val="000000"/>
                <w:szCs w:val="20"/>
                <w:lang w:val="en-US"/>
              </w:rPr>
            </w:pPr>
          </w:p>
        </w:tc>
        <w:tc>
          <w:tcPr>
            <w:tcW w:w="117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Gingham Bridge</w:t>
            </w:r>
          </w:p>
        </w:tc>
        <w:tc>
          <w:tcPr>
            <w:tcW w:w="96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Creek</w:t>
            </w:r>
          </w:p>
        </w:tc>
        <w:tc>
          <w:tcPr>
            <w:tcW w:w="553"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Point</w:t>
            </w:r>
          </w:p>
        </w:tc>
        <w:tc>
          <w:tcPr>
            <w:tcW w:w="526"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720478</w:t>
            </w:r>
          </w:p>
        </w:tc>
        <w:tc>
          <w:tcPr>
            <w:tcW w:w="577"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6765167</w:t>
            </w:r>
          </w:p>
        </w:tc>
      </w:tr>
      <w:tr w:rsidR="0056539E" w:rsidRPr="00862795" w:rsidTr="00673DAF">
        <w:trPr>
          <w:trHeight w:val="255"/>
        </w:trPr>
        <w:tc>
          <w:tcPr>
            <w:tcW w:w="673" w:type="pct"/>
            <w:vMerge/>
          </w:tcPr>
          <w:p w:rsidR="0056539E" w:rsidRPr="00862795" w:rsidRDefault="0056539E" w:rsidP="00862795">
            <w:pPr>
              <w:spacing w:before="60" w:after="60"/>
              <w:jc w:val="left"/>
              <w:rPr>
                <w:rFonts w:cs="Arial"/>
                <w:color w:val="000000"/>
                <w:szCs w:val="20"/>
                <w:lang w:val="en-US"/>
              </w:rPr>
            </w:pPr>
          </w:p>
        </w:tc>
        <w:tc>
          <w:tcPr>
            <w:tcW w:w="529" w:type="pct"/>
            <w:vMerge/>
            <w:vAlign w:val="center"/>
            <w:hideMark/>
          </w:tcPr>
          <w:p w:rsidR="0056539E" w:rsidRPr="00862795" w:rsidRDefault="0056539E" w:rsidP="00862795">
            <w:pPr>
              <w:spacing w:before="60" w:after="60"/>
              <w:jc w:val="center"/>
              <w:rPr>
                <w:rFonts w:cs="Arial"/>
                <w:color w:val="000000"/>
                <w:szCs w:val="20"/>
                <w:lang w:val="en-US"/>
              </w:rPr>
            </w:pPr>
          </w:p>
        </w:tc>
        <w:tc>
          <w:tcPr>
            <w:tcW w:w="117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Gingham Waterhole</w:t>
            </w:r>
          </w:p>
        </w:tc>
        <w:tc>
          <w:tcPr>
            <w:tcW w:w="96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Waterhole</w:t>
            </w:r>
          </w:p>
        </w:tc>
        <w:tc>
          <w:tcPr>
            <w:tcW w:w="553"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Point</w:t>
            </w:r>
          </w:p>
        </w:tc>
        <w:tc>
          <w:tcPr>
            <w:tcW w:w="526"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722914</w:t>
            </w:r>
          </w:p>
        </w:tc>
        <w:tc>
          <w:tcPr>
            <w:tcW w:w="577"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6764380</w:t>
            </w:r>
          </w:p>
        </w:tc>
      </w:tr>
      <w:tr w:rsidR="0056539E" w:rsidRPr="00862795" w:rsidTr="00673DAF">
        <w:trPr>
          <w:trHeight w:val="255"/>
        </w:trPr>
        <w:tc>
          <w:tcPr>
            <w:tcW w:w="673" w:type="pct"/>
            <w:vMerge/>
          </w:tcPr>
          <w:p w:rsidR="0056539E" w:rsidRPr="00862795" w:rsidRDefault="0056539E" w:rsidP="00862795">
            <w:pPr>
              <w:spacing w:before="60" w:after="60"/>
              <w:jc w:val="left"/>
              <w:rPr>
                <w:rFonts w:cs="Arial"/>
                <w:color w:val="000000"/>
                <w:szCs w:val="20"/>
                <w:lang w:val="en-US"/>
              </w:rPr>
            </w:pPr>
          </w:p>
        </w:tc>
        <w:tc>
          <w:tcPr>
            <w:tcW w:w="529" w:type="pct"/>
            <w:vMerge/>
            <w:vAlign w:val="center"/>
            <w:hideMark/>
          </w:tcPr>
          <w:p w:rsidR="0056539E" w:rsidRPr="00862795" w:rsidRDefault="0056539E" w:rsidP="00862795">
            <w:pPr>
              <w:spacing w:before="60" w:after="60"/>
              <w:jc w:val="center"/>
              <w:rPr>
                <w:rFonts w:cs="Arial"/>
                <w:color w:val="000000"/>
                <w:szCs w:val="20"/>
                <w:lang w:val="en-US"/>
              </w:rPr>
            </w:pPr>
          </w:p>
        </w:tc>
        <w:tc>
          <w:tcPr>
            <w:tcW w:w="117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Goddard's Lease</w:t>
            </w:r>
          </w:p>
        </w:tc>
        <w:tc>
          <w:tcPr>
            <w:tcW w:w="96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Floodplain wetland</w:t>
            </w:r>
          </w:p>
        </w:tc>
        <w:tc>
          <w:tcPr>
            <w:tcW w:w="553"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Point</w:t>
            </w:r>
          </w:p>
        </w:tc>
        <w:tc>
          <w:tcPr>
            <w:tcW w:w="526"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731755</w:t>
            </w:r>
          </w:p>
        </w:tc>
        <w:tc>
          <w:tcPr>
            <w:tcW w:w="577"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6761058</w:t>
            </w:r>
          </w:p>
        </w:tc>
      </w:tr>
      <w:tr w:rsidR="0056539E" w:rsidRPr="00862795" w:rsidTr="00673DAF">
        <w:trPr>
          <w:trHeight w:val="255"/>
        </w:trPr>
        <w:tc>
          <w:tcPr>
            <w:tcW w:w="673" w:type="pct"/>
            <w:vMerge/>
          </w:tcPr>
          <w:p w:rsidR="0056539E" w:rsidRPr="00862795" w:rsidRDefault="0056539E" w:rsidP="00862795">
            <w:pPr>
              <w:spacing w:before="60" w:after="60"/>
              <w:jc w:val="left"/>
              <w:rPr>
                <w:rFonts w:cs="Arial"/>
                <w:color w:val="000000"/>
                <w:szCs w:val="20"/>
                <w:lang w:val="en-US"/>
              </w:rPr>
            </w:pPr>
          </w:p>
        </w:tc>
        <w:tc>
          <w:tcPr>
            <w:tcW w:w="529" w:type="pct"/>
            <w:vMerge/>
            <w:vAlign w:val="center"/>
            <w:hideMark/>
          </w:tcPr>
          <w:p w:rsidR="0056539E" w:rsidRPr="00862795" w:rsidRDefault="0056539E" w:rsidP="00862795">
            <w:pPr>
              <w:spacing w:before="60" w:after="60"/>
              <w:jc w:val="center"/>
              <w:rPr>
                <w:rFonts w:cs="Arial"/>
                <w:color w:val="000000"/>
                <w:szCs w:val="20"/>
                <w:lang w:val="en-US"/>
              </w:rPr>
            </w:pPr>
          </w:p>
        </w:tc>
        <w:tc>
          <w:tcPr>
            <w:tcW w:w="117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Jackson Paddock</w:t>
            </w:r>
          </w:p>
        </w:tc>
        <w:tc>
          <w:tcPr>
            <w:tcW w:w="96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Floodplain wetland</w:t>
            </w:r>
          </w:p>
        </w:tc>
        <w:tc>
          <w:tcPr>
            <w:tcW w:w="553"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Transect</w:t>
            </w:r>
          </w:p>
        </w:tc>
        <w:tc>
          <w:tcPr>
            <w:tcW w:w="526"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746285</w:t>
            </w:r>
          </w:p>
        </w:tc>
        <w:tc>
          <w:tcPr>
            <w:tcW w:w="577"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6752845</w:t>
            </w:r>
          </w:p>
        </w:tc>
      </w:tr>
      <w:tr w:rsidR="0056539E" w:rsidRPr="00862795" w:rsidTr="00673DAF">
        <w:trPr>
          <w:trHeight w:val="255"/>
        </w:trPr>
        <w:tc>
          <w:tcPr>
            <w:tcW w:w="673" w:type="pct"/>
            <w:vMerge/>
          </w:tcPr>
          <w:p w:rsidR="0056539E" w:rsidRPr="00862795" w:rsidRDefault="0056539E" w:rsidP="00862795">
            <w:pPr>
              <w:spacing w:before="60" w:after="60"/>
              <w:jc w:val="left"/>
              <w:rPr>
                <w:rFonts w:cs="Arial"/>
                <w:color w:val="000000"/>
                <w:szCs w:val="20"/>
                <w:lang w:val="en-US"/>
              </w:rPr>
            </w:pPr>
          </w:p>
        </w:tc>
        <w:tc>
          <w:tcPr>
            <w:tcW w:w="529" w:type="pct"/>
            <w:vMerge/>
            <w:vAlign w:val="center"/>
            <w:hideMark/>
          </w:tcPr>
          <w:p w:rsidR="0056539E" w:rsidRPr="00862795" w:rsidRDefault="0056539E" w:rsidP="00862795">
            <w:pPr>
              <w:spacing w:before="60" w:after="60"/>
              <w:jc w:val="center"/>
              <w:rPr>
                <w:rFonts w:cs="Arial"/>
                <w:color w:val="000000"/>
                <w:szCs w:val="20"/>
                <w:lang w:val="en-US"/>
              </w:rPr>
            </w:pPr>
          </w:p>
        </w:tc>
        <w:tc>
          <w:tcPr>
            <w:tcW w:w="117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 xml:space="preserve">Lynworth </w:t>
            </w:r>
          </w:p>
        </w:tc>
        <w:tc>
          <w:tcPr>
            <w:tcW w:w="96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Floodplain wetland</w:t>
            </w:r>
          </w:p>
        </w:tc>
        <w:tc>
          <w:tcPr>
            <w:tcW w:w="553"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Transect</w:t>
            </w:r>
          </w:p>
        </w:tc>
        <w:tc>
          <w:tcPr>
            <w:tcW w:w="526"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728151</w:t>
            </w:r>
          </w:p>
        </w:tc>
        <w:tc>
          <w:tcPr>
            <w:tcW w:w="577"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6762769</w:t>
            </w:r>
          </w:p>
        </w:tc>
      </w:tr>
      <w:tr w:rsidR="0056539E" w:rsidRPr="00862795" w:rsidTr="00673DAF">
        <w:trPr>
          <w:trHeight w:val="255"/>
        </w:trPr>
        <w:tc>
          <w:tcPr>
            <w:tcW w:w="673" w:type="pct"/>
            <w:vMerge/>
          </w:tcPr>
          <w:p w:rsidR="0056539E" w:rsidRPr="00862795" w:rsidRDefault="0056539E" w:rsidP="00862795">
            <w:pPr>
              <w:spacing w:before="60" w:after="60"/>
              <w:jc w:val="left"/>
              <w:rPr>
                <w:rFonts w:cs="Arial"/>
                <w:color w:val="000000"/>
                <w:szCs w:val="20"/>
                <w:lang w:val="en-US"/>
              </w:rPr>
            </w:pPr>
          </w:p>
        </w:tc>
        <w:tc>
          <w:tcPr>
            <w:tcW w:w="529" w:type="pct"/>
            <w:vMerge/>
            <w:vAlign w:val="center"/>
            <w:hideMark/>
          </w:tcPr>
          <w:p w:rsidR="0056539E" w:rsidRPr="00862795" w:rsidRDefault="0056539E" w:rsidP="00862795">
            <w:pPr>
              <w:spacing w:before="60" w:after="60"/>
              <w:jc w:val="center"/>
              <w:rPr>
                <w:rFonts w:cs="Arial"/>
                <w:color w:val="000000"/>
                <w:szCs w:val="20"/>
                <w:lang w:val="en-US"/>
              </w:rPr>
            </w:pPr>
          </w:p>
        </w:tc>
        <w:tc>
          <w:tcPr>
            <w:tcW w:w="117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Racecourse Lagoon</w:t>
            </w:r>
          </w:p>
        </w:tc>
        <w:tc>
          <w:tcPr>
            <w:tcW w:w="96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Waterhole</w:t>
            </w:r>
          </w:p>
        </w:tc>
        <w:tc>
          <w:tcPr>
            <w:tcW w:w="553"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Point</w:t>
            </w:r>
          </w:p>
        </w:tc>
        <w:tc>
          <w:tcPr>
            <w:tcW w:w="526"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720813</w:t>
            </w:r>
          </w:p>
        </w:tc>
        <w:tc>
          <w:tcPr>
            <w:tcW w:w="577"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6763103</w:t>
            </w:r>
          </w:p>
        </w:tc>
      </w:tr>
      <w:tr w:rsidR="0056539E" w:rsidRPr="00862795" w:rsidTr="00673DAF">
        <w:trPr>
          <w:trHeight w:val="255"/>
        </w:trPr>
        <w:tc>
          <w:tcPr>
            <w:tcW w:w="673" w:type="pct"/>
            <w:vMerge/>
          </w:tcPr>
          <w:p w:rsidR="0056539E" w:rsidRPr="00862795" w:rsidRDefault="0056539E" w:rsidP="00862795">
            <w:pPr>
              <w:spacing w:before="60" w:after="60"/>
              <w:jc w:val="left"/>
              <w:rPr>
                <w:rFonts w:cs="Arial"/>
                <w:color w:val="000000"/>
                <w:szCs w:val="20"/>
                <w:lang w:val="en-US"/>
              </w:rPr>
            </w:pPr>
          </w:p>
        </w:tc>
        <w:tc>
          <w:tcPr>
            <w:tcW w:w="529" w:type="pct"/>
            <w:vMerge/>
            <w:vAlign w:val="center"/>
            <w:hideMark/>
          </w:tcPr>
          <w:p w:rsidR="0056539E" w:rsidRPr="00862795" w:rsidRDefault="0056539E" w:rsidP="00862795">
            <w:pPr>
              <w:spacing w:before="60" w:after="60"/>
              <w:jc w:val="center"/>
              <w:rPr>
                <w:rFonts w:cs="Arial"/>
                <w:color w:val="000000"/>
                <w:szCs w:val="20"/>
                <w:lang w:val="en-US"/>
              </w:rPr>
            </w:pPr>
          </w:p>
        </w:tc>
        <w:tc>
          <w:tcPr>
            <w:tcW w:w="117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Talmoi Waterhole</w:t>
            </w:r>
          </w:p>
        </w:tc>
        <w:tc>
          <w:tcPr>
            <w:tcW w:w="96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Waterhole</w:t>
            </w:r>
          </w:p>
        </w:tc>
        <w:tc>
          <w:tcPr>
            <w:tcW w:w="553"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Point</w:t>
            </w:r>
          </w:p>
        </w:tc>
        <w:tc>
          <w:tcPr>
            <w:tcW w:w="526"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746631</w:t>
            </w:r>
          </w:p>
        </w:tc>
        <w:tc>
          <w:tcPr>
            <w:tcW w:w="577"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6760958</w:t>
            </w:r>
          </w:p>
        </w:tc>
      </w:tr>
      <w:tr w:rsidR="0056539E" w:rsidRPr="00862795" w:rsidTr="00673DAF">
        <w:trPr>
          <w:trHeight w:val="255"/>
        </w:trPr>
        <w:tc>
          <w:tcPr>
            <w:tcW w:w="673" w:type="pct"/>
            <w:vMerge/>
          </w:tcPr>
          <w:p w:rsidR="0056539E" w:rsidRPr="00862795" w:rsidRDefault="0056539E" w:rsidP="00862795">
            <w:pPr>
              <w:spacing w:before="60" w:after="60"/>
              <w:jc w:val="left"/>
              <w:rPr>
                <w:rFonts w:cs="Arial"/>
                <w:color w:val="000000"/>
                <w:szCs w:val="20"/>
                <w:lang w:val="en-US"/>
              </w:rPr>
            </w:pPr>
          </w:p>
        </w:tc>
        <w:tc>
          <w:tcPr>
            <w:tcW w:w="529" w:type="pct"/>
            <w:vMerge/>
            <w:vAlign w:val="center"/>
            <w:hideMark/>
          </w:tcPr>
          <w:p w:rsidR="0056539E" w:rsidRPr="00862795" w:rsidRDefault="0056539E" w:rsidP="00862795">
            <w:pPr>
              <w:spacing w:before="60" w:after="60"/>
              <w:jc w:val="center"/>
              <w:rPr>
                <w:rFonts w:cs="Arial"/>
                <w:color w:val="000000"/>
                <w:szCs w:val="20"/>
                <w:lang w:val="en-US"/>
              </w:rPr>
            </w:pPr>
          </w:p>
        </w:tc>
        <w:tc>
          <w:tcPr>
            <w:tcW w:w="117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Tillaloo Waterhole</w:t>
            </w:r>
          </w:p>
        </w:tc>
        <w:tc>
          <w:tcPr>
            <w:tcW w:w="96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Waterhole</w:t>
            </w:r>
          </w:p>
        </w:tc>
        <w:tc>
          <w:tcPr>
            <w:tcW w:w="553"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Point</w:t>
            </w:r>
          </w:p>
        </w:tc>
        <w:tc>
          <w:tcPr>
            <w:tcW w:w="526"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742019</w:t>
            </w:r>
          </w:p>
        </w:tc>
        <w:tc>
          <w:tcPr>
            <w:tcW w:w="577"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6761842</w:t>
            </w:r>
          </w:p>
        </w:tc>
      </w:tr>
      <w:tr w:rsidR="0056539E" w:rsidRPr="00862795" w:rsidTr="00673DAF">
        <w:trPr>
          <w:trHeight w:val="255"/>
        </w:trPr>
        <w:tc>
          <w:tcPr>
            <w:tcW w:w="673" w:type="pct"/>
            <w:vMerge/>
          </w:tcPr>
          <w:p w:rsidR="0056539E" w:rsidRPr="00862795" w:rsidRDefault="0056539E" w:rsidP="00862795">
            <w:pPr>
              <w:spacing w:before="60" w:after="60"/>
              <w:jc w:val="left"/>
              <w:rPr>
                <w:rFonts w:cs="Arial"/>
                <w:color w:val="000000"/>
                <w:szCs w:val="20"/>
                <w:lang w:val="en-US"/>
              </w:rPr>
            </w:pPr>
          </w:p>
        </w:tc>
        <w:tc>
          <w:tcPr>
            <w:tcW w:w="529" w:type="pct"/>
            <w:vMerge/>
            <w:vAlign w:val="center"/>
            <w:hideMark/>
          </w:tcPr>
          <w:p w:rsidR="0056539E" w:rsidRPr="00862795" w:rsidRDefault="0056539E" w:rsidP="00862795">
            <w:pPr>
              <w:spacing w:before="60" w:after="60"/>
              <w:jc w:val="center"/>
              <w:rPr>
                <w:rFonts w:cs="Arial"/>
                <w:color w:val="000000"/>
                <w:szCs w:val="20"/>
                <w:lang w:val="en-US"/>
              </w:rPr>
            </w:pPr>
          </w:p>
        </w:tc>
        <w:tc>
          <w:tcPr>
            <w:tcW w:w="117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Westholme NW</w:t>
            </w:r>
          </w:p>
        </w:tc>
        <w:tc>
          <w:tcPr>
            <w:tcW w:w="96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Floodplain wetland</w:t>
            </w:r>
          </w:p>
        </w:tc>
        <w:tc>
          <w:tcPr>
            <w:tcW w:w="553"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Transect</w:t>
            </w:r>
          </w:p>
        </w:tc>
        <w:tc>
          <w:tcPr>
            <w:tcW w:w="526"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732256</w:t>
            </w:r>
          </w:p>
        </w:tc>
        <w:tc>
          <w:tcPr>
            <w:tcW w:w="577"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6761098</w:t>
            </w:r>
          </w:p>
        </w:tc>
      </w:tr>
      <w:tr w:rsidR="0056539E" w:rsidRPr="00862795" w:rsidTr="00673DAF">
        <w:trPr>
          <w:trHeight w:val="255"/>
        </w:trPr>
        <w:tc>
          <w:tcPr>
            <w:tcW w:w="673" w:type="pct"/>
            <w:vMerge/>
          </w:tcPr>
          <w:p w:rsidR="0056539E" w:rsidRPr="00862795" w:rsidRDefault="0056539E" w:rsidP="00862795">
            <w:pPr>
              <w:spacing w:before="60" w:after="60"/>
              <w:jc w:val="left"/>
              <w:rPr>
                <w:rFonts w:cs="Arial"/>
                <w:color w:val="000000"/>
                <w:szCs w:val="20"/>
                <w:lang w:val="en-US"/>
              </w:rPr>
            </w:pPr>
          </w:p>
        </w:tc>
        <w:tc>
          <w:tcPr>
            <w:tcW w:w="529" w:type="pct"/>
            <w:vMerge/>
            <w:vAlign w:val="center"/>
            <w:hideMark/>
          </w:tcPr>
          <w:p w:rsidR="0056539E" w:rsidRPr="00862795" w:rsidRDefault="0056539E" w:rsidP="00862795">
            <w:pPr>
              <w:spacing w:before="60" w:after="60"/>
              <w:jc w:val="center"/>
              <w:rPr>
                <w:rFonts w:cs="Arial"/>
                <w:color w:val="000000"/>
                <w:szCs w:val="20"/>
                <w:lang w:val="en-US"/>
              </w:rPr>
            </w:pPr>
          </w:p>
        </w:tc>
        <w:tc>
          <w:tcPr>
            <w:tcW w:w="117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Westholme SE</w:t>
            </w:r>
          </w:p>
        </w:tc>
        <w:tc>
          <w:tcPr>
            <w:tcW w:w="96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Floodplain wetland</w:t>
            </w:r>
          </w:p>
        </w:tc>
        <w:tc>
          <w:tcPr>
            <w:tcW w:w="553"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Transect</w:t>
            </w:r>
          </w:p>
        </w:tc>
        <w:tc>
          <w:tcPr>
            <w:tcW w:w="526"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733314</w:t>
            </w:r>
          </w:p>
        </w:tc>
        <w:tc>
          <w:tcPr>
            <w:tcW w:w="577"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6757778</w:t>
            </w:r>
          </w:p>
        </w:tc>
      </w:tr>
      <w:tr w:rsidR="0056539E" w:rsidRPr="00862795" w:rsidTr="00673DAF">
        <w:trPr>
          <w:trHeight w:val="300"/>
        </w:trPr>
        <w:tc>
          <w:tcPr>
            <w:tcW w:w="673" w:type="pct"/>
            <w:vMerge/>
          </w:tcPr>
          <w:p w:rsidR="0056539E" w:rsidRPr="00862795" w:rsidRDefault="0056539E" w:rsidP="00862795">
            <w:pPr>
              <w:spacing w:before="60" w:after="60"/>
              <w:jc w:val="center"/>
              <w:rPr>
                <w:rFonts w:cs="Arial"/>
                <w:color w:val="000000"/>
                <w:szCs w:val="20"/>
                <w:lang w:val="en-US"/>
              </w:rPr>
            </w:pPr>
          </w:p>
        </w:tc>
        <w:tc>
          <w:tcPr>
            <w:tcW w:w="529" w:type="pct"/>
            <w:vMerge w:val="restart"/>
            <w:shd w:val="clear" w:color="auto" w:fill="auto"/>
            <w:vAlign w:val="center"/>
            <w:hideMark/>
          </w:tcPr>
          <w:p w:rsidR="0056539E" w:rsidRPr="00862795" w:rsidRDefault="001C3C04" w:rsidP="00862795">
            <w:pPr>
              <w:spacing w:before="60" w:after="60"/>
              <w:jc w:val="center"/>
              <w:rPr>
                <w:rFonts w:cs="Arial"/>
                <w:color w:val="000000"/>
                <w:szCs w:val="20"/>
                <w:lang w:val="en-US"/>
              </w:rPr>
            </w:pPr>
            <w:r w:rsidRPr="00862795">
              <w:rPr>
                <w:rFonts w:cs="Arial"/>
                <w:color w:val="000000"/>
                <w:szCs w:val="20"/>
                <w:lang w:val="en-US"/>
              </w:rPr>
              <w:t>lower</w:t>
            </w:r>
            <w:r w:rsidR="0056539E" w:rsidRPr="00862795">
              <w:rPr>
                <w:rFonts w:cs="Arial"/>
                <w:color w:val="000000"/>
                <w:szCs w:val="20"/>
                <w:lang w:val="en-US"/>
              </w:rPr>
              <w:t xml:space="preserve"> Gwydir</w:t>
            </w:r>
          </w:p>
        </w:tc>
        <w:tc>
          <w:tcPr>
            <w:tcW w:w="1176" w:type="pct"/>
            <w:shd w:val="clear" w:color="auto" w:fill="auto"/>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Allambie Bridge</w:t>
            </w:r>
          </w:p>
        </w:tc>
        <w:tc>
          <w:tcPr>
            <w:tcW w:w="966" w:type="pct"/>
            <w:shd w:val="clear" w:color="auto" w:fill="auto"/>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Creek</w:t>
            </w:r>
          </w:p>
        </w:tc>
        <w:tc>
          <w:tcPr>
            <w:tcW w:w="553" w:type="pct"/>
            <w:shd w:val="clear" w:color="auto" w:fill="auto"/>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Point</w:t>
            </w:r>
          </w:p>
        </w:tc>
        <w:tc>
          <w:tcPr>
            <w:tcW w:w="526" w:type="pct"/>
            <w:shd w:val="clear" w:color="auto" w:fill="auto"/>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747092</w:t>
            </w:r>
          </w:p>
        </w:tc>
        <w:tc>
          <w:tcPr>
            <w:tcW w:w="577" w:type="pct"/>
            <w:shd w:val="clear" w:color="auto" w:fill="auto"/>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6745328</w:t>
            </w:r>
          </w:p>
        </w:tc>
      </w:tr>
      <w:tr w:rsidR="0056539E" w:rsidRPr="00862795" w:rsidTr="00673DAF">
        <w:trPr>
          <w:trHeight w:val="255"/>
        </w:trPr>
        <w:tc>
          <w:tcPr>
            <w:tcW w:w="673" w:type="pct"/>
            <w:vMerge/>
          </w:tcPr>
          <w:p w:rsidR="0056539E" w:rsidRPr="00862795" w:rsidRDefault="0056539E" w:rsidP="00862795">
            <w:pPr>
              <w:spacing w:before="60" w:after="60"/>
              <w:jc w:val="left"/>
              <w:rPr>
                <w:rFonts w:cs="Arial"/>
                <w:color w:val="000000"/>
                <w:szCs w:val="20"/>
                <w:lang w:val="en-US"/>
              </w:rPr>
            </w:pPr>
          </w:p>
        </w:tc>
        <w:tc>
          <w:tcPr>
            <w:tcW w:w="529" w:type="pct"/>
            <w:vMerge/>
            <w:vAlign w:val="center"/>
            <w:hideMark/>
          </w:tcPr>
          <w:p w:rsidR="0056539E" w:rsidRPr="00862795" w:rsidRDefault="0056539E" w:rsidP="00862795">
            <w:pPr>
              <w:spacing w:before="60" w:after="60"/>
              <w:jc w:val="center"/>
              <w:rPr>
                <w:rFonts w:cs="Arial"/>
                <w:color w:val="000000"/>
                <w:szCs w:val="20"/>
                <w:lang w:val="en-US"/>
              </w:rPr>
            </w:pPr>
          </w:p>
        </w:tc>
        <w:tc>
          <w:tcPr>
            <w:tcW w:w="1176" w:type="pct"/>
            <w:shd w:val="clear" w:color="auto" w:fill="auto"/>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Brageen Crossing</w:t>
            </w:r>
          </w:p>
        </w:tc>
        <w:tc>
          <w:tcPr>
            <w:tcW w:w="96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Creek</w:t>
            </w:r>
          </w:p>
        </w:tc>
        <w:tc>
          <w:tcPr>
            <w:tcW w:w="553"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Point</w:t>
            </w:r>
          </w:p>
        </w:tc>
        <w:tc>
          <w:tcPr>
            <w:tcW w:w="526"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728329</w:t>
            </w:r>
          </w:p>
        </w:tc>
        <w:tc>
          <w:tcPr>
            <w:tcW w:w="577"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6748887</w:t>
            </w:r>
          </w:p>
        </w:tc>
      </w:tr>
      <w:tr w:rsidR="0056539E" w:rsidRPr="00862795" w:rsidTr="00673DAF">
        <w:trPr>
          <w:trHeight w:val="255"/>
        </w:trPr>
        <w:tc>
          <w:tcPr>
            <w:tcW w:w="673" w:type="pct"/>
            <w:vMerge/>
          </w:tcPr>
          <w:p w:rsidR="0056539E" w:rsidRPr="00862795" w:rsidRDefault="0056539E" w:rsidP="00862795">
            <w:pPr>
              <w:spacing w:before="60" w:after="60"/>
              <w:jc w:val="left"/>
              <w:rPr>
                <w:rFonts w:cs="Arial"/>
                <w:color w:val="000000"/>
                <w:szCs w:val="20"/>
                <w:lang w:val="en-US"/>
              </w:rPr>
            </w:pPr>
          </w:p>
        </w:tc>
        <w:tc>
          <w:tcPr>
            <w:tcW w:w="529" w:type="pct"/>
            <w:vMerge/>
            <w:vAlign w:val="center"/>
            <w:hideMark/>
          </w:tcPr>
          <w:p w:rsidR="0056539E" w:rsidRPr="00862795" w:rsidRDefault="0056539E" w:rsidP="00862795">
            <w:pPr>
              <w:spacing w:before="60" w:after="60"/>
              <w:jc w:val="center"/>
              <w:rPr>
                <w:rFonts w:cs="Arial"/>
                <w:color w:val="000000"/>
                <w:szCs w:val="20"/>
                <w:lang w:val="en-US"/>
              </w:rPr>
            </w:pPr>
          </w:p>
        </w:tc>
        <w:tc>
          <w:tcPr>
            <w:tcW w:w="117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Belmont</w:t>
            </w:r>
          </w:p>
        </w:tc>
        <w:tc>
          <w:tcPr>
            <w:tcW w:w="96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Floodplain wetland</w:t>
            </w:r>
          </w:p>
        </w:tc>
        <w:tc>
          <w:tcPr>
            <w:tcW w:w="553"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Point</w:t>
            </w:r>
          </w:p>
        </w:tc>
        <w:tc>
          <w:tcPr>
            <w:tcW w:w="526"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720016</w:t>
            </w:r>
          </w:p>
        </w:tc>
        <w:tc>
          <w:tcPr>
            <w:tcW w:w="577"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6753177</w:t>
            </w:r>
          </w:p>
        </w:tc>
      </w:tr>
      <w:tr w:rsidR="0056539E" w:rsidRPr="00862795" w:rsidTr="00673DAF">
        <w:trPr>
          <w:trHeight w:val="255"/>
        </w:trPr>
        <w:tc>
          <w:tcPr>
            <w:tcW w:w="673" w:type="pct"/>
            <w:vMerge/>
          </w:tcPr>
          <w:p w:rsidR="0056539E" w:rsidRPr="00862795" w:rsidRDefault="0056539E" w:rsidP="00862795">
            <w:pPr>
              <w:spacing w:before="60" w:after="60"/>
              <w:jc w:val="left"/>
              <w:rPr>
                <w:rFonts w:cs="Arial"/>
                <w:color w:val="000000"/>
                <w:szCs w:val="20"/>
                <w:lang w:val="en-US"/>
              </w:rPr>
            </w:pPr>
          </w:p>
        </w:tc>
        <w:tc>
          <w:tcPr>
            <w:tcW w:w="529" w:type="pct"/>
            <w:vMerge/>
            <w:vAlign w:val="center"/>
            <w:hideMark/>
          </w:tcPr>
          <w:p w:rsidR="0056539E" w:rsidRPr="00862795" w:rsidRDefault="0056539E" w:rsidP="00862795">
            <w:pPr>
              <w:spacing w:before="60" w:after="60"/>
              <w:jc w:val="center"/>
              <w:rPr>
                <w:rFonts w:cs="Arial"/>
                <w:color w:val="000000"/>
                <w:szCs w:val="20"/>
                <w:lang w:val="en-US"/>
              </w:rPr>
            </w:pPr>
          </w:p>
        </w:tc>
        <w:tc>
          <w:tcPr>
            <w:tcW w:w="117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Gin Holes</w:t>
            </w:r>
          </w:p>
        </w:tc>
        <w:tc>
          <w:tcPr>
            <w:tcW w:w="96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Waterhole</w:t>
            </w:r>
          </w:p>
        </w:tc>
        <w:tc>
          <w:tcPr>
            <w:tcW w:w="553"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Point</w:t>
            </w:r>
          </w:p>
        </w:tc>
        <w:tc>
          <w:tcPr>
            <w:tcW w:w="526"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725856</w:t>
            </w:r>
          </w:p>
        </w:tc>
        <w:tc>
          <w:tcPr>
            <w:tcW w:w="577"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6752106</w:t>
            </w:r>
          </w:p>
        </w:tc>
      </w:tr>
      <w:tr w:rsidR="0056539E" w:rsidRPr="00862795" w:rsidTr="00673DAF">
        <w:trPr>
          <w:trHeight w:val="255"/>
        </w:trPr>
        <w:tc>
          <w:tcPr>
            <w:tcW w:w="673" w:type="pct"/>
            <w:vMerge/>
          </w:tcPr>
          <w:p w:rsidR="0056539E" w:rsidRPr="00862795" w:rsidRDefault="0056539E" w:rsidP="00862795">
            <w:pPr>
              <w:spacing w:before="60" w:after="60"/>
              <w:jc w:val="left"/>
              <w:rPr>
                <w:rFonts w:cs="Arial"/>
                <w:color w:val="000000"/>
                <w:szCs w:val="20"/>
                <w:lang w:val="en-US"/>
              </w:rPr>
            </w:pPr>
          </w:p>
        </w:tc>
        <w:tc>
          <w:tcPr>
            <w:tcW w:w="529" w:type="pct"/>
            <w:vMerge/>
            <w:vAlign w:val="center"/>
            <w:hideMark/>
          </w:tcPr>
          <w:p w:rsidR="0056539E" w:rsidRPr="00862795" w:rsidRDefault="0056539E" w:rsidP="00862795">
            <w:pPr>
              <w:spacing w:before="60" w:after="60"/>
              <w:jc w:val="center"/>
              <w:rPr>
                <w:rFonts w:cs="Arial"/>
                <w:color w:val="000000"/>
                <w:szCs w:val="20"/>
                <w:lang w:val="en-US"/>
              </w:rPr>
            </w:pPr>
          </w:p>
        </w:tc>
        <w:tc>
          <w:tcPr>
            <w:tcW w:w="117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Old Dromana Dam</w:t>
            </w:r>
          </w:p>
        </w:tc>
        <w:tc>
          <w:tcPr>
            <w:tcW w:w="96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Waterhole</w:t>
            </w:r>
          </w:p>
        </w:tc>
        <w:tc>
          <w:tcPr>
            <w:tcW w:w="553"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Transect</w:t>
            </w:r>
          </w:p>
        </w:tc>
        <w:tc>
          <w:tcPr>
            <w:tcW w:w="526"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727574</w:t>
            </w:r>
          </w:p>
        </w:tc>
        <w:tc>
          <w:tcPr>
            <w:tcW w:w="577"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6750877</w:t>
            </w:r>
          </w:p>
        </w:tc>
      </w:tr>
      <w:tr w:rsidR="0056539E" w:rsidRPr="00862795" w:rsidTr="00673DAF">
        <w:trPr>
          <w:trHeight w:val="255"/>
        </w:trPr>
        <w:tc>
          <w:tcPr>
            <w:tcW w:w="673" w:type="pct"/>
            <w:vMerge/>
          </w:tcPr>
          <w:p w:rsidR="0056539E" w:rsidRPr="00862795" w:rsidRDefault="0056539E" w:rsidP="00862795">
            <w:pPr>
              <w:spacing w:before="60" w:after="60"/>
              <w:jc w:val="left"/>
              <w:rPr>
                <w:rFonts w:cs="Arial"/>
                <w:color w:val="000000"/>
                <w:szCs w:val="20"/>
                <w:lang w:val="en-US"/>
              </w:rPr>
            </w:pPr>
          </w:p>
        </w:tc>
        <w:tc>
          <w:tcPr>
            <w:tcW w:w="529" w:type="pct"/>
            <w:vMerge/>
            <w:vAlign w:val="center"/>
            <w:hideMark/>
          </w:tcPr>
          <w:p w:rsidR="0056539E" w:rsidRPr="00862795" w:rsidRDefault="0056539E" w:rsidP="00862795">
            <w:pPr>
              <w:spacing w:before="60" w:after="60"/>
              <w:jc w:val="center"/>
              <w:rPr>
                <w:rFonts w:cs="Arial"/>
                <w:color w:val="000000"/>
                <w:szCs w:val="20"/>
                <w:lang w:val="en-US"/>
              </w:rPr>
            </w:pPr>
          </w:p>
        </w:tc>
        <w:tc>
          <w:tcPr>
            <w:tcW w:w="117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Old Dromana Transect</w:t>
            </w:r>
          </w:p>
        </w:tc>
        <w:tc>
          <w:tcPr>
            <w:tcW w:w="96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Floodplain wetland</w:t>
            </w:r>
          </w:p>
        </w:tc>
        <w:tc>
          <w:tcPr>
            <w:tcW w:w="553"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Point</w:t>
            </w:r>
          </w:p>
        </w:tc>
        <w:tc>
          <w:tcPr>
            <w:tcW w:w="526"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721191</w:t>
            </w:r>
          </w:p>
        </w:tc>
        <w:tc>
          <w:tcPr>
            <w:tcW w:w="577"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6751367</w:t>
            </w:r>
          </w:p>
        </w:tc>
      </w:tr>
      <w:tr w:rsidR="0056539E" w:rsidRPr="00862795" w:rsidTr="00673DAF">
        <w:trPr>
          <w:trHeight w:val="255"/>
        </w:trPr>
        <w:tc>
          <w:tcPr>
            <w:tcW w:w="673" w:type="pct"/>
            <w:vMerge/>
          </w:tcPr>
          <w:p w:rsidR="0056539E" w:rsidRPr="00862795" w:rsidRDefault="0056539E" w:rsidP="00862795">
            <w:pPr>
              <w:spacing w:before="60" w:after="60"/>
              <w:jc w:val="left"/>
              <w:rPr>
                <w:rFonts w:cs="Arial"/>
                <w:color w:val="000000"/>
                <w:szCs w:val="20"/>
                <w:lang w:val="en-US"/>
              </w:rPr>
            </w:pPr>
          </w:p>
        </w:tc>
        <w:tc>
          <w:tcPr>
            <w:tcW w:w="529" w:type="pct"/>
            <w:vMerge/>
            <w:vAlign w:val="center"/>
            <w:hideMark/>
          </w:tcPr>
          <w:p w:rsidR="0056539E" w:rsidRPr="00862795" w:rsidRDefault="0056539E" w:rsidP="00862795">
            <w:pPr>
              <w:spacing w:before="60" w:after="60"/>
              <w:jc w:val="center"/>
              <w:rPr>
                <w:rFonts w:cs="Arial"/>
                <w:color w:val="000000"/>
                <w:szCs w:val="20"/>
                <w:lang w:val="en-US"/>
              </w:rPr>
            </w:pPr>
          </w:p>
        </w:tc>
        <w:tc>
          <w:tcPr>
            <w:tcW w:w="117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Wandoona Waterhole</w:t>
            </w:r>
          </w:p>
        </w:tc>
        <w:tc>
          <w:tcPr>
            <w:tcW w:w="96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Waterhole</w:t>
            </w:r>
          </w:p>
        </w:tc>
        <w:tc>
          <w:tcPr>
            <w:tcW w:w="553" w:type="pct"/>
            <w:shd w:val="clear" w:color="auto" w:fill="auto"/>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Point</w:t>
            </w:r>
          </w:p>
        </w:tc>
        <w:tc>
          <w:tcPr>
            <w:tcW w:w="526" w:type="pct"/>
            <w:shd w:val="clear" w:color="auto" w:fill="auto"/>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736013</w:t>
            </w:r>
          </w:p>
        </w:tc>
        <w:tc>
          <w:tcPr>
            <w:tcW w:w="577" w:type="pct"/>
            <w:shd w:val="clear" w:color="auto" w:fill="auto"/>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6751366</w:t>
            </w:r>
          </w:p>
        </w:tc>
      </w:tr>
      <w:tr w:rsidR="0056539E" w:rsidRPr="00862795" w:rsidTr="00673DAF">
        <w:trPr>
          <w:trHeight w:val="255"/>
        </w:trPr>
        <w:tc>
          <w:tcPr>
            <w:tcW w:w="673" w:type="pct"/>
            <w:vMerge w:val="restart"/>
            <w:vAlign w:val="center"/>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Mehi River and Moomin Creek</w:t>
            </w:r>
          </w:p>
        </w:tc>
        <w:tc>
          <w:tcPr>
            <w:tcW w:w="529" w:type="pct"/>
            <w:vMerge w:val="restart"/>
            <w:shd w:val="clear" w:color="auto" w:fill="auto"/>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Mallowa</w:t>
            </w:r>
          </w:p>
        </w:tc>
        <w:tc>
          <w:tcPr>
            <w:tcW w:w="117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Bungunya</w:t>
            </w:r>
          </w:p>
        </w:tc>
        <w:tc>
          <w:tcPr>
            <w:tcW w:w="96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Floodplain wetland</w:t>
            </w:r>
          </w:p>
        </w:tc>
        <w:tc>
          <w:tcPr>
            <w:tcW w:w="553"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Transect</w:t>
            </w:r>
          </w:p>
        </w:tc>
        <w:tc>
          <w:tcPr>
            <w:tcW w:w="526"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710667</w:t>
            </w:r>
          </w:p>
        </w:tc>
        <w:tc>
          <w:tcPr>
            <w:tcW w:w="577"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6722986</w:t>
            </w:r>
          </w:p>
        </w:tc>
      </w:tr>
      <w:tr w:rsidR="0056539E" w:rsidRPr="00862795" w:rsidTr="00673DAF">
        <w:trPr>
          <w:trHeight w:val="255"/>
        </w:trPr>
        <w:tc>
          <w:tcPr>
            <w:tcW w:w="673" w:type="pct"/>
            <w:vMerge/>
          </w:tcPr>
          <w:p w:rsidR="0056539E" w:rsidRPr="00862795" w:rsidRDefault="0056539E" w:rsidP="00862795">
            <w:pPr>
              <w:spacing w:before="60" w:after="60"/>
              <w:jc w:val="left"/>
              <w:rPr>
                <w:rFonts w:cs="Arial"/>
                <w:color w:val="000000"/>
                <w:szCs w:val="20"/>
                <w:lang w:val="en-US"/>
              </w:rPr>
            </w:pPr>
          </w:p>
        </w:tc>
        <w:tc>
          <w:tcPr>
            <w:tcW w:w="529" w:type="pct"/>
            <w:vMerge/>
            <w:vAlign w:val="center"/>
            <w:hideMark/>
          </w:tcPr>
          <w:p w:rsidR="0056539E" w:rsidRPr="00862795" w:rsidRDefault="0056539E" w:rsidP="00862795">
            <w:pPr>
              <w:spacing w:before="60" w:after="60"/>
              <w:jc w:val="center"/>
              <w:rPr>
                <w:rFonts w:cs="Arial"/>
                <w:color w:val="000000"/>
                <w:szCs w:val="20"/>
                <w:lang w:val="en-US"/>
              </w:rPr>
            </w:pPr>
          </w:p>
        </w:tc>
        <w:tc>
          <w:tcPr>
            <w:tcW w:w="117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 xml:space="preserve">Coombah </w:t>
            </w:r>
          </w:p>
        </w:tc>
        <w:tc>
          <w:tcPr>
            <w:tcW w:w="96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Floodplain wetland</w:t>
            </w:r>
          </w:p>
        </w:tc>
        <w:tc>
          <w:tcPr>
            <w:tcW w:w="553"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Transect</w:t>
            </w:r>
          </w:p>
        </w:tc>
        <w:tc>
          <w:tcPr>
            <w:tcW w:w="526"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723979</w:t>
            </w:r>
          </w:p>
        </w:tc>
        <w:tc>
          <w:tcPr>
            <w:tcW w:w="577"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6722103</w:t>
            </w:r>
          </w:p>
        </w:tc>
      </w:tr>
      <w:tr w:rsidR="0056539E" w:rsidRPr="00862795" w:rsidTr="00673DAF">
        <w:trPr>
          <w:trHeight w:val="255"/>
        </w:trPr>
        <w:tc>
          <w:tcPr>
            <w:tcW w:w="673" w:type="pct"/>
            <w:vMerge/>
          </w:tcPr>
          <w:p w:rsidR="0056539E" w:rsidRPr="00862795" w:rsidRDefault="0056539E" w:rsidP="00862795">
            <w:pPr>
              <w:spacing w:before="60" w:after="60"/>
              <w:jc w:val="left"/>
              <w:rPr>
                <w:rFonts w:cs="Arial"/>
                <w:color w:val="000000"/>
                <w:szCs w:val="20"/>
                <w:lang w:val="en-US"/>
              </w:rPr>
            </w:pPr>
          </w:p>
        </w:tc>
        <w:tc>
          <w:tcPr>
            <w:tcW w:w="529" w:type="pct"/>
            <w:vMerge/>
            <w:vAlign w:val="center"/>
            <w:hideMark/>
          </w:tcPr>
          <w:p w:rsidR="0056539E" w:rsidRPr="00862795" w:rsidRDefault="0056539E" w:rsidP="00862795">
            <w:pPr>
              <w:spacing w:before="60" w:after="60"/>
              <w:jc w:val="center"/>
              <w:rPr>
                <w:rFonts w:cs="Arial"/>
                <w:color w:val="000000"/>
                <w:szCs w:val="20"/>
                <w:lang w:val="en-US"/>
              </w:rPr>
            </w:pPr>
          </w:p>
        </w:tc>
        <w:tc>
          <w:tcPr>
            <w:tcW w:w="117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Gundare Weir</w:t>
            </w:r>
          </w:p>
        </w:tc>
        <w:tc>
          <w:tcPr>
            <w:tcW w:w="96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Creek</w:t>
            </w:r>
          </w:p>
        </w:tc>
        <w:tc>
          <w:tcPr>
            <w:tcW w:w="553"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Point</w:t>
            </w:r>
          </w:p>
        </w:tc>
        <w:tc>
          <w:tcPr>
            <w:tcW w:w="526"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724438</w:t>
            </w:r>
          </w:p>
        </w:tc>
        <w:tc>
          <w:tcPr>
            <w:tcW w:w="577"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6724427</w:t>
            </w:r>
          </w:p>
        </w:tc>
      </w:tr>
      <w:tr w:rsidR="0056539E" w:rsidRPr="00862795" w:rsidTr="00673DAF">
        <w:trPr>
          <w:trHeight w:val="255"/>
        </w:trPr>
        <w:tc>
          <w:tcPr>
            <w:tcW w:w="673" w:type="pct"/>
            <w:vMerge/>
          </w:tcPr>
          <w:p w:rsidR="0056539E" w:rsidRPr="00862795" w:rsidRDefault="0056539E" w:rsidP="00862795">
            <w:pPr>
              <w:spacing w:before="60" w:after="60"/>
              <w:jc w:val="left"/>
              <w:rPr>
                <w:rFonts w:cs="Arial"/>
                <w:color w:val="000000"/>
                <w:szCs w:val="20"/>
                <w:lang w:val="en-US"/>
              </w:rPr>
            </w:pPr>
          </w:p>
        </w:tc>
        <w:tc>
          <w:tcPr>
            <w:tcW w:w="529" w:type="pct"/>
            <w:vMerge/>
            <w:vAlign w:val="center"/>
            <w:hideMark/>
          </w:tcPr>
          <w:p w:rsidR="0056539E" w:rsidRPr="00862795" w:rsidRDefault="0056539E" w:rsidP="00862795">
            <w:pPr>
              <w:spacing w:before="60" w:after="60"/>
              <w:jc w:val="center"/>
              <w:rPr>
                <w:rFonts w:cs="Arial"/>
                <w:color w:val="000000"/>
                <w:szCs w:val="20"/>
                <w:lang w:val="en-US"/>
              </w:rPr>
            </w:pPr>
          </w:p>
        </w:tc>
        <w:tc>
          <w:tcPr>
            <w:tcW w:w="117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 xml:space="preserve">Valetta </w:t>
            </w:r>
          </w:p>
        </w:tc>
        <w:tc>
          <w:tcPr>
            <w:tcW w:w="96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Floodplain wetland</w:t>
            </w:r>
          </w:p>
        </w:tc>
        <w:tc>
          <w:tcPr>
            <w:tcW w:w="553"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Point</w:t>
            </w:r>
          </w:p>
        </w:tc>
        <w:tc>
          <w:tcPr>
            <w:tcW w:w="526"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715954</w:t>
            </w:r>
          </w:p>
        </w:tc>
        <w:tc>
          <w:tcPr>
            <w:tcW w:w="577"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6725246</w:t>
            </w:r>
          </w:p>
        </w:tc>
      </w:tr>
      <w:tr w:rsidR="0056539E" w:rsidRPr="00862795" w:rsidTr="00673DAF">
        <w:trPr>
          <w:trHeight w:val="255"/>
        </w:trPr>
        <w:tc>
          <w:tcPr>
            <w:tcW w:w="673" w:type="pct"/>
            <w:vMerge/>
          </w:tcPr>
          <w:p w:rsidR="0056539E" w:rsidRPr="00862795" w:rsidRDefault="0056539E" w:rsidP="00862795">
            <w:pPr>
              <w:spacing w:before="60" w:after="60"/>
              <w:jc w:val="center"/>
              <w:rPr>
                <w:rFonts w:cs="Arial"/>
                <w:color w:val="000000"/>
                <w:szCs w:val="20"/>
                <w:lang w:val="en-US"/>
              </w:rPr>
            </w:pPr>
          </w:p>
        </w:tc>
        <w:tc>
          <w:tcPr>
            <w:tcW w:w="529" w:type="pct"/>
            <w:vMerge w:val="restart"/>
            <w:shd w:val="clear" w:color="auto" w:fill="auto"/>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Mehi</w:t>
            </w:r>
          </w:p>
        </w:tc>
        <w:tc>
          <w:tcPr>
            <w:tcW w:w="117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Combadello Weir</w:t>
            </w:r>
          </w:p>
        </w:tc>
        <w:tc>
          <w:tcPr>
            <w:tcW w:w="96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Creek</w:t>
            </w:r>
          </w:p>
        </w:tc>
        <w:tc>
          <w:tcPr>
            <w:tcW w:w="553"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Point</w:t>
            </w:r>
          </w:p>
        </w:tc>
        <w:tc>
          <w:tcPr>
            <w:tcW w:w="526"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757656</w:t>
            </w:r>
          </w:p>
        </w:tc>
        <w:tc>
          <w:tcPr>
            <w:tcW w:w="577"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6727381</w:t>
            </w:r>
          </w:p>
        </w:tc>
      </w:tr>
      <w:tr w:rsidR="0056539E" w:rsidRPr="00862795" w:rsidTr="00673DAF">
        <w:trPr>
          <w:trHeight w:val="255"/>
        </w:trPr>
        <w:tc>
          <w:tcPr>
            <w:tcW w:w="673" w:type="pct"/>
            <w:vMerge/>
          </w:tcPr>
          <w:p w:rsidR="0056539E" w:rsidRPr="00862795" w:rsidRDefault="0056539E" w:rsidP="00862795">
            <w:pPr>
              <w:spacing w:before="60" w:after="60"/>
              <w:jc w:val="left"/>
              <w:rPr>
                <w:rFonts w:cs="Arial"/>
                <w:color w:val="000000"/>
                <w:szCs w:val="20"/>
                <w:lang w:val="en-US"/>
              </w:rPr>
            </w:pPr>
          </w:p>
        </w:tc>
        <w:tc>
          <w:tcPr>
            <w:tcW w:w="529" w:type="pct"/>
            <w:vMerge/>
            <w:vAlign w:val="center"/>
            <w:hideMark/>
          </w:tcPr>
          <w:p w:rsidR="0056539E" w:rsidRPr="00862795" w:rsidRDefault="0056539E" w:rsidP="00862795">
            <w:pPr>
              <w:spacing w:before="60" w:after="60"/>
              <w:jc w:val="left"/>
              <w:rPr>
                <w:rFonts w:cs="Arial"/>
                <w:color w:val="000000"/>
                <w:szCs w:val="20"/>
                <w:lang w:val="en-US"/>
              </w:rPr>
            </w:pPr>
          </w:p>
        </w:tc>
        <w:tc>
          <w:tcPr>
            <w:tcW w:w="117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Derra Waterhole</w:t>
            </w:r>
          </w:p>
        </w:tc>
        <w:tc>
          <w:tcPr>
            <w:tcW w:w="96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Waterhole</w:t>
            </w:r>
          </w:p>
        </w:tc>
        <w:tc>
          <w:tcPr>
            <w:tcW w:w="553"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Point</w:t>
            </w:r>
          </w:p>
        </w:tc>
        <w:tc>
          <w:tcPr>
            <w:tcW w:w="526"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719732</w:t>
            </w:r>
          </w:p>
        </w:tc>
        <w:tc>
          <w:tcPr>
            <w:tcW w:w="577"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6731304</w:t>
            </w:r>
          </w:p>
        </w:tc>
      </w:tr>
      <w:tr w:rsidR="0056539E" w:rsidRPr="00862795" w:rsidTr="00673DAF">
        <w:trPr>
          <w:trHeight w:val="255"/>
        </w:trPr>
        <w:tc>
          <w:tcPr>
            <w:tcW w:w="673" w:type="pct"/>
            <w:vMerge/>
          </w:tcPr>
          <w:p w:rsidR="0056539E" w:rsidRPr="00862795" w:rsidRDefault="0056539E" w:rsidP="00862795">
            <w:pPr>
              <w:spacing w:before="60" w:after="60"/>
              <w:jc w:val="left"/>
              <w:rPr>
                <w:rFonts w:cs="Arial"/>
                <w:color w:val="000000"/>
                <w:szCs w:val="20"/>
                <w:lang w:val="en-US"/>
              </w:rPr>
            </w:pPr>
          </w:p>
        </w:tc>
        <w:tc>
          <w:tcPr>
            <w:tcW w:w="529" w:type="pct"/>
            <w:vMerge/>
            <w:vAlign w:val="center"/>
            <w:hideMark/>
          </w:tcPr>
          <w:p w:rsidR="0056539E" w:rsidRPr="00862795" w:rsidRDefault="0056539E" w:rsidP="00862795">
            <w:pPr>
              <w:spacing w:before="60" w:after="60"/>
              <w:jc w:val="left"/>
              <w:rPr>
                <w:rFonts w:cs="Arial"/>
                <w:color w:val="000000"/>
                <w:szCs w:val="20"/>
                <w:lang w:val="en-US"/>
              </w:rPr>
            </w:pPr>
          </w:p>
        </w:tc>
        <w:tc>
          <w:tcPr>
            <w:tcW w:w="117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Tellegara Bridge</w:t>
            </w:r>
          </w:p>
        </w:tc>
        <w:tc>
          <w:tcPr>
            <w:tcW w:w="96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Creek</w:t>
            </w:r>
          </w:p>
        </w:tc>
        <w:tc>
          <w:tcPr>
            <w:tcW w:w="553"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Point</w:t>
            </w:r>
          </w:p>
        </w:tc>
        <w:tc>
          <w:tcPr>
            <w:tcW w:w="526"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733130</w:t>
            </w:r>
          </w:p>
        </w:tc>
        <w:tc>
          <w:tcPr>
            <w:tcW w:w="577"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6726664</w:t>
            </w:r>
          </w:p>
        </w:tc>
      </w:tr>
      <w:tr w:rsidR="0056539E" w:rsidRPr="00862795" w:rsidTr="00673DAF">
        <w:trPr>
          <w:trHeight w:val="255"/>
        </w:trPr>
        <w:tc>
          <w:tcPr>
            <w:tcW w:w="673" w:type="pct"/>
            <w:vMerge/>
          </w:tcPr>
          <w:p w:rsidR="0056539E" w:rsidRPr="00862795" w:rsidRDefault="0056539E" w:rsidP="00862795">
            <w:pPr>
              <w:spacing w:before="60" w:after="60"/>
              <w:jc w:val="left"/>
              <w:rPr>
                <w:rFonts w:cs="Arial"/>
                <w:color w:val="000000"/>
                <w:szCs w:val="20"/>
                <w:lang w:val="en-US"/>
              </w:rPr>
            </w:pPr>
          </w:p>
        </w:tc>
        <w:tc>
          <w:tcPr>
            <w:tcW w:w="529" w:type="pct"/>
            <w:vMerge/>
            <w:vAlign w:val="center"/>
            <w:hideMark/>
          </w:tcPr>
          <w:p w:rsidR="0056539E" w:rsidRPr="00862795" w:rsidRDefault="0056539E" w:rsidP="00862795">
            <w:pPr>
              <w:spacing w:before="60" w:after="60"/>
              <w:jc w:val="left"/>
              <w:rPr>
                <w:rFonts w:cs="Arial"/>
                <w:color w:val="000000"/>
                <w:szCs w:val="20"/>
                <w:lang w:val="en-US"/>
              </w:rPr>
            </w:pPr>
          </w:p>
        </w:tc>
        <w:tc>
          <w:tcPr>
            <w:tcW w:w="117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Whittaker's Lagoon</w:t>
            </w:r>
          </w:p>
        </w:tc>
        <w:tc>
          <w:tcPr>
            <w:tcW w:w="966" w:type="pct"/>
            <w:shd w:val="clear" w:color="auto" w:fill="auto"/>
            <w:noWrap/>
            <w:vAlign w:val="center"/>
            <w:hideMark/>
          </w:tcPr>
          <w:p w:rsidR="0056539E" w:rsidRPr="00862795" w:rsidRDefault="0056539E" w:rsidP="00862795">
            <w:pPr>
              <w:spacing w:before="60" w:after="60"/>
              <w:jc w:val="left"/>
              <w:rPr>
                <w:rFonts w:cs="Arial"/>
                <w:color w:val="000000"/>
                <w:szCs w:val="20"/>
                <w:lang w:val="en-US"/>
              </w:rPr>
            </w:pPr>
            <w:r w:rsidRPr="00862795">
              <w:rPr>
                <w:rFonts w:cs="Arial"/>
                <w:color w:val="000000"/>
                <w:szCs w:val="20"/>
                <w:lang w:val="en-US"/>
              </w:rPr>
              <w:t>Waterhole</w:t>
            </w:r>
          </w:p>
        </w:tc>
        <w:tc>
          <w:tcPr>
            <w:tcW w:w="553"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Point</w:t>
            </w:r>
          </w:p>
        </w:tc>
        <w:tc>
          <w:tcPr>
            <w:tcW w:w="526"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757418</w:t>
            </w:r>
          </w:p>
        </w:tc>
        <w:tc>
          <w:tcPr>
            <w:tcW w:w="577" w:type="pct"/>
            <w:shd w:val="clear" w:color="auto" w:fill="auto"/>
            <w:noWrap/>
            <w:vAlign w:val="center"/>
            <w:hideMark/>
          </w:tcPr>
          <w:p w:rsidR="0056539E" w:rsidRPr="00862795" w:rsidRDefault="0056539E" w:rsidP="00862795">
            <w:pPr>
              <w:spacing w:before="60" w:after="60"/>
              <w:jc w:val="center"/>
              <w:rPr>
                <w:rFonts w:cs="Arial"/>
                <w:color w:val="000000"/>
                <w:szCs w:val="20"/>
                <w:lang w:val="en-US"/>
              </w:rPr>
            </w:pPr>
            <w:r w:rsidRPr="00862795">
              <w:rPr>
                <w:rFonts w:cs="Arial"/>
                <w:color w:val="000000"/>
                <w:szCs w:val="20"/>
                <w:lang w:val="en-US"/>
              </w:rPr>
              <w:t>6730770</w:t>
            </w:r>
          </w:p>
        </w:tc>
      </w:tr>
    </w:tbl>
    <w:p w:rsidR="0056539E" w:rsidRDefault="0056539E" w:rsidP="0056539E">
      <w:pPr>
        <w:rPr>
          <w:szCs w:val="20"/>
        </w:rPr>
        <w:sectPr w:rsidR="0056539E" w:rsidSect="004F411E">
          <w:headerReference w:type="default" r:id="rId196"/>
          <w:footerReference w:type="default" r:id="rId197"/>
          <w:type w:val="nextColumn"/>
          <w:pgSz w:w="11899" w:h="16838"/>
          <w:pgMar w:top="1508" w:right="1219" w:bottom="1457" w:left="1480" w:header="811" w:footer="305" w:gutter="0"/>
          <w:pgNumType w:chapStyle="6"/>
          <w:cols w:space="708"/>
          <w:docGrid w:linePitch="360"/>
        </w:sectPr>
      </w:pPr>
    </w:p>
    <w:p w:rsidR="0056539E" w:rsidRDefault="0056539E" w:rsidP="00D65359">
      <w:pPr>
        <w:pStyle w:val="Heading7"/>
      </w:pPr>
      <w:r w:rsidRPr="003A4135">
        <w:t>Results</w:t>
      </w:r>
    </w:p>
    <w:p w:rsidR="0056539E" w:rsidRDefault="0056539E" w:rsidP="00D65359">
      <w:pPr>
        <w:pStyle w:val="Heading8"/>
      </w:pPr>
      <w:r>
        <w:t xml:space="preserve"> 2015-16 water year</w:t>
      </w:r>
    </w:p>
    <w:p w:rsidR="0056539E" w:rsidRPr="00CA18EE" w:rsidRDefault="0056539E" w:rsidP="00614391">
      <w:pPr>
        <w:pStyle w:val="Heading9"/>
      </w:pPr>
      <w:r>
        <w:t xml:space="preserve">Species </w:t>
      </w:r>
      <w:r w:rsidRPr="00051750">
        <w:t>richness</w:t>
      </w:r>
      <w:r>
        <w:t xml:space="preserve"> and </w:t>
      </w:r>
      <w:r w:rsidRPr="002C7BCB">
        <w:t>abundance</w:t>
      </w:r>
    </w:p>
    <w:p w:rsidR="0056539E" w:rsidRPr="000E0C3E" w:rsidRDefault="0056539E" w:rsidP="0056539E">
      <w:r>
        <w:t xml:space="preserve">In total 163 bird species, including 59 waterbird species were recorded in the 2015-16 monitoring period </w:t>
      </w:r>
      <w:r w:rsidRPr="006A6487">
        <w:t>(</w:t>
      </w:r>
      <w:r w:rsidR="00A97349">
        <w:fldChar w:fldCharType="begin"/>
      </w:r>
      <w:r w:rsidR="00A97349">
        <w:instrText xml:space="preserve"> REF _Ref459891216 \h </w:instrText>
      </w:r>
      <w:r w:rsidR="00A97349">
        <w:fldChar w:fldCharType="separate"/>
      </w:r>
      <w:r w:rsidR="005D5925">
        <w:t xml:space="preserve">Figure </w:t>
      </w:r>
      <w:r w:rsidR="005D5925">
        <w:rPr>
          <w:noProof/>
        </w:rPr>
        <w:t>K</w:t>
      </w:r>
      <w:r w:rsidR="005D5925">
        <w:noBreakHyphen/>
      </w:r>
      <w:r w:rsidR="005D5925">
        <w:rPr>
          <w:noProof/>
        </w:rPr>
        <w:t>3</w:t>
      </w:r>
      <w:r w:rsidR="00A97349">
        <w:fldChar w:fldCharType="end"/>
      </w:r>
      <w:r w:rsidRPr="006A6487">
        <w:t>;</w:t>
      </w:r>
      <w:r>
        <w:t xml:space="preserve"> </w:t>
      </w:r>
      <w:r w:rsidR="00CD3111">
        <w:fldChar w:fldCharType="begin"/>
      </w:r>
      <w:r w:rsidR="00CD3111">
        <w:instrText xml:space="preserve"> REF _Ref453095764 \h </w:instrText>
      </w:r>
      <w:r w:rsidR="00CD3111">
        <w:fldChar w:fldCharType="separate"/>
      </w:r>
      <w:r w:rsidR="005D5925">
        <w:t xml:space="preserve">Table </w:t>
      </w:r>
      <w:r w:rsidR="005D5925">
        <w:rPr>
          <w:noProof/>
        </w:rPr>
        <w:t>K</w:t>
      </w:r>
      <w:r w:rsidR="005D5925">
        <w:noBreakHyphen/>
      </w:r>
      <w:r w:rsidR="005D5925">
        <w:rPr>
          <w:noProof/>
        </w:rPr>
        <w:t>3</w:t>
      </w:r>
      <w:r w:rsidR="00CD3111">
        <w:fldChar w:fldCharType="end"/>
      </w:r>
      <w:r>
        <w:t xml:space="preserve">).  This included seven waterbird species listed under one or more international migratory bird agreements (JAMBA, CAMBA and ROKAMBA) and five </w:t>
      </w:r>
      <w:r w:rsidR="00773C47">
        <w:t xml:space="preserve">bird </w:t>
      </w:r>
      <w:r>
        <w:t>species listed under the NSW TSC Act: brolga, magpie goose, black-tailed godwit (</w:t>
      </w:r>
      <w:r>
        <w:rPr>
          <w:i/>
        </w:rPr>
        <w:t>Limosa limosa</w:t>
      </w:r>
      <w:r>
        <w:t>), black falcon (</w:t>
      </w:r>
      <w:r>
        <w:rPr>
          <w:i/>
        </w:rPr>
        <w:t>Falco subniger</w:t>
      </w:r>
      <w:r>
        <w:t>) and black-necked stork (</w:t>
      </w:r>
      <w:r>
        <w:rPr>
          <w:i/>
        </w:rPr>
        <w:t>Ephippiorhynchus asiaticus</w:t>
      </w:r>
      <w:r>
        <w:t>).  Migratory shorebirds recorded included black-tailed godwit, common greenshank (</w:t>
      </w:r>
      <w:r>
        <w:rPr>
          <w:i/>
        </w:rPr>
        <w:t>Tringa nebularia</w:t>
      </w:r>
      <w:r>
        <w:t>), Latham’s snipe (</w:t>
      </w:r>
      <w:r>
        <w:rPr>
          <w:i/>
        </w:rPr>
        <w:t>Gallinago hardwickii</w:t>
      </w:r>
      <w:r>
        <w:t>), marsh sandpiper (</w:t>
      </w:r>
      <w:r>
        <w:rPr>
          <w:i/>
        </w:rPr>
        <w:t>Tringa stagnatilis</w:t>
      </w:r>
      <w:r>
        <w:t>) and sharp-tailed sandpiper (</w:t>
      </w:r>
      <w:r>
        <w:rPr>
          <w:i/>
        </w:rPr>
        <w:t>Calidris acuminata</w:t>
      </w:r>
      <w:r>
        <w:t xml:space="preserve">). </w:t>
      </w:r>
    </w:p>
    <w:p w:rsidR="0056539E" w:rsidRDefault="0056539E" w:rsidP="0056539E">
      <w:r>
        <w:t>The maximum count of waterbirds in November 2015 was 314</w:t>
      </w:r>
      <w:r w:rsidR="00AD380A">
        <w:t xml:space="preserve"> per ha</w:t>
      </w:r>
      <w:r>
        <w:t>, comprising 55 species; and in March 2016 was 250</w:t>
      </w:r>
      <w:r w:rsidR="00AD380A">
        <w:t xml:space="preserve"> per ha</w:t>
      </w:r>
      <w:r>
        <w:t>, comprising 44 species (</w:t>
      </w:r>
      <w:r>
        <w:fldChar w:fldCharType="begin"/>
      </w:r>
      <w:r>
        <w:instrText xml:space="preserve"> REF _Ref453095693 \h </w:instrText>
      </w:r>
      <w:r>
        <w:fldChar w:fldCharType="separate"/>
      </w:r>
      <w:r w:rsidR="005D5925">
        <w:t xml:space="preserve">Figure </w:t>
      </w:r>
      <w:r w:rsidR="005D5925">
        <w:rPr>
          <w:noProof/>
        </w:rPr>
        <w:t>K</w:t>
      </w:r>
      <w:r w:rsidR="005D5925">
        <w:noBreakHyphen/>
      </w:r>
      <w:r w:rsidR="005D5925">
        <w:rPr>
          <w:noProof/>
        </w:rPr>
        <w:t>4</w:t>
      </w:r>
      <w:r>
        <w:fldChar w:fldCharType="end"/>
      </w:r>
      <w:r>
        <w:t xml:space="preserve">; </w:t>
      </w:r>
      <w:r>
        <w:fldChar w:fldCharType="begin"/>
      </w:r>
      <w:r>
        <w:instrText xml:space="preserve"> REF _Ref453095723 \h </w:instrText>
      </w:r>
      <w:r>
        <w:fldChar w:fldCharType="separate"/>
      </w:r>
      <w:r w:rsidR="005D5925">
        <w:t xml:space="preserve">Figure </w:t>
      </w:r>
      <w:r w:rsidR="005D5925">
        <w:rPr>
          <w:noProof/>
        </w:rPr>
        <w:t>K</w:t>
      </w:r>
      <w:r w:rsidR="005D5925">
        <w:noBreakHyphen/>
      </w:r>
      <w:r w:rsidR="005D5925">
        <w:rPr>
          <w:noProof/>
        </w:rPr>
        <w:t>5</w:t>
      </w:r>
      <w:r>
        <w:fldChar w:fldCharType="end"/>
      </w:r>
      <w:r>
        <w:t xml:space="preserve">; </w:t>
      </w:r>
      <w:r>
        <w:fldChar w:fldCharType="begin"/>
      </w:r>
      <w:r>
        <w:instrText xml:space="preserve"> REF _Ref453095764 \h </w:instrText>
      </w:r>
      <w:r>
        <w:fldChar w:fldCharType="separate"/>
      </w:r>
      <w:r w:rsidR="005D5925">
        <w:t xml:space="preserve">Table </w:t>
      </w:r>
      <w:r w:rsidR="005D5925">
        <w:rPr>
          <w:noProof/>
        </w:rPr>
        <w:t>K</w:t>
      </w:r>
      <w:r w:rsidR="005D5925">
        <w:noBreakHyphen/>
      </w:r>
      <w:r w:rsidR="005D5925">
        <w:rPr>
          <w:noProof/>
        </w:rPr>
        <w:t>3</w:t>
      </w:r>
      <w:r>
        <w:fldChar w:fldCharType="end"/>
      </w:r>
      <w:r>
        <w:t>).  As such, although waterbird abundance and species richness were higher in November 2015 (mean abundance 10.8 birds</w:t>
      </w:r>
      <w:r w:rsidR="00AD380A">
        <w:t xml:space="preserve"> per ha</w:t>
      </w:r>
      <w:r>
        <w:t>, mean richness per site 10.7) than March 2016 (mean abundance 8.6 birds</w:t>
      </w:r>
      <w:r w:rsidR="00AD380A">
        <w:t xml:space="preserve"> per ha</w:t>
      </w:r>
      <w:r>
        <w:t xml:space="preserve">, mean richness per site 7.1) the difference was not significant (abundance; p=0.282, species richness; p=0.075). Variability across sites was high in both sampling periods.  A comparison of sites </w:t>
      </w:r>
      <w:r w:rsidR="0049092F">
        <w:t>that</w:t>
      </w:r>
      <w:r>
        <w:t xml:space="preserve"> were inundated against those which were not showed significantly higher abundance and species richness in inundated sites (mean abundance 17.9 birds</w:t>
      </w:r>
      <w:r w:rsidR="00AD380A">
        <w:t xml:space="preserve"> per ha</w:t>
      </w:r>
      <w:r>
        <w:t>; mean richness per site 12.30) than dry sites (mean abundance 2.6 birds</w:t>
      </w:r>
      <w:r w:rsidR="00AD380A">
        <w:t xml:space="preserve"> per ha</w:t>
      </w:r>
      <w:r>
        <w:t>; mean richness per site 5.94).</w:t>
      </w:r>
    </w:p>
    <w:p w:rsidR="0056539E" w:rsidRDefault="0056539E" w:rsidP="0056539E">
      <w:r w:rsidRPr="00CC6B6E">
        <w:t>Pairwise comparisons using a single factor analysis of variance show</w:t>
      </w:r>
      <w:r>
        <w:t>ed</w:t>
      </w:r>
      <w:r w:rsidRPr="00CC6B6E">
        <w:t xml:space="preserve"> that </w:t>
      </w:r>
      <w:r>
        <w:t xml:space="preserve">mean </w:t>
      </w:r>
      <w:r w:rsidRPr="00CC6B6E">
        <w:t>abundance</w:t>
      </w:r>
      <w:r>
        <w:t xml:space="preserve">/ha and richness did not differ </w:t>
      </w:r>
      <w:r w:rsidR="00773C47">
        <w:t>among</w:t>
      </w:r>
      <w:r>
        <w:t xml:space="preserve"> </w:t>
      </w:r>
      <w:r w:rsidR="00605C43">
        <w:t>system</w:t>
      </w:r>
      <w:r>
        <w:t xml:space="preserve">s </w:t>
      </w:r>
      <w:r w:rsidRPr="00CC6B6E">
        <w:t xml:space="preserve">for the 2015-16 </w:t>
      </w:r>
      <w:r>
        <w:t>water year.</w:t>
      </w:r>
      <w:r w:rsidR="00A97349">
        <w:t xml:space="preserve"> </w:t>
      </w:r>
      <w:r w:rsidRPr="00CC6B6E">
        <w:t xml:space="preserve"> </w:t>
      </w:r>
      <w:r>
        <w:t xml:space="preserve">Comparisons </w:t>
      </w:r>
      <w:r w:rsidR="00773C47">
        <w:t>among</w:t>
      </w:r>
      <w:r>
        <w:t xml:space="preserve"> site types showed that average species richness per site differed between creek sites (4.4) and floodplain wetlands (11.5) although </w:t>
      </w:r>
      <w:r w:rsidR="00773C47">
        <w:t xml:space="preserve">total bird </w:t>
      </w:r>
      <w:r>
        <w:t>abundance</w:t>
      </w:r>
      <w:r w:rsidR="0049092F">
        <w:t xml:space="preserve"> per ha</w:t>
      </w:r>
      <w:r>
        <w:t xml:space="preserve"> did not.  Floodplain wetlands and waterholes did not differ significantly for any indicators tested and it appears they offer functionally similar habitat for waterbirds.</w:t>
      </w:r>
    </w:p>
    <w:p w:rsidR="0056539E" w:rsidRDefault="0049092F" w:rsidP="0056539E">
      <w:r>
        <w:t>Bunnor b</w:t>
      </w:r>
      <w:r w:rsidR="0056539E">
        <w:t xml:space="preserve">ird </w:t>
      </w:r>
      <w:r>
        <w:t>h</w:t>
      </w:r>
      <w:r w:rsidR="0056539E">
        <w:t>ide recorded the highest species richness and waterbird abundance for the 2015-16 water year in the March 2016 survey, with an abundance of 94 waterbirds/ha comprised of 27 species. Evenness was moderate in this survey (</w:t>
      </w:r>
      <w:r w:rsidR="0056539E" w:rsidRPr="000A42BF">
        <w:t>H</w:t>
      </w:r>
      <w:r w:rsidR="0056539E" w:rsidRPr="000A42BF">
        <w:rPr>
          <w:vertAlign w:val="subscript"/>
        </w:rPr>
        <w:t>E</w:t>
      </w:r>
      <w:r w:rsidR="0056539E">
        <w:rPr>
          <w:vertAlign w:val="subscript"/>
        </w:rPr>
        <w:t xml:space="preserve"> </w:t>
      </w:r>
      <w:r w:rsidR="0056539E">
        <w:t xml:space="preserve">=0.67) and was moderate to high across all surveys. </w:t>
      </w:r>
      <w:r w:rsidR="00A97349">
        <w:t xml:space="preserve"> </w:t>
      </w:r>
      <w:r w:rsidR="0056539E" w:rsidRPr="000A42BF">
        <w:t>This</w:t>
      </w:r>
      <w:r w:rsidR="0056539E">
        <w:t xml:space="preserve"> survey accounted for 17% of the maximum waterbird count/ha in the 2015-16 water year (</w:t>
      </w:r>
      <w:r w:rsidR="0056539E">
        <w:fldChar w:fldCharType="begin"/>
      </w:r>
      <w:r w:rsidR="0056539E">
        <w:instrText xml:space="preserve"> REF _Ref453095693 \h </w:instrText>
      </w:r>
      <w:r w:rsidR="0056539E">
        <w:fldChar w:fldCharType="separate"/>
      </w:r>
      <w:r w:rsidR="005D5925">
        <w:t xml:space="preserve">Figure </w:t>
      </w:r>
      <w:r w:rsidR="005D5925">
        <w:rPr>
          <w:noProof/>
        </w:rPr>
        <w:t>K</w:t>
      </w:r>
      <w:r w:rsidR="005D5925">
        <w:noBreakHyphen/>
      </w:r>
      <w:r w:rsidR="005D5925">
        <w:rPr>
          <w:noProof/>
        </w:rPr>
        <w:t>4</w:t>
      </w:r>
      <w:r w:rsidR="0056539E">
        <w:fldChar w:fldCharType="end"/>
      </w:r>
      <w:r w:rsidR="0056539E">
        <w:t xml:space="preserve">; </w:t>
      </w:r>
      <w:r w:rsidR="0056539E">
        <w:fldChar w:fldCharType="begin"/>
      </w:r>
      <w:r w:rsidR="0056539E">
        <w:instrText xml:space="preserve"> REF _Ref453095723 \h </w:instrText>
      </w:r>
      <w:r w:rsidR="0056539E">
        <w:fldChar w:fldCharType="separate"/>
      </w:r>
      <w:r w:rsidR="005D5925">
        <w:t xml:space="preserve">Figure </w:t>
      </w:r>
      <w:r w:rsidR="005D5925">
        <w:rPr>
          <w:noProof/>
        </w:rPr>
        <w:t>K</w:t>
      </w:r>
      <w:r w:rsidR="005D5925">
        <w:noBreakHyphen/>
      </w:r>
      <w:r w:rsidR="005D5925">
        <w:rPr>
          <w:noProof/>
        </w:rPr>
        <w:t>5</w:t>
      </w:r>
      <w:r w:rsidR="0056539E">
        <w:fldChar w:fldCharType="end"/>
      </w:r>
      <w:r w:rsidR="0056539E">
        <w:t xml:space="preserve">; </w:t>
      </w:r>
      <w:r w:rsidR="0056539E">
        <w:fldChar w:fldCharType="begin"/>
      </w:r>
      <w:r w:rsidR="0056539E">
        <w:instrText xml:space="preserve"> REF _Ref453095764 \h </w:instrText>
      </w:r>
      <w:r w:rsidR="0056539E">
        <w:fldChar w:fldCharType="separate"/>
      </w:r>
      <w:r w:rsidR="005D5925">
        <w:t xml:space="preserve">Table </w:t>
      </w:r>
      <w:r w:rsidR="005D5925">
        <w:rPr>
          <w:noProof/>
        </w:rPr>
        <w:t>K</w:t>
      </w:r>
      <w:r w:rsidR="005D5925">
        <w:noBreakHyphen/>
      </w:r>
      <w:r w:rsidR="005D5925">
        <w:rPr>
          <w:noProof/>
        </w:rPr>
        <w:t>3</w:t>
      </w:r>
      <w:r w:rsidR="0056539E">
        <w:fldChar w:fldCharType="end"/>
      </w:r>
      <w:r w:rsidR="0056539E">
        <w:t xml:space="preserve">). </w:t>
      </w:r>
      <w:r w:rsidR="00A97349">
        <w:t xml:space="preserve"> </w:t>
      </w:r>
      <w:r w:rsidR="0056539E">
        <w:t xml:space="preserve">Generally, evenness decreased with increased species richness per site. </w:t>
      </w:r>
    </w:p>
    <w:p w:rsidR="0056539E" w:rsidRDefault="0056539E" w:rsidP="0056539E">
      <w:r>
        <w:t xml:space="preserve">Several large flocks </w:t>
      </w:r>
      <w:r w:rsidR="0049092F">
        <w:t xml:space="preserve">of waterbirds </w:t>
      </w:r>
      <w:r>
        <w:t>were observed during the 2015-16 water year including 100 little pied cormorants (</w:t>
      </w:r>
      <w:r>
        <w:rPr>
          <w:i/>
        </w:rPr>
        <w:t xml:space="preserve">Microcarbo melanoleucas) </w:t>
      </w:r>
      <w:r>
        <w:t>at Westholme South East in March 2016; 100 and 101 glossy ibis (</w:t>
      </w:r>
      <w:r>
        <w:rPr>
          <w:i/>
        </w:rPr>
        <w:t>Plegadis falcinellus</w:t>
      </w:r>
      <w:r>
        <w:t>) at Goddard’s Lease in November 2015 and March 2016 respectively; 150 magpie geese near Goddard’s Lease in November 2015 and 107 and 168 cattle egrets (</w:t>
      </w:r>
      <w:r>
        <w:rPr>
          <w:i/>
        </w:rPr>
        <w:t>Ardea ibis</w:t>
      </w:r>
      <w:r>
        <w:t>) at Bunnor Bird Hide and Goddard’s Lease respectively in March 2016.</w:t>
      </w:r>
    </w:p>
    <w:p w:rsidR="0056539E" w:rsidRDefault="0056539E" w:rsidP="0056539E">
      <w:r>
        <w:t xml:space="preserve">Several sites, </w:t>
      </w:r>
      <w:r w:rsidR="0049092F">
        <w:t>that</w:t>
      </w:r>
      <w:r>
        <w:t xml:space="preserve"> were dry at the time of sampling recorded only woodland birds: Baroona Waterhole in both November 2015 and March 2016; Talmoi and Tillaloo Waterholes in November 2015 and Gingham Bridge and Gin Holes in March 2016.  Talmoi and </w:t>
      </w:r>
      <w:r w:rsidR="00D97D60">
        <w:t>Tillaloo</w:t>
      </w:r>
      <w:r>
        <w:t xml:space="preserve"> Waterholes were also dry during March 2016 and recorded low waterbird counts, however, the species recorded were from the raptor functional group and as such not strictly dependent on the presence of water at the site.  Similarly, Gingham Bridge was dry in November 2015 and </w:t>
      </w:r>
      <w:r w:rsidR="0049092F">
        <w:t>recorded</w:t>
      </w:r>
      <w:r>
        <w:t xml:space="preserve"> a low waterbird count with an Australian pratincole (</w:t>
      </w:r>
      <w:r>
        <w:rPr>
          <w:i/>
        </w:rPr>
        <w:t xml:space="preserve">Stiltia </w:t>
      </w:r>
      <w:proofErr w:type="gramStart"/>
      <w:r>
        <w:rPr>
          <w:i/>
        </w:rPr>
        <w:t>isabella</w:t>
      </w:r>
      <w:proofErr w:type="gramEnd"/>
      <w:r>
        <w:t xml:space="preserve">) seen </w:t>
      </w:r>
      <w:r>
        <w:rPr>
          <w:i/>
        </w:rPr>
        <w:t xml:space="preserve">en route </w:t>
      </w:r>
      <w:r>
        <w:t>to the site the only waterbird species observed.</w:t>
      </w:r>
    </w:p>
    <w:p w:rsidR="0056539E" w:rsidRDefault="0056539E" w:rsidP="009524AD">
      <w:r>
        <w:t>The most widespread species recorded in the 2015-16 surveys were the Pacific black duck (</w:t>
      </w:r>
      <w:r>
        <w:rPr>
          <w:i/>
        </w:rPr>
        <w:t>Anas superciliosa</w:t>
      </w:r>
      <w:r>
        <w:t>), white-faced heron (</w:t>
      </w:r>
      <w:r>
        <w:rPr>
          <w:i/>
        </w:rPr>
        <w:t>Egretta novaehollandiae</w:t>
      </w:r>
      <w:r>
        <w:t>), whistling kite (</w:t>
      </w:r>
      <w:r>
        <w:rPr>
          <w:i/>
        </w:rPr>
        <w:t>Haliastur sphenurus</w:t>
      </w:r>
      <w:r>
        <w:t>) grey teal (</w:t>
      </w:r>
      <w:r>
        <w:rPr>
          <w:i/>
        </w:rPr>
        <w:t>Anas gracilis</w:t>
      </w:r>
      <w:r>
        <w:t>), sacred kingfisher (</w:t>
      </w:r>
      <w:r>
        <w:rPr>
          <w:i/>
        </w:rPr>
        <w:t>Todiramphus sanctus</w:t>
      </w:r>
      <w:r>
        <w:t>) and Australian pelican (</w:t>
      </w:r>
      <w:r>
        <w:rPr>
          <w:i/>
        </w:rPr>
        <w:t>Pelecanus conspicillatus</w:t>
      </w:r>
      <w:r>
        <w:t>) which all occurred at more than 15 of the 29 sites surveyed (</w:t>
      </w:r>
      <w:r w:rsidR="002C5035">
        <w:fldChar w:fldCharType="begin"/>
      </w:r>
      <w:r w:rsidR="002C5035">
        <w:instrText xml:space="preserve"> REF _Ref457994842 \h </w:instrText>
      </w:r>
      <w:r w:rsidR="009524AD">
        <w:instrText xml:space="preserve"> \* MERGEFORMAT </w:instrText>
      </w:r>
      <w:r w:rsidR="002C5035">
        <w:fldChar w:fldCharType="separate"/>
      </w:r>
      <w:r w:rsidR="005D5925">
        <w:t xml:space="preserve">Table </w:t>
      </w:r>
      <w:r w:rsidR="005D5925">
        <w:rPr>
          <w:noProof/>
        </w:rPr>
        <w:t>K</w:t>
      </w:r>
      <w:r w:rsidR="005D5925">
        <w:rPr>
          <w:noProof/>
        </w:rPr>
        <w:noBreakHyphen/>
        <w:t>4</w:t>
      </w:r>
      <w:r w:rsidR="002C5035">
        <w:fldChar w:fldCharType="end"/>
      </w:r>
      <w:r>
        <w:t>).  Overall, the five most abundant species (Pacific black duck, glossy ibis, grey teal, Australian wood duck and cattle egret) account for 42% of all waterbirds observed in the 2015-16 water year and were observed in both survey periods.</w:t>
      </w:r>
    </w:p>
    <w:p w:rsidR="00AE2431" w:rsidRDefault="00AE2431" w:rsidP="009524AD"/>
    <w:p w:rsidR="00BD0A55" w:rsidRDefault="004176FF" w:rsidP="00BD0A55">
      <w:pPr>
        <w:keepNext/>
        <w:spacing w:line="240" w:lineRule="auto"/>
      </w:pPr>
      <w:r w:rsidRPr="008F5E11">
        <w:rPr>
          <w:noProof/>
          <w:lang w:eastAsia="en-AU"/>
        </w:rPr>
        <w:drawing>
          <wp:inline distT="0" distB="0" distL="0" distR="0">
            <wp:extent cx="5781675" cy="3943350"/>
            <wp:effectExtent l="0" t="0" r="9525" b="0"/>
            <wp:docPr id="10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8">
                      <a:extLst>
                        <a:ext uri="{28A0092B-C50C-407E-A947-70E740481C1C}">
                          <a14:useLocalDpi xmlns:a14="http://schemas.microsoft.com/office/drawing/2010/main"/>
                        </a:ext>
                      </a:extLst>
                    </a:blip>
                    <a:srcRect/>
                    <a:stretch>
                      <a:fillRect/>
                    </a:stretch>
                  </pic:blipFill>
                  <pic:spPr bwMode="auto">
                    <a:xfrm>
                      <a:off x="0" y="0"/>
                      <a:ext cx="5781675" cy="3943350"/>
                    </a:xfrm>
                    <a:prstGeom prst="rect">
                      <a:avLst/>
                    </a:prstGeom>
                    <a:noFill/>
                    <a:ln>
                      <a:noFill/>
                    </a:ln>
                  </pic:spPr>
                </pic:pic>
              </a:graphicData>
            </a:graphic>
          </wp:inline>
        </w:drawing>
      </w:r>
    </w:p>
    <w:p w:rsidR="00AE2431" w:rsidRDefault="00BD0A55" w:rsidP="00BD0A55">
      <w:pPr>
        <w:pStyle w:val="Caption"/>
      </w:pPr>
      <w:bookmarkStart w:id="173" w:name="_Ref459891216"/>
      <w:r>
        <w:t xml:space="preserve">Figure </w:t>
      </w:r>
      <w:fldSimple w:instr=" STYLEREF 6 \s ">
        <w:r w:rsidR="00673DAF">
          <w:rPr>
            <w:noProof/>
          </w:rPr>
          <w:t>K</w:t>
        </w:r>
      </w:fldSimple>
      <w:r w:rsidR="00673DAF">
        <w:noBreakHyphen/>
      </w:r>
      <w:fldSimple w:instr=" SEQ Figure \* ARABIC \s 6 ">
        <w:r w:rsidR="00673DAF">
          <w:rPr>
            <w:noProof/>
          </w:rPr>
          <w:t>3</w:t>
        </w:r>
      </w:fldSimple>
      <w:bookmarkEnd w:id="173"/>
      <w:r>
        <w:t xml:space="preserve"> Waterbirds observed in 2015-2016 water year in the Gwydir River system selected area; (a) glossy ibis; (b) royal spoonbill; (c) whiskered tern; (d) black-winged stilt.</w:t>
      </w:r>
    </w:p>
    <w:p w:rsidR="00AE2431" w:rsidRPr="00AE2431" w:rsidRDefault="00AE2431" w:rsidP="00AE2431">
      <w:pPr>
        <w:sectPr w:rsidR="00AE2431" w:rsidRPr="00AE2431" w:rsidSect="004F411E">
          <w:type w:val="nextColumn"/>
          <w:pgSz w:w="11899" w:h="16838"/>
          <w:pgMar w:top="1508" w:right="1219" w:bottom="1457" w:left="1480" w:header="811" w:footer="305" w:gutter="0"/>
          <w:pgNumType w:chapStyle="6"/>
          <w:cols w:space="708"/>
          <w:docGrid w:linePitch="360"/>
        </w:sectPr>
      </w:pPr>
    </w:p>
    <w:p w:rsidR="0056539E" w:rsidRDefault="0056539E" w:rsidP="001E44F6">
      <w:pPr>
        <w:pStyle w:val="Caption"/>
      </w:pPr>
      <w:bookmarkStart w:id="174" w:name="_Ref453095764"/>
      <w:r>
        <w:t xml:space="preserve">Table </w:t>
      </w:r>
      <w:fldSimple w:instr=" STYLEREF 6 \s ">
        <w:r w:rsidR="005D5925">
          <w:rPr>
            <w:noProof/>
          </w:rPr>
          <w:t>K</w:t>
        </w:r>
      </w:fldSimple>
      <w:r w:rsidR="005D4453">
        <w:noBreakHyphen/>
      </w:r>
      <w:fldSimple w:instr=" SEQ Table \* ARABIC \s 6 ">
        <w:r w:rsidR="005D5925">
          <w:rPr>
            <w:noProof/>
          </w:rPr>
          <w:t>3</w:t>
        </w:r>
      </w:fldSimple>
      <w:bookmarkEnd w:id="174"/>
      <w:r>
        <w:t xml:space="preserve"> </w:t>
      </w:r>
      <w:r w:rsidRPr="00E26F34">
        <w:t>Species richness, abundance and the number of waterbird functional groups recorded at waterbird survey sites within the Gwydir river system Selected Area during 2015-16.</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08"/>
        <w:gridCol w:w="622"/>
        <w:gridCol w:w="2295"/>
        <w:gridCol w:w="1028"/>
        <w:gridCol w:w="1025"/>
        <w:gridCol w:w="861"/>
        <w:gridCol w:w="850"/>
        <w:gridCol w:w="861"/>
        <w:gridCol w:w="850"/>
      </w:tblGrid>
      <w:tr w:rsidR="0056539E" w:rsidRPr="00E23B8D" w:rsidTr="001E44F6">
        <w:trPr>
          <w:trHeight w:val="1307"/>
          <w:tblHeader/>
        </w:trPr>
        <w:tc>
          <w:tcPr>
            <w:tcW w:w="504" w:type="pct"/>
            <w:vMerge w:val="restart"/>
            <w:shd w:val="clear" w:color="000000" w:fill="D9D9D9"/>
            <w:textDirection w:val="btLr"/>
            <w:vAlign w:val="bottom"/>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Monitoring Zone</w:t>
            </w:r>
          </w:p>
        </w:tc>
        <w:tc>
          <w:tcPr>
            <w:tcW w:w="233" w:type="pct"/>
            <w:vMerge w:val="restart"/>
            <w:shd w:val="clear" w:color="000000" w:fill="D9D9D9"/>
            <w:textDirection w:val="btLr"/>
            <w:vAlign w:val="center"/>
            <w:hideMark/>
          </w:tcPr>
          <w:p w:rsidR="0056539E" w:rsidRPr="00E23B8D" w:rsidRDefault="00605C43" w:rsidP="00E23B8D">
            <w:pPr>
              <w:spacing w:before="60" w:after="60"/>
              <w:jc w:val="center"/>
              <w:rPr>
                <w:rFonts w:cs="Arial"/>
                <w:color w:val="000000"/>
                <w:szCs w:val="20"/>
                <w:lang w:val="en-US"/>
              </w:rPr>
            </w:pPr>
            <w:r w:rsidRPr="00E23B8D">
              <w:rPr>
                <w:rFonts w:cs="Arial"/>
                <w:color w:val="000000"/>
                <w:szCs w:val="20"/>
                <w:lang w:val="en-US"/>
              </w:rPr>
              <w:t>System</w:t>
            </w:r>
          </w:p>
        </w:tc>
        <w:tc>
          <w:tcPr>
            <w:tcW w:w="1136" w:type="pct"/>
            <w:vMerge w:val="restart"/>
            <w:shd w:val="clear" w:color="000000" w:fill="D9D9D9"/>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Site Name</w:t>
            </w:r>
          </w:p>
        </w:tc>
        <w:tc>
          <w:tcPr>
            <w:tcW w:w="1244" w:type="pct"/>
            <w:gridSpan w:val="2"/>
            <w:shd w:val="clear" w:color="000000" w:fill="D9D9D9"/>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 xml:space="preserve">Waterbird Species Richness </w:t>
            </w:r>
            <w:r w:rsidRPr="00E23B8D">
              <w:rPr>
                <w:rFonts w:cs="Arial"/>
                <w:color w:val="000000"/>
                <w:szCs w:val="20"/>
                <w:lang w:val="en-US"/>
              </w:rPr>
              <w:br/>
              <w:t>(Maximum species count per site)</w:t>
            </w:r>
          </w:p>
        </w:tc>
        <w:tc>
          <w:tcPr>
            <w:tcW w:w="942" w:type="pct"/>
            <w:gridSpan w:val="2"/>
            <w:shd w:val="clear" w:color="000000" w:fill="D9D9D9"/>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Waterbird abundance/ ha (maximum waterbird count per site/ ha)</w:t>
            </w:r>
          </w:p>
        </w:tc>
        <w:tc>
          <w:tcPr>
            <w:tcW w:w="941" w:type="pct"/>
            <w:gridSpan w:val="2"/>
            <w:shd w:val="clear" w:color="000000" w:fill="D9D9D9"/>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Waterbird functional guilds</w:t>
            </w:r>
          </w:p>
        </w:tc>
      </w:tr>
      <w:tr w:rsidR="0056539E" w:rsidRPr="00E23B8D" w:rsidTr="00E23B8D">
        <w:trPr>
          <w:trHeight w:val="240"/>
          <w:tblHeader/>
        </w:trPr>
        <w:tc>
          <w:tcPr>
            <w:tcW w:w="504" w:type="pct"/>
            <w:vMerge/>
            <w:vAlign w:val="center"/>
            <w:hideMark/>
          </w:tcPr>
          <w:p w:rsidR="0056539E" w:rsidRPr="00E23B8D" w:rsidRDefault="0056539E" w:rsidP="00E23B8D">
            <w:pPr>
              <w:spacing w:before="60" w:after="60"/>
              <w:jc w:val="left"/>
              <w:rPr>
                <w:rFonts w:cs="Arial"/>
                <w:color w:val="000000"/>
                <w:szCs w:val="20"/>
                <w:lang w:val="en-US"/>
              </w:rPr>
            </w:pPr>
          </w:p>
        </w:tc>
        <w:tc>
          <w:tcPr>
            <w:tcW w:w="233" w:type="pct"/>
            <w:vMerge/>
            <w:vAlign w:val="center"/>
            <w:hideMark/>
          </w:tcPr>
          <w:p w:rsidR="0056539E" w:rsidRPr="00E23B8D" w:rsidRDefault="0056539E" w:rsidP="00E23B8D">
            <w:pPr>
              <w:spacing w:before="60" w:after="60"/>
              <w:jc w:val="left"/>
              <w:rPr>
                <w:rFonts w:cs="Arial"/>
                <w:color w:val="000000"/>
                <w:szCs w:val="20"/>
                <w:lang w:val="en-US"/>
              </w:rPr>
            </w:pPr>
          </w:p>
        </w:tc>
        <w:tc>
          <w:tcPr>
            <w:tcW w:w="1136" w:type="pct"/>
            <w:vMerge/>
            <w:vAlign w:val="center"/>
            <w:hideMark/>
          </w:tcPr>
          <w:p w:rsidR="0056539E" w:rsidRPr="00E23B8D" w:rsidRDefault="0056539E" w:rsidP="00E23B8D">
            <w:pPr>
              <w:spacing w:before="60" w:after="60"/>
              <w:jc w:val="left"/>
              <w:rPr>
                <w:rFonts w:cs="Arial"/>
                <w:color w:val="000000"/>
                <w:szCs w:val="20"/>
                <w:lang w:val="en-US"/>
              </w:rPr>
            </w:pPr>
          </w:p>
        </w:tc>
        <w:tc>
          <w:tcPr>
            <w:tcW w:w="623" w:type="pct"/>
            <w:shd w:val="clear" w:color="000000" w:fill="D9D9D9"/>
            <w:noWrap/>
            <w:vAlign w:val="bottom"/>
            <w:hideMark/>
          </w:tcPr>
          <w:p w:rsidR="0056539E" w:rsidRPr="00E23B8D" w:rsidRDefault="0056539E" w:rsidP="00E23B8D">
            <w:pPr>
              <w:spacing w:before="60" w:after="60"/>
              <w:jc w:val="right"/>
              <w:rPr>
                <w:rFonts w:cs="Arial"/>
                <w:color w:val="000000"/>
                <w:szCs w:val="20"/>
                <w:lang w:val="en-US"/>
              </w:rPr>
            </w:pPr>
            <w:r w:rsidRPr="00E23B8D">
              <w:rPr>
                <w:rFonts w:cs="Arial"/>
                <w:color w:val="000000"/>
                <w:szCs w:val="20"/>
                <w:lang w:val="en-US"/>
              </w:rPr>
              <w:t>Nov-15</w:t>
            </w:r>
          </w:p>
        </w:tc>
        <w:tc>
          <w:tcPr>
            <w:tcW w:w="621" w:type="pct"/>
            <w:shd w:val="clear" w:color="000000" w:fill="D9D9D9"/>
            <w:noWrap/>
            <w:vAlign w:val="bottom"/>
            <w:hideMark/>
          </w:tcPr>
          <w:p w:rsidR="0056539E" w:rsidRPr="00E23B8D" w:rsidRDefault="0056539E" w:rsidP="00E23B8D">
            <w:pPr>
              <w:spacing w:before="60" w:after="60"/>
              <w:jc w:val="right"/>
              <w:rPr>
                <w:rFonts w:cs="Arial"/>
                <w:color w:val="000000"/>
                <w:szCs w:val="20"/>
                <w:lang w:val="en-US"/>
              </w:rPr>
            </w:pPr>
            <w:r w:rsidRPr="00E23B8D">
              <w:rPr>
                <w:rFonts w:cs="Arial"/>
                <w:color w:val="000000"/>
                <w:szCs w:val="20"/>
                <w:lang w:val="en-US"/>
              </w:rPr>
              <w:t>Mar-16</w:t>
            </w:r>
          </w:p>
        </w:tc>
        <w:tc>
          <w:tcPr>
            <w:tcW w:w="475" w:type="pct"/>
            <w:shd w:val="clear" w:color="000000" w:fill="D9D9D9"/>
            <w:noWrap/>
            <w:vAlign w:val="bottom"/>
            <w:hideMark/>
          </w:tcPr>
          <w:p w:rsidR="0056539E" w:rsidRPr="00E23B8D" w:rsidRDefault="0056539E" w:rsidP="00E23B8D">
            <w:pPr>
              <w:spacing w:before="60" w:after="60"/>
              <w:jc w:val="right"/>
              <w:rPr>
                <w:rFonts w:cs="Arial"/>
                <w:color w:val="000000"/>
                <w:szCs w:val="20"/>
                <w:lang w:val="en-US"/>
              </w:rPr>
            </w:pPr>
            <w:r w:rsidRPr="00E23B8D">
              <w:rPr>
                <w:rFonts w:cs="Arial"/>
                <w:color w:val="000000"/>
                <w:szCs w:val="20"/>
                <w:lang w:val="en-US"/>
              </w:rPr>
              <w:t>Nov-15</w:t>
            </w:r>
          </w:p>
        </w:tc>
        <w:tc>
          <w:tcPr>
            <w:tcW w:w="467" w:type="pct"/>
            <w:shd w:val="clear" w:color="000000" w:fill="D9D9D9"/>
            <w:noWrap/>
            <w:vAlign w:val="bottom"/>
            <w:hideMark/>
          </w:tcPr>
          <w:p w:rsidR="0056539E" w:rsidRPr="00E23B8D" w:rsidRDefault="0056539E" w:rsidP="00E23B8D">
            <w:pPr>
              <w:spacing w:before="60" w:after="60"/>
              <w:jc w:val="right"/>
              <w:rPr>
                <w:rFonts w:cs="Arial"/>
                <w:color w:val="000000"/>
                <w:szCs w:val="20"/>
                <w:lang w:val="en-US"/>
              </w:rPr>
            </w:pPr>
            <w:r w:rsidRPr="00E23B8D">
              <w:rPr>
                <w:rFonts w:cs="Arial"/>
                <w:color w:val="000000"/>
                <w:szCs w:val="20"/>
                <w:lang w:val="en-US"/>
              </w:rPr>
              <w:t>Mar-16</w:t>
            </w:r>
          </w:p>
        </w:tc>
        <w:tc>
          <w:tcPr>
            <w:tcW w:w="475" w:type="pct"/>
            <w:shd w:val="clear" w:color="000000" w:fill="D9D9D9"/>
            <w:noWrap/>
            <w:vAlign w:val="bottom"/>
            <w:hideMark/>
          </w:tcPr>
          <w:p w:rsidR="0056539E" w:rsidRPr="00E23B8D" w:rsidRDefault="0056539E" w:rsidP="00E23B8D">
            <w:pPr>
              <w:spacing w:before="60" w:after="60"/>
              <w:jc w:val="right"/>
              <w:rPr>
                <w:rFonts w:cs="Arial"/>
                <w:color w:val="000000"/>
                <w:szCs w:val="20"/>
                <w:lang w:val="en-US"/>
              </w:rPr>
            </w:pPr>
            <w:r w:rsidRPr="00E23B8D">
              <w:rPr>
                <w:rFonts w:cs="Arial"/>
                <w:color w:val="000000"/>
                <w:szCs w:val="20"/>
                <w:lang w:val="en-US"/>
              </w:rPr>
              <w:t>Nov-15</w:t>
            </w:r>
          </w:p>
        </w:tc>
        <w:tc>
          <w:tcPr>
            <w:tcW w:w="466" w:type="pct"/>
            <w:shd w:val="clear" w:color="000000" w:fill="D9D9D9"/>
            <w:noWrap/>
            <w:vAlign w:val="bottom"/>
            <w:hideMark/>
          </w:tcPr>
          <w:p w:rsidR="0056539E" w:rsidRPr="00E23B8D" w:rsidRDefault="0056539E" w:rsidP="00E23B8D">
            <w:pPr>
              <w:spacing w:before="60" w:after="60"/>
              <w:jc w:val="right"/>
              <w:rPr>
                <w:rFonts w:cs="Arial"/>
                <w:color w:val="000000"/>
                <w:szCs w:val="20"/>
                <w:lang w:val="en-US"/>
              </w:rPr>
            </w:pPr>
            <w:r w:rsidRPr="00E23B8D">
              <w:rPr>
                <w:rFonts w:cs="Arial"/>
                <w:color w:val="000000"/>
                <w:szCs w:val="20"/>
                <w:lang w:val="en-US"/>
              </w:rPr>
              <w:t>Mar-16</w:t>
            </w:r>
          </w:p>
        </w:tc>
      </w:tr>
      <w:tr w:rsidR="0056539E" w:rsidRPr="00E23B8D" w:rsidTr="00E23B8D">
        <w:trPr>
          <w:trHeight w:val="240"/>
        </w:trPr>
        <w:tc>
          <w:tcPr>
            <w:tcW w:w="504" w:type="pct"/>
            <w:vMerge w:val="restart"/>
            <w:shd w:val="clear" w:color="auto" w:fill="auto"/>
            <w:textDirection w:val="btLr"/>
            <w:vAlign w:val="center"/>
            <w:hideMark/>
          </w:tcPr>
          <w:p w:rsidR="0056539E" w:rsidRPr="00E23B8D" w:rsidRDefault="001C3C04" w:rsidP="00E23B8D">
            <w:pPr>
              <w:spacing w:before="60" w:after="60"/>
              <w:jc w:val="center"/>
              <w:rPr>
                <w:rFonts w:cs="Arial"/>
                <w:color w:val="000000"/>
                <w:szCs w:val="20"/>
                <w:lang w:val="en-US"/>
              </w:rPr>
            </w:pPr>
            <w:r w:rsidRPr="00E23B8D">
              <w:rPr>
                <w:rFonts w:cs="Arial"/>
                <w:color w:val="000000"/>
                <w:szCs w:val="20"/>
                <w:lang w:val="en-US"/>
              </w:rPr>
              <w:t>lower</w:t>
            </w:r>
            <w:r w:rsidR="0056539E" w:rsidRPr="00E23B8D">
              <w:rPr>
                <w:rFonts w:cs="Arial"/>
                <w:color w:val="000000"/>
                <w:szCs w:val="20"/>
                <w:lang w:val="en-US"/>
              </w:rPr>
              <w:t xml:space="preserve"> Gwydir River and Gingham </w:t>
            </w:r>
            <w:r w:rsidRPr="00E23B8D">
              <w:rPr>
                <w:rFonts w:cs="Arial"/>
                <w:color w:val="000000"/>
                <w:szCs w:val="20"/>
                <w:lang w:val="en-US"/>
              </w:rPr>
              <w:t>watercourse</w:t>
            </w:r>
          </w:p>
        </w:tc>
        <w:tc>
          <w:tcPr>
            <w:tcW w:w="233" w:type="pct"/>
            <w:vMerge w:val="restart"/>
            <w:shd w:val="clear" w:color="auto" w:fill="auto"/>
            <w:noWrap/>
            <w:textDirection w:val="btLr"/>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Gingham</w:t>
            </w:r>
          </w:p>
        </w:tc>
        <w:tc>
          <w:tcPr>
            <w:tcW w:w="113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Baroona Waterhole</w:t>
            </w:r>
          </w:p>
        </w:tc>
        <w:tc>
          <w:tcPr>
            <w:tcW w:w="623"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0</w:t>
            </w:r>
          </w:p>
        </w:tc>
        <w:tc>
          <w:tcPr>
            <w:tcW w:w="621"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0</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0.0</w:t>
            </w:r>
          </w:p>
        </w:tc>
        <w:tc>
          <w:tcPr>
            <w:tcW w:w="467"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0.0</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0</w:t>
            </w:r>
          </w:p>
        </w:tc>
        <w:tc>
          <w:tcPr>
            <w:tcW w:w="466"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0</w:t>
            </w:r>
          </w:p>
        </w:tc>
      </w:tr>
      <w:tr w:rsidR="0056539E" w:rsidRPr="00E23B8D" w:rsidTr="00E23B8D">
        <w:trPr>
          <w:trHeight w:val="240"/>
        </w:trPr>
        <w:tc>
          <w:tcPr>
            <w:tcW w:w="504" w:type="pct"/>
            <w:vMerge/>
            <w:vAlign w:val="center"/>
            <w:hideMark/>
          </w:tcPr>
          <w:p w:rsidR="0056539E" w:rsidRPr="00E23B8D" w:rsidRDefault="0056539E" w:rsidP="00E23B8D">
            <w:pPr>
              <w:spacing w:before="60" w:after="60"/>
              <w:jc w:val="left"/>
              <w:rPr>
                <w:rFonts w:cs="Arial"/>
                <w:color w:val="000000"/>
                <w:szCs w:val="20"/>
                <w:lang w:val="en-US"/>
              </w:rPr>
            </w:pPr>
          </w:p>
        </w:tc>
        <w:tc>
          <w:tcPr>
            <w:tcW w:w="233" w:type="pct"/>
            <w:vMerge/>
            <w:vAlign w:val="center"/>
            <w:hideMark/>
          </w:tcPr>
          <w:p w:rsidR="0056539E" w:rsidRPr="00E23B8D" w:rsidRDefault="0056539E" w:rsidP="00E23B8D">
            <w:pPr>
              <w:spacing w:before="60" w:after="60"/>
              <w:jc w:val="left"/>
              <w:rPr>
                <w:rFonts w:cs="Arial"/>
                <w:color w:val="000000"/>
                <w:szCs w:val="20"/>
                <w:lang w:val="en-US"/>
              </w:rPr>
            </w:pPr>
          </w:p>
        </w:tc>
        <w:tc>
          <w:tcPr>
            <w:tcW w:w="113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Boyanga Waterhole</w:t>
            </w:r>
          </w:p>
        </w:tc>
        <w:tc>
          <w:tcPr>
            <w:tcW w:w="623"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13</w:t>
            </w:r>
          </w:p>
        </w:tc>
        <w:tc>
          <w:tcPr>
            <w:tcW w:w="621"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8</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17.6</w:t>
            </w:r>
          </w:p>
        </w:tc>
        <w:tc>
          <w:tcPr>
            <w:tcW w:w="467"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7.0</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5</w:t>
            </w:r>
          </w:p>
        </w:tc>
        <w:tc>
          <w:tcPr>
            <w:tcW w:w="466"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3</w:t>
            </w:r>
          </w:p>
        </w:tc>
      </w:tr>
      <w:tr w:rsidR="0056539E" w:rsidRPr="00E23B8D" w:rsidTr="00E23B8D">
        <w:trPr>
          <w:trHeight w:val="240"/>
        </w:trPr>
        <w:tc>
          <w:tcPr>
            <w:tcW w:w="504" w:type="pct"/>
            <w:vMerge/>
            <w:vAlign w:val="center"/>
            <w:hideMark/>
          </w:tcPr>
          <w:p w:rsidR="0056539E" w:rsidRPr="00E23B8D" w:rsidRDefault="0056539E" w:rsidP="00E23B8D">
            <w:pPr>
              <w:spacing w:before="60" w:after="60"/>
              <w:jc w:val="left"/>
              <w:rPr>
                <w:rFonts w:cs="Arial"/>
                <w:color w:val="000000"/>
                <w:szCs w:val="20"/>
                <w:lang w:val="en-US"/>
              </w:rPr>
            </w:pPr>
          </w:p>
        </w:tc>
        <w:tc>
          <w:tcPr>
            <w:tcW w:w="233" w:type="pct"/>
            <w:vMerge/>
            <w:vAlign w:val="center"/>
            <w:hideMark/>
          </w:tcPr>
          <w:p w:rsidR="0056539E" w:rsidRPr="00E23B8D" w:rsidRDefault="0056539E" w:rsidP="00E23B8D">
            <w:pPr>
              <w:spacing w:before="60" w:after="60"/>
              <w:jc w:val="left"/>
              <w:rPr>
                <w:rFonts w:cs="Arial"/>
                <w:color w:val="000000"/>
                <w:szCs w:val="20"/>
                <w:lang w:val="en-US"/>
              </w:rPr>
            </w:pPr>
          </w:p>
        </w:tc>
        <w:tc>
          <w:tcPr>
            <w:tcW w:w="113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Bunnor Bird Hide</w:t>
            </w:r>
          </w:p>
        </w:tc>
        <w:tc>
          <w:tcPr>
            <w:tcW w:w="623"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20</w:t>
            </w:r>
          </w:p>
        </w:tc>
        <w:tc>
          <w:tcPr>
            <w:tcW w:w="621"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27</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46.2</w:t>
            </w:r>
          </w:p>
        </w:tc>
        <w:tc>
          <w:tcPr>
            <w:tcW w:w="467"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93.8</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7</w:t>
            </w:r>
          </w:p>
        </w:tc>
        <w:tc>
          <w:tcPr>
            <w:tcW w:w="466"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8</w:t>
            </w:r>
          </w:p>
        </w:tc>
      </w:tr>
      <w:tr w:rsidR="0056539E" w:rsidRPr="00E23B8D" w:rsidTr="00E23B8D">
        <w:trPr>
          <w:trHeight w:val="240"/>
        </w:trPr>
        <w:tc>
          <w:tcPr>
            <w:tcW w:w="504" w:type="pct"/>
            <w:vMerge/>
            <w:vAlign w:val="center"/>
            <w:hideMark/>
          </w:tcPr>
          <w:p w:rsidR="0056539E" w:rsidRPr="00E23B8D" w:rsidRDefault="0056539E" w:rsidP="00E23B8D">
            <w:pPr>
              <w:spacing w:before="60" w:after="60"/>
              <w:jc w:val="left"/>
              <w:rPr>
                <w:rFonts w:cs="Arial"/>
                <w:color w:val="000000"/>
                <w:szCs w:val="20"/>
                <w:lang w:val="en-US"/>
              </w:rPr>
            </w:pPr>
          </w:p>
        </w:tc>
        <w:tc>
          <w:tcPr>
            <w:tcW w:w="233" w:type="pct"/>
            <w:vMerge/>
            <w:vAlign w:val="center"/>
            <w:hideMark/>
          </w:tcPr>
          <w:p w:rsidR="0056539E" w:rsidRPr="00E23B8D" w:rsidRDefault="0056539E" w:rsidP="00E23B8D">
            <w:pPr>
              <w:spacing w:before="60" w:after="60"/>
              <w:jc w:val="left"/>
              <w:rPr>
                <w:rFonts w:cs="Arial"/>
                <w:color w:val="000000"/>
                <w:szCs w:val="20"/>
                <w:lang w:val="en-US"/>
              </w:rPr>
            </w:pPr>
          </w:p>
        </w:tc>
        <w:tc>
          <w:tcPr>
            <w:tcW w:w="113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Three Corners Wetland</w:t>
            </w:r>
          </w:p>
        </w:tc>
        <w:tc>
          <w:tcPr>
            <w:tcW w:w="623"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7</w:t>
            </w:r>
          </w:p>
        </w:tc>
        <w:tc>
          <w:tcPr>
            <w:tcW w:w="621"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4</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3.1</w:t>
            </w:r>
          </w:p>
        </w:tc>
        <w:tc>
          <w:tcPr>
            <w:tcW w:w="467"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1.4</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3</w:t>
            </w:r>
          </w:p>
        </w:tc>
        <w:tc>
          <w:tcPr>
            <w:tcW w:w="466"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3</w:t>
            </w:r>
          </w:p>
        </w:tc>
      </w:tr>
      <w:tr w:rsidR="0056539E" w:rsidRPr="00E23B8D" w:rsidTr="00E23B8D">
        <w:trPr>
          <w:trHeight w:val="240"/>
        </w:trPr>
        <w:tc>
          <w:tcPr>
            <w:tcW w:w="504" w:type="pct"/>
            <w:vMerge/>
            <w:vAlign w:val="center"/>
            <w:hideMark/>
          </w:tcPr>
          <w:p w:rsidR="0056539E" w:rsidRPr="00E23B8D" w:rsidRDefault="0056539E" w:rsidP="00E23B8D">
            <w:pPr>
              <w:spacing w:before="60" w:after="60"/>
              <w:jc w:val="left"/>
              <w:rPr>
                <w:rFonts w:cs="Arial"/>
                <w:color w:val="000000"/>
                <w:szCs w:val="20"/>
                <w:lang w:val="en-US"/>
              </w:rPr>
            </w:pPr>
          </w:p>
        </w:tc>
        <w:tc>
          <w:tcPr>
            <w:tcW w:w="233" w:type="pct"/>
            <w:vMerge/>
            <w:vAlign w:val="center"/>
            <w:hideMark/>
          </w:tcPr>
          <w:p w:rsidR="0056539E" w:rsidRPr="00E23B8D" w:rsidRDefault="0056539E" w:rsidP="00E23B8D">
            <w:pPr>
              <w:spacing w:before="60" w:after="60"/>
              <w:jc w:val="left"/>
              <w:rPr>
                <w:rFonts w:cs="Arial"/>
                <w:color w:val="000000"/>
                <w:szCs w:val="20"/>
                <w:lang w:val="en-US"/>
              </w:rPr>
            </w:pPr>
          </w:p>
        </w:tc>
        <w:tc>
          <w:tcPr>
            <w:tcW w:w="113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Gingham Bridge</w:t>
            </w:r>
          </w:p>
        </w:tc>
        <w:tc>
          <w:tcPr>
            <w:tcW w:w="623"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1</w:t>
            </w:r>
          </w:p>
        </w:tc>
        <w:tc>
          <w:tcPr>
            <w:tcW w:w="621"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0</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0.4</w:t>
            </w:r>
          </w:p>
        </w:tc>
        <w:tc>
          <w:tcPr>
            <w:tcW w:w="467"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0.0</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1</w:t>
            </w:r>
          </w:p>
        </w:tc>
        <w:tc>
          <w:tcPr>
            <w:tcW w:w="466"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0</w:t>
            </w:r>
          </w:p>
        </w:tc>
      </w:tr>
      <w:tr w:rsidR="0056539E" w:rsidRPr="00E23B8D" w:rsidTr="00E23B8D">
        <w:trPr>
          <w:trHeight w:val="240"/>
        </w:trPr>
        <w:tc>
          <w:tcPr>
            <w:tcW w:w="504" w:type="pct"/>
            <w:vMerge/>
            <w:vAlign w:val="center"/>
            <w:hideMark/>
          </w:tcPr>
          <w:p w:rsidR="0056539E" w:rsidRPr="00E23B8D" w:rsidRDefault="0056539E" w:rsidP="00E23B8D">
            <w:pPr>
              <w:spacing w:before="60" w:after="60"/>
              <w:jc w:val="left"/>
              <w:rPr>
                <w:rFonts w:cs="Arial"/>
                <w:color w:val="000000"/>
                <w:szCs w:val="20"/>
                <w:lang w:val="en-US"/>
              </w:rPr>
            </w:pPr>
          </w:p>
        </w:tc>
        <w:tc>
          <w:tcPr>
            <w:tcW w:w="233" w:type="pct"/>
            <w:vMerge/>
            <w:vAlign w:val="center"/>
            <w:hideMark/>
          </w:tcPr>
          <w:p w:rsidR="0056539E" w:rsidRPr="00E23B8D" w:rsidRDefault="0056539E" w:rsidP="00E23B8D">
            <w:pPr>
              <w:spacing w:before="60" w:after="60"/>
              <w:jc w:val="left"/>
              <w:rPr>
                <w:rFonts w:cs="Arial"/>
                <w:color w:val="000000"/>
                <w:szCs w:val="20"/>
                <w:lang w:val="en-US"/>
              </w:rPr>
            </w:pPr>
          </w:p>
        </w:tc>
        <w:tc>
          <w:tcPr>
            <w:tcW w:w="113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Gingham Waterhole</w:t>
            </w:r>
          </w:p>
        </w:tc>
        <w:tc>
          <w:tcPr>
            <w:tcW w:w="623"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15</w:t>
            </w:r>
          </w:p>
        </w:tc>
        <w:tc>
          <w:tcPr>
            <w:tcW w:w="621"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17</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8.6</w:t>
            </w:r>
          </w:p>
        </w:tc>
        <w:tc>
          <w:tcPr>
            <w:tcW w:w="467"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17.0</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6</w:t>
            </w:r>
          </w:p>
        </w:tc>
        <w:tc>
          <w:tcPr>
            <w:tcW w:w="466"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6</w:t>
            </w:r>
          </w:p>
        </w:tc>
      </w:tr>
      <w:tr w:rsidR="0056539E" w:rsidRPr="00E23B8D" w:rsidTr="00E23B8D">
        <w:trPr>
          <w:trHeight w:val="240"/>
        </w:trPr>
        <w:tc>
          <w:tcPr>
            <w:tcW w:w="504" w:type="pct"/>
            <w:vMerge/>
            <w:vAlign w:val="center"/>
            <w:hideMark/>
          </w:tcPr>
          <w:p w:rsidR="0056539E" w:rsidRPr="00E23B8D" w:rsidRDefault="0056539E" w:rsidP="00E23B8D">
            <w:pPr>
              <w:spacing w:before="60" w:after="60"/>
              <w:jc w:val="left"/>
              <w:rPr>
                <w:rFonts w:cs="Arial"/>
                <w:color w:val="000000"/>
                <w:szCs w:val="20"/>
                <w:lang w:val="en-US"/>
              </w:rPr>
            </w:pPr>
          </w:p>
        </w:tc>
        <w:tc>
          <w:tcPr>
            <w:tcW w:w="233" w:type="pct"/>
            <w:vMerge/>
            <w:vAlign w:val="center"/>
            <w:hideMark/>
          </w:tcPr>
          <w:p w:rsidR="0056539E" w:rsidRPr="00E23B8D" w:rsidRDefault="0056539E" w:rsidP="00E23B8D">
            <w:pPr>
              <w:spacing w:before="60" w:after="60"/>
              <w:jc w:val="left"/>
              <w:rPr>
                <w:rFonts w:cs="Arial"/>
                <w:color w:val="000000"/>
                <w:szCs w:val="20"/>
                <w:lang w:val="en-US"/>
              </w:rPr>
            </w:pPr>
          </w:p>
        </w:tc>
        <w:tc>
          <w:tcPr>
            <w:tcW w:w="113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Goddard's Lease</w:t>
            </w:r>
          </w:p>
        </w:tc>
        <w:tc>
          <w:tcPr>
            <w:tcW w:w="623"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26</w:t>
            </w:r>
          </w:p>
        </w:tc>
        <w:tc>
          <w:tcPr>
            <w:tcW w:w="621"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25</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5.1</w:t>
            </w:r>
          </w:p>
        </w:tc>
        <w:tc>
          <w:tcPr>
            <w:tcW w:w="467"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7.7</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7</w:t>
            </w:r>
          </w:p>
        </w:tc>
        <w:tc>
          <w:tcPr>
            <w:tcW w:w="466"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8</w:t>
            </w:r>
          </w:p>
        </w:tc>
      </w:tr>
      <w:tr w:rsidR="0056539E" w:rsidRPr="00E23B8D" w:rsidTr="00E23B8D">
        <w:trPr>
          <w:trHeight w:val="240"/>
        </w:trPr>
        <w:tc>
          <w:tcPr>
            <w:tcW w:w="504" w:type="pct"/>
            <w:vMerge/>
            <w:vAlign w:val="center"/>
            <w:hideMark/>
          </w:tcPr>
          <w:p w:rsidR="0056539E" w:rsidRPr="00E23B8D" w:rsidRDefault="0056539E" w:rsidP="00E23B8D">
            <w:pPr>
              <w:spacing w:before="60" w:after="60"/>
              <w:jc w:val="left"/>
              <w:rPr>
                <w:rFonts w:cs="Arial"/>
                <w:color w:val="000000"/>
                <w:szCs w:val="20"/>
                <w:lang w:val="en-US"/>
              </w:rPr>
            </w:pPr>
          </w:p>
        </w:tc>
        <w:tc>
          <w:tcPr>
            <w:tcW w:w="233" w:type="pct"/>
            <w:vMerge/>
            <w:vAlign w:val="center"/>
            <w:hideMark/>
          </w:tcPr>
          <w:p w:rsidR="0056539E" w:rsidRPr="00E23B8D" w:rsidRDefault="0056539E" w:rsidP="00E23B8D">
            <w:pPr>
              <w:spacing w:before="60" w:after="60"/>
              <w:jc w:val="left"/>
              <w:rPr>
                <w:rFonts w:cs="Arial"/>
                <w:color w:val="000000"/>
                <w:szCs w:val="20"/>
                <w:lang w:val="en-US"/>
              </w:rPr>
            </w:pPr>
          </w:p>
        </w:tc>
        <w:tc>
          <w:tcPr>
            <w:tcW w:w="113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Jackson Paddock</w:t>
            </w:r>
          </w:p>
        </w:tc>
        <w:tc>
          <w:tcPr>
            <w:tcW w:w="623"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22</w:t>
            </w:r>
          </w:p>
        </w:tc>
        <w:tc>
          <w:tcPr>
            <w:tcW w:w="621"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11</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3.1</w:t>
            </w:r>
          </w:p>
        </w:tc>
        <w:tc>
          <w:tcPr>
            <w:tcW w:w="467"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1.7</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7</w:t>
            </w:r>
          </w:p>
        </w:tc>
        <w:tc>
          <w:tcPr>
            <w:tcW w:w="466"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6</w:t>
            </w:r>
          </w:p>
        </w:tc>
      </w:tr>
      <w:tr w:rsidR="0056539E" w:rsidRPr="00E23B8D" w:rsidTr="00E23B8D">
        <w:trPr>
          <w:trHeight w:val="240"/>
        </w:trPr>
        <w:tc>
          <w:tcPr>
            <w:tcW w:w="504" w:type="pct"/>
            <w:vMerge/>
            <w:vAlign w:val="center"/>
            <w:hideMark/>
          </w:tcPr>
          <w:p w:rsidR="0056539E" w:rsidRPr="00E23B8D" w:rsidRDefault="0056539E" w:rsidP="00E23B8D">
            <w:pPr>
              <w:spacing w:before="60" w:after="60"/>
              <w:jc w:val="left"/>
              <w:rPr>
                <w:rFonts w:cs="Arial"/>
                <w:color w:val="000000"/>
                <w:szCs w:val="20"/>
                <w:lang w:val="en-US"/>
              </w:rPr>
            </w:pPr>
          </w:p>
        </w:tc>
        <w:tc>
          <w:tcPr>
            <w:tcW w:w="233" w:type="pct"/>
            <w:vMerge/>
            <w:vAlign w:val="center"/>
            <w:hideMark/>
          </w:tcPr>
          <w:p w:rsidR="0056539E" w:rsidRPr="00E23B8D" w:rsidRDefault="0056539E" w:rsidP="00E23B8D">
            <w:pPr>
              <w:spacing w:before="60" w:after="60"/>
              <w:jc w:val="left"/>
              <w:rPr>
                <w:rFonts w:cs="Arial"/>
                <w:color w:val="000000"/>
                <w:szCs w:val="20"/>
                <w:lang w:val="en-US"/>
              </w:rPr>
            </w:pPr>
          </w:p>
        </w:tc>
        <w:tc>
          <w:tcPr>
            <w:tcW w:w="113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Racecourse Lagoon</w:t>
            </w:r>
          </w:p>
        </w:tc>
        <w:tc>
          <w:tcPr>
            <w:tcW w:w="623"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21</w:t>
            </w:r>
          </w:p>
        </w:tc>
        <w:tc>
          <w:tcPr>
            <w:tcW w:w="621"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13</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2.5</w:t>
            </w:r>
          </w:p>
        </w:tc>
        <w:tc>
          <w:tcPr>
            <w:tcW w:w="467"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1.2</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6</w:t>
            </w:r>
          </w:p>
        </w:tc>
        <w:tc>
          <w:tcPr>
            <w:tcW w:w="466"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4</w:t>
            </w:r>
          </w:p>
        </w:tc>
      </w:tr>
      <w:tr w:rsidR="0056539E" w:rsidRPr="00E23B8D" w:rsidTr="00E23B8D">
        <w:trPr>
          <w:trHeight w:val="240"/>
        </w:trPr>
        <w:tc>
          <w:tcPr>
            <w:tcW w:w="504" w:type="pct"/>
            <w:vMerge/>
            <w:vAlign w:val="center"/>
            <w:hideMark/>
          </w:tcPr>
          <w:p w:rsidR="0056539E" w:rsidRPr="00E23B8D" w:rsidRDefault="0056539E" w:rsidP="00E23B8D">
            <w:pPr>
              <w:spacing w:before="60" w:after="60"/>
              <w:jc w:val="left"/>
              <w:rPr>
                <w:rFonts w:cs="Arial"/>
                <w:color w:val="000000"/>
                <w:szCs w:val="20"/>
                <w:lang w:val="en-US"/>
              </w:rPr>
            </w:pPr>
          </w:p>
        </w:tc>
        <w:tc>
          <w:tcPr>
            <w:tcW w:w="233" w:type="pct"/>
            <w:vMerge/>
            <w:vAlign w:val="center"/>
            <w:hideMark/>
          </w:tcPr>
          <w:p w:rsidR="0056539E" w:rsidRPr="00E23B8D" w:rsidRDefault="0056539E" w:rsidP="00E23B8D">
            <w:pPr>
              <w:spacing w:before="60" w:after="60"/>
              <w:jc w:val="left"/>
              <w:rPr>
                <w:rFonts w:cs="Arial"/>
                <w:color w:val="000000"/>
                <w:szCs w:val="20"/>
                <w:lang w:val="en-US"/>
              </w:rPr>
            </w:pPr>
          </w:p>
        </w:tc>
        <w:tc>
          <w:tcPr>
            <w:tcW w:w="113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Lynworth</w:t>
            </w:r>
          </w:p>
        </w:tc>
        <w:tc>
          <w:tcPr>
            <w:tcW w:w="623"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15</w:t>
            </w:r>
          </w:p>
        </w:tc>
        <w:tc>
          <w:tcPr>
            <w:tcW w:w="621"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10</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6.6</w:t>
            </w:r>
          </w:p>
        </w:tc>
        <w:tc>
          <w:tcPr>
            <w:tcW w:w="467"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5.6</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5</w:t>
            </w:r>
          </w:p>
        </w:tc>
        <w:tc>
          <w:tcPr>
            <w:tcW w:w="466"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4</w:t>
            </w:r>
          </w:p>
        </w:tc>
      </w:tr>
      <w:tr w:rsidR="0056539E" w:rsidRPr="00E23B8D" w:rsidTr="00E23B8D">
        <w:trPr>
          <w:trHeight w:val="240"/>
        </w:trPr>
        <w:tc>
          <w:tcPr>
            <w:tcW w:w="504" w:type="pct"/>
            <w:vMerge/>
            <w:vAlign w:val="center"/>
            <w:hideMark/>
          </w:tcPr>
          <w:p w:rsidR="0056539E" w:rsidRPr="00E23B8D" w:rsidRDefault="0056539E" w:rsidP="00E23B8D">
            <w:pPr>
              <w:spacing w:before="60" w:after="60"/>
              <w:jc w:val="left"/>
              <w:rPr>
                <w:rFonts w:cs="Arial"/>
                <w:color w:val="000000"/>
                <w:szCs w:val="20"/>
                <w:lang w:val="en-US"/>
              </w:rPr>
            </w:pPr>
          </w:p>
        </w:tc>
        <w:tc>
          <w:tcPr>
            <w:tcW w:w="233" w:type="pct"/>
            <w:vMerge/>
            <w:vAlign w:val="center"/>
            <w:hideMark/>
          </w:tcPr>
          <w:p w:rsidR="0056539E" w:rsidRPr="00E23B8D" w:rsidRDefault="0056539E" w:rsidP="00E23B8D">
            <w:pPr>
              <w:spacing w:before="60" w:after="60"/>
              <w:jc w:val="left"/>
              <w:rPr>
                <w:rFonts w:cs="Arial"/>
                <w:color w:val="000000"/>
                <w:szCs w:val="20"/>
                <w:lang w:val="en-US"/>
              </w:rPr>
            </w:pPr>
          </w:p>
        </w:tc>
        <w:tc>
          <w:tcPr>
            <w:tcW w:w="113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Talmoi Waterhole</w:t>
            </w:r>
          </w:p>
        </w:tc>
        <w:tc>
          <w:tcPr>
            <w:tcW w:w="623"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0</w:t>
            </w:r>
          </w:p>
        </w:tc>
        <w:tc>
          <w:tcPr>
            <w:tcW w:w="621"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1</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0.0</w:t>
            </w:r>
          </w:p>
        </w:tc>
        <w:tc>
          <w:tcPr>
            <w:tcW w:w="467"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0.2</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0</w:t>
            </w:r>
          </w:p>
        </w:tc>
        <w:tc>
          <w:tcPr>
            <w:tcW w:w="466"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1</w:t>
            </w:r>
          </w:p>
        </w:tc>
      </w:tr>
      <w:tr w:rsidR="0056539E" w:rsidRPr="00E23B8D" w:rsidTr="00E23B8D">
        <w:trPr>
          <w:trHeight w:val="240"/>
        </w:trPr>
        <w:tc>
          <w:tcPr>
            <w:tcW w:w="504" w:type="pct"/>
            <w:vMerge/>
            <w:vAlign w:val="center"/>
            <w:hideMark/>
          </w:tcPr>
          <w:p w:rsidR="0056539E" w:rsidRPr="00E23B8D" w:rsidRDefault="0056539E" w:rsidP="00E23B8D">
            <w:pPr>
              <w:spacing w:before="60" w:after="60"/>
              <w:jc w:val="left"/>
              <w:rPr>
                <w:rFonts w:cs="Arial"/>
                <w:color w:val="000000"/>
                <w:szCs w:val="20"/>
                <w:lang w:val="en-US"/>
              </w:rPr>
            </w:pPr>
          </w:p>
        </w:tc>
        <w:tc>
          <w:tcPr>
            <w:tcW w:w="233" w:type="pct"/>
            <w:vMerge/>
            <w:vAlign w:val="center"/>
            <w:hideMark/>
          </w:tcPr>
          <w:p w:rsidR="0056539E" w:rsidRPr="00E23B8D" w:rsidRDefault="0056539E" w:rsidP="00E23B8D">
            <w:pPr>
              <w:spacing w:before="60" w:after="60"/>
              <w:jc w:val="left"/>
              <w:rPr>
                <w:rFonts w:cs="Arial"/>
                <w:color w:val="000000"/>
                <w:szCs w:val="20"/>
                <w:lang w:val="en-US"/>
              </w:rPr>
            </w:pPr>
          </w:p>
        </w:tc>
        <w:tc>
          <w:tcPr>
            <w:tcW w:w="113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Tillaloo Waterhole</w:t>
            </w:r>
          </w:p>
        </w:tc>
        <w:tc>
          <w:tcPr>
            <w:tcW w:w="623"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0</w:t>
            </w:r>
          </w:p>
        </w:tc>
        <w:tc>
          <w:tcPr>
            <w:tcW w:w="621"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1</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0.0</w:t>
            </w:r>
          </w:p>
        </w:tc>
        <w:tc>
          <w:tcPr>
            <w:tcW w:w="467"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0.4</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0</w:t>
            </w:r>
          </w:p>
        </w:tc>
        <w:tc>
          <w:tcPr>
            <w:tcW w:w="466"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1</w:t>
            </w:r>
          </w:p>
        </w:tc>
      </w:tr>
      <w:tr w:rsidR="0056539E" w:rsidRPr="00E23B8D" w:rsidTr="00E23B8D">
        <w:trPr>
          <w:trHeight w:val="240"/>
        </w:trPr>
        <w:tc>
          <w:tcPr>
            <w:tcW w:w="504" w:type="pct"/>
            <w:vMerge/>
            <w:vAlign w:val="center"/>
            <w:hideMark/>
          </w:tcPr>
          <w:p w:rsidR="0056539E" w:rsidRPr="00E23B8D" w:rsidRDefault="0056539E" w:rsidP="00E23B8D">
            <w:pPr>
              <w:spacing w:before="60" w:after="60"/>
              <w:jc w:val="left"/>
              <w:rPr>
                <w:rFonts w:cs="Arial"/>
                <w:color w:val="000000"/>
                <w:szCs w:val="20"/>
                <w:lang w:val="en-US"/>
              </w:rPr>
            </w:pPr>
          </w:p>
        </w:tc>
        <w:tc>
          <w:tcPr>
            <w:tcW w:w="233" w:type="pct"/>
            <w:vMerge/>
            <w:vAlign w:val="center"/>
            <w:hideMark/>
          </w:tcPr>
          <w:p w:rsidR="0056539E" w:rsidRPr="00E23B8D" w:rsidRDefault="0056539E" w:rsidP="00E23B8D">
            <w:pPr>
              <w:spacing w:before="60" w:after="60"/>
              <w:jc w:val="left"/>
              <w:rPr>
                <w:rFonts w:cs="Arial"/>
                <w:color w:val="000000"/>
                <w:szCs w:val="20"/>
                <w:lang w:val="en-US"/>
              </w:rPr>
            </w:pPr>
          </w:p>
        </w:tc>
        <w:tc>
          <w:tcPr>
            <w:tcW w:w="113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Westholme SE</w:t>
            </w:r>
          </w:p>
        </w:tc>
        <w:tc>
          <w:tcPr>
            <w:tcW w:w="623"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13</w:t>
            </w:r>
          </w:p>
        </w:tc>
        <w:tc>
          <w:tcPr>
            <w:tcW w:w="621"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15</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5.9</w:t>
            </w:r>
          </w:p>
        </w:tc>
        <w:tc>
          <w:tcPr>
            <w:tcW w:w="467"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13.3</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7</w:t>
            </w:r>
          </w:p>
        </w:tc>
        <w:tc>
          <w:tcPr>
            <w:tcW w:w="466"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5</w:t>
            </w:r>
          </w:p>
        </w:tc>
      </w:tr>
      <w:tr w:rsidR="0056539E" w:rsidRPr="00E23B8D" w:rsidTr="00E23B8D">
        <w:trPr>
          <w:trHeight w:val="240"/>
        </w:trPr>
        <w:tc>
          <w:tcPr>
            <w:tcW w:w="504" w:type="pct"/>
            <w:vMerge/>
            <w:vAlign w:val="center"/>
            <w:hideMark/>
          </w:tcPr>
          <w:p w:rsidR="0056539E" w:rsidRPr="00E23B8D" w:rsidRDefault="0056539E" w:rsidP="00E23B8D">
            <w:pPr>
              <w:spacing w:before="60" w:after="60"/>
              <w:jc w:val="left"/>
              <w:rPr>
                <w:rFonts w:cs="Arial"/>
                <w:color w:val="000000"/>
                <w:szCs w:val="20"/>
                <w:lang w:val="en-US"/>
              </w:rPr>
            </w:pPr>
          </w:p>
        </w:tc>
        <w:tc>
          <w:tcPr>
            <w:tcW w:w="233" w:type="pct"/>
            <w:vMerge/>
            <w:vAlign w:val="center"/>
            <w:hideMark/>
          </w:tcPr>
          <w:p w:rsidR="0056539E" w:rsidRPr="00E23B8D" w:rsidRDefault="0056539E" w:rsidP="00E23B8D">
            <w:pPr>
              <w:spacing w:before="60" w:after="60"/>
              <w:jc w:val="left"/>
              <w:rPr>
                <w:rFonts w:cs="Arial"/>
                <w:color w:val="000000"/>
                <w:szCs w:val="20"/>
                <w:lang w:val="en-US"/>
              </w:rPr>
            </w:pPr>
          </w:p>
        </w:tc>
        <w:tc>
          <w:tcPr>
            <w:tcW w:w="113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Westholme NW</w:t>
            </w:r>
          </w:p>
        </w:tc>
        <w:tc>
          <w:tcPr>
            <w:tcW w:w="623"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12</w:t>
            </w:r>
          </w:p>
        </w:tc>
        <w:tc>
          <w:tcPr>
            <w:tcW w:w="621"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1</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0.8</w:t>
            </w:r>
          </w:p>
        </w:tc>
        <w:tc>
          <w:tcPr>
            <w:tcW w:w="467"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0.0</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4</w:t>
            </w:r>
          </w:p>
        </w:tc>
        <w:tc>
          <w:tcPr>
            <w:tcW w:w="466"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1</w:t>
            </w:r>
          </w:p>
        </w:tc>
      </w:tr>
      <w:tr w:rsidR="0056539E" w:rsidRPr="00E23B8D" w:rsidTr="00E23B8D">
        <w:trPr>
          <w:trHeight w:val="240"/>
        </w:trPr>
        <w:tc>
          <w:tcPr>
            <w:tcW w:w="504" w:type="pct"/>
            <w:vMerge/>
            <w:vAlign w:val="center"/>
            <w:hideMark/>
          </w:tcPr>
          <w:p w:rsidR="0056539E" w:rsidRPr="00E23B8D" w:rsidRDefault="0056539E" w:rsidP="00E23B8D">
            <w:pPr>
              <w:spacing w:before="60" w:after="60"/>
              <w:jc w:val="left"/>
              <w:rPr>
                <w:rFonts w:cs="Arial"/>
                <w:color w:val="000000"/>
                <w:szCs w:val="20"/>
                <w:lang w:val="en-US"/>
              </w:rPr>
            </w:pPr>
          </w:p>
        </w:tc>
        <w:tc>
          <w:tcPr>
            <w:tcW w:w="233" w:type="pct"/>
            <w:vMerge w:val="restart"/>
            <w:shd w:val="clear" w:color="auto" w:fill="auto"/>
            <w:noWrap/>
            <w:textDirection w:val="btLr"/>
            <w:vAlign w:val="center"/>
            <w:hideMark/>
          </w:tcPr>
          <w:p w:rsidR="0056539E" w:rsidRPr="00E23B8D" w:rsidRDefault="001C3C04" w:rsidP="00E23B8D">
            <w:pPr>
              <w:spacing w:before="60" w:after="60"/>
              <w:jc w:val="center"/>
              <w:rPr>
                <w:rFonts w:cs="Arial"/>
                <w:color w:val="000000"/>
                <w:szCs w:val="20"/>
                <w:lang w:val="en-US"/>
              </w:rPr>
            </w:pPr>
            <w:r w:rsidRPr="00E23B8D">
              <w:rPr>
                <w:rFonts w:cs="Arial"/>
                <w:color w:val="000000"/>
                <w:szCs w:val="20"/>
                <w:lang w:val="en-US"/>
              </w:rPr>
              <w:t>lower</w:t>
            </w:r>
            <w:r w:rsidR="0056539E" w:rsidRPr="00E23B8D">
              <w:rPr>
                <w:rFonts w:cs="Arial"/>
                <w:color w:val="000000"/>
                <w:szCs w:val="20"/>
                <w:lang w:val="en-US"/>
              </w:rPr>
              <w:t xml:space="preserve"> Gwydir</w:t>
            </w:r>
          </w:p>
        </w:tc>
        <w:tc>
          <w:tcPr>
            <w:tcW w:w="113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Allambie Bridge</w:t>
            </w:r>
          </w:p>
        </w:tc>
        <w:tc>
          <w:tcPr>
            <w:tcW w:w="623"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1</w:t>
            </w:r>
          </w:p>
        </w:tc>
        <w:tc>
          <w:tcPr>
            <w:tcW w:w="621"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2</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12.5</w:t>
            </w:r>
          </w:p>
        </w:tc>
        <w:tc>
          <w:tcPr>
            <w:tcW w:w="467"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12.5</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1</w:t>
            </w:r>
          </w:p>
        </w:tc>
        <w:tc>
          <w:tcPr>
            <w:tcW w:w="466"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1</w:t>
            </w:r>
          </w:p>
        </w:tc>
      </w:tr>
      <w:tr w:rsidR="0056539E" w:rsidRPr="00E23B8D" w:rsidTr="00E23B8D">
        <w:trPr>
          <w:trHeight w:val="240"/>
        </w:trPr>
        <w:tc>
          <w:tcPr>
            <w:tcW w:w="504" w:type="pct"/>
            <w:vMerge/>
            <w:vAlign w:val="center"/>
            <w:hideMark/>
          </w:tcPr>
          <w:p w:rsidR="0056539E" w:rsidRPr="00E23B8D" w:rsidRDefault="0056539E" w:rsidP="00E23B8D">
            <w:pPr>
              <w:spacing w:before="60" w:after="60"/>
              <w:jc w:val="left"/>
              <w:rPr>
                <w:rFonts w:cs="Arial"/>
                <w:color w:val="000000"/>
                <w:szCs w:val="20"/>
                <w:lang w:val="en-US"/>
              </w:rPr>
            </w:pPr>
          </w:p>
        </w:tc>
        <w:tc>
          <w:tcPr>
            <w:tcW w:w="233" w:type="pct"/>
            <w:vMerge/>
            <w:vAlign w:val="center"/>
            <w:hideMark/>
          </w:tcPr>
          <w:p w:rsidR="0056539E" w:rsidRPr="00E23B8D" w:rsidRDefault="0056539E" w:rsidP="00E23B8D">
            <w:pPr>
              <w:spacing w:before="60" w:after="60"/>
              <w:jc w:val="left"/>
              <w:rPr>
                <w:rFonts w:cs="Arial"/>
                <w:color w:val="000000"/>
                <w:szCs w:val="20"/>
                <w:lang w:val="en-US"/>
              </w:rPr>
            </w:pPr>
          </w:p>
        </w:tc>
        <w:tc>
          <w:tcPr>
            <w:tcW w:w="113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Belmont</w:t>
            </w:r>
          </w:p>
        </w:tc>
        <w:tc>
          <w:tcPr>
            <w:tcW w:w="623"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3</w:t>
            </w:r>
          </w:p>
        </w:tc>
        <w:tc>
          <w:tcPr>
            <w:tcW w:w="621"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2</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0.7</w:t>
            </w:r>
          </w:p>
        </w:tc>
        <w:tc>
          <w:tcPr>
            <w:tcW w:w="467"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0.3</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2</w:t>
            </w:r>
          </w:p>
        </w:tc>
        <w:tc>
          <w:tcPr>
            <w:tcW w:w="466"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1</w:t>
            </w:r>
          </w:p>
        </w:tc>
      </w:tr>
      <w:tr w:rsidR="0056539E" w:rsidRPr="00E23B8D" w:rsidTr="00E23B8D">
        <w:trPr>
          <w:trHeight w:val="240"/>
        </w:trPr>
        <w:tc>
          <w:tcPr>
            <w:tcW w:w="504" w:type="pct"/>
            <w:vMerge/>
            <w:vAlign w:val="center"/>
            <w:hideMark/>
          </w:tcPr>
          <w:p w:rsidR="0056539E" w:rsidRPr="00E23B8D" w:rsidRDefault="0056539E" w:rsidP="00E23B8D">
            <w:pPr>
              <w:spacing w:before="60" w:after="60"/>
              <w:jc w:val="left"/>
              <w:rPr>
                <w:rFonts w:cs="Arial"/>
                <w:color w:val="000000"/>
                <w:szCs w:val="20"/>
                <w:lang w:val="en-US"/>
              </w:rPr>
            </w:pPr>
          </w:p>
        </w:tc>
        <w:tc>
          <w:tcPr>
            <w:tcW w:w="233" w:type="pct"/>
            <w:vMerge/>
            <w:vAlign w:val="center"/>
            <w:hideMark/>
          </w:tcPr>
          <w:p w:rsidR="0056539E" w:rsidRPr="00E23B8D" w:rsidRDefault="0056539E" w:rsidP="00E23B8D">
            <w:pPr>
              <w:spacing w:before="60" w:after="60"/>
              <w:jc w:val="left"/>
              <w:rPr>
                <w:rFonts w:cs="Arial"/>
                <w:color w:val="000000"/>
                <w:szCs w:val="20"/>
                <w:lang w:val="en-US"/>
              </w:rPr>
            </w:pPr>
          </w:p>
        </w:tc>
        <w:tc>
          <w:tcPr>
            <w:tcW w:w="113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Brageen Crossing</w:t>
            </w:r>
          </w:p>
        </w:tc>
        <w:tc>
          <w:tcPr>
            <w:tcW w:w="623"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2</w:t>
            </w:r>
          </w:p>
        </w:tc>
        <w:tc>
          <w:tcPr>
            <w:tcW w:w="621"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5</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26.7</w:t>
            </w:r>
          </w:p>
        </w:tc>
        <w:tc>
          <w:tcPr>
            <w:tcW w:w="467"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23.3</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2</w:t>
            </w:r>
          </w:p>
        </w:tc>
        <w:tc>
          <w:tcPr>
            <w:tcW w:w="466"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3</w:t>
            </w:r>
          </w:p>
        </w:tc>
      </w:tr>
      <w:tr w:rsidR="0056539E" w:rsidRPr="00E23B8D" w:rsidTr="00E23B8D">
        <w:trPr>
          <w:trHeight w:val="240"/>
        </w:trPr>
        <w:tc>
          <w:tcPr>
            <w:tcW w:w="504" w:type="pct"/>
            <w:vMerge/>
            <w:vAlign w:val="center"/>
            <w:hideMark/>
          </w:tcPr>
          <w:p w:rsidR="0056539E" w:rsidRPr="00E23B8D" w:rsidRDefault="0056539E" w:rsidP="00E23B8D">
            <w:pPr>
              <w:spacing w:before="60" w:after="60"/>
              <w:jc w:val="left"/>
              <w:rPr>
                <w:rFonts w:cs="Arial"/>
                <w:color w:val="000000"/>
                <w:szCs w:val="20"/>
                <w:lang w:val="en-US"/>
              </w:rPr>
            </w:pPr>
          </w:p>
        </w:tc>
        <w:tc>
          <w:tcPr>
            <w:tcW w:w="233" w:type="pct"/>
            <w:vMerge/>
            <w:vAlign w:val="center"/>
            <w:hideMark/>
          </w:tcPr>
          <w:p w:rsidR="0056539E" w:rsidRPr="00E23B8D" w:rsidRDefault="0056539E" w:rsidP="00E23B8D">
            <w:pPr>
              <w:spacing w:before="60" w:after="60"/>
              <w:jc w:val="left"/>
              <w:rPr>
                <w:rFonts w:cs="Arial"/>
                <w:color w:val="000000"/>
                <w:szCs w:val="20"/>
                <w:lang w:val="en-US"/>
              </w:rPr>
            </w:pPr>
          </w:p>
        </w:tc>
        <w:tc>
          <w:tcPr>
            <w:tcW w:w="113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Old Dromana Dam</w:t>
            </w:r>
          </w:p>
        </w:tc>
        <w:tc>
          <w:tcPr>
            <w:tcW w:w="623"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12</w:t>
            </w:r>
          </w:p>
        </w:tc>
        <w:tc>
          <w:tcPr>
            <w:tcW w:w="621"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14</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17.8</w:t>
            </w:r>
          </w:p>
        </w:tc>
        <w:tc>
          <w:tcPr>
            <w:tcW w:w="467"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18.3</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4</w:t>
            </w:r>
          </w:p>
        </w:tc>
        <w:tc>
          <w:tcPr>
            <w:tcW w:w="466"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8</w:t>
            </w:r>
          </w:p>
        </w:tc>
      </w:tr>
      <w:tr w:rsidR="0056539E" w:rsidRPr="00E23B8D" w:rsidTr="00E23B8D">
        <w:trPr>
          <w:trHeight w:val="240"/>
        </w:trPr>
        <w:tc>
          <w:tcPr>
            <w:tcW w:w="504" w:type="pct"/>
            <w:vMerge/>
            <w:vAlign w:val="center"/>
            <w:hideMark/>
          </w:tcPr>
          <w:p w:rsidR="0056539E" w:rsidRPr="00E23B8D" w:rsidRDefault="0056539E" w:rsidP="00E23B8D">
            <w:pPr>
              <w:spacing w:before="60" w:after="60"/>
              <w:jc w:val="left"/>
              <w:rPr>
                <w:rFonts w:cs="Arial"/>
                <w:color w:val="000000"/>
                <w:szCs w:val="20"/>
                <w:lang w:val="en-US"/>
              </w:rPr>
            </w:pPr>
          </w:p>
        </w:tc>
        <w:tc>
          <w:tcPr>
            <w:tcW w:w="233" w:type="pct"/>
            <w:vMerge/>
            <w:vAlign w:val="center"/>
            <w:hideMark/>
          </w:tcPr>
          <w:p w:rsidR="0056539E" w:rsidRPr="00E23B8D" w:rsidRDefault="0056539E" w:rsidP="00E23B8D">
            <w:pPr>
              <w:spacing w:before="60" w:after="60"/>
              <w:jc w:val="left"/>
              <w:rPr>
                <w:rFonts w:cs="Arial"/>
                <w:color w:val="000000"/>
                <w:szCs w:val="20"/>
                <w:lang w:val="en-US"/>
              </w:rPr>
            </w:pPr>
          </w:p>
        </w:tc>
        <w:tc>
          <w:tcPr>
            <w:tcW w:w="113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Old Dromana Transect</w:t>
            </w:r>
          </w:p>
        </w:tc>
        <w:tc>
          <w:tcPr>
            <w:tcW w:w="623"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10</w:t>
            </w:r>
          </w:p>
        </w:tc>
        <w:tc>
          <w:tcPr>
            <w:tcW w:w="621"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5</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1.3</w:t>
            </w:r>
          </w:p>
        </w:tc>
        <w:tc>
          <w:tcPr>
            <w:tcW w:w="467"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1.3</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6</w:t>
            </w:r>
          </w:p>
        </w:tc>
        <w:tc>
          <w:tcPr>
            <w:tcW w:w="466"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2</w:t>
            </w:r>
          </w:p>
        </w:tc>
      </w:tr>
      <w:tr w:rsidR="0056539E" w:rsidRPr="00E23B8D" w:rsidTr="00E23B8D">
        <w:trPr>
          <w:trHeight w:val="240"/>
        </w:trPr>
        <w:tc>
          <w:tcPr>
            <w:tcW w:w="504" w:type="pct"/>
            <w:vMerge/>
            <w:vAlign w:val="center"/>
            <w:hideMark/>
          </w:tcPr>
          <w:p w:rsidR="0056539E" w:rsidRPr="00E23B8D" w:rsidRDefault="0056539E" w:rsidP="00E23B8D">
            <w:pPr>
              <w:spacing w:before="60" w:after="60"/>
              <w:jc w:val="left"/>
              <w:rPr>
                <w:rFonts w:cs="Arial"/>
                <w:color w:val="000000"/>
                <w:szCs w:val="20"/>
                <w:lang w:val="en-US"/>
              </w:rPr>
            </w:pPr>
          </w:p>
        </w:tc>
        <w:tc>
          <w:tcPr>
            <w:tcW w:w="233" w:type="pct"/>
            <w:vMerge/>
            <w:vAlign w:val="center"/>
            <w:hideMark/>
          </w:tcPr>
          <w:p w:rsidR="0056539E" w:rsidRPr="00E23B8D" w:rsidRDefault="0056539E" w:rsidP="00E23B8D">
            <w:pPr>
              <w:spacing w:before="60" w:after="60"/>
              <w:jc w:val="left"/>
              <w:rPr>
                <w:rFonts w:cs="Arial"/>
                <w:color w:val="000000"/>
                <w:szCs w:val="20"/>
                <w:lang w:val="en-US"/>
              </w:rPr>
            </w:pPr>
          </w:p>
        </w:tc>
        <w:tc>
          <w:tcPr>
            <w:tcW w:w="113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Wandoona Waterhole</w:t>
            </w:r>
          </w:p>
        </w:tc>
        <w:tc>
          <w:tcPr>
            <w:tcW w:w="623"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25</w:t>
            </w:r>
          </w:p>
        </w:tc>
        <w:tc>
          <w:tcPr>
            <w:tcW w:w="621"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2</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24.7</w:t>
            </w:r>
          </w:p>
        </w:tc>
        <w:tc>
          <w:tcPr>
            <w:tcW w:w="467"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0.4</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8</w:t>
            </w:r>
          </w:p>
        </w:tc>
        <w:tc>
          <w:tcPr>
            <w:tcW w:w="466"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2</w:t>
            </w:r>
          </w:p>
        </w:tc>
      </w:tr>
      <w:tr w:rsidR="0056539E" w:rsidRPr="00E23B8D" w:rsidTr="00E23B8D">
        <w:trPr>
          <w:trHeight w:val="240"/>
        </w:trPr>
        <w:tc>
          <w:tcPr>
            <w:tcW w:w="504" w:type="pct"/>
            <w:vMerge/>
            <w:vAlign w:val="center"/>
            <w:hideMark/>
          </w:tcPr>
          <w:p w:rsidR="0056539E" w:rsidRPr="00E23B8D" w:rsidRDefault="0056539E" w:rsidP="00E23B8D">
            <w:pPr>
              <w:spacing w:before="60" w:after="60"/>
              <w:jc w:val="left"/>
              <w:rPr>
                <w:rFonts w:cs="Arial"/>
                <w:color w:val="000000"/>
                <w:szCs w:val="20"/>
                <w:lang w:val="en-US"/>
              </w:rPr>
            </w:pPr>
          </w:p>
        </w:tc>
        <w:tc>
          <w:tcPr>
            <w:tcW w:w="233" w:type="pct"/>
            <w:vMerge/>
            <w:vAlign w:val="center"/>
            <w:hideMark/>
          </w:tcPr>
          <w:p w:rsidR="0056539E" w:rsidRPr="00E23B8D" w:rsidRDefault="0056539E" w:rsidP="00E23B8D">
            <w:pPr>
              <w:spacing w:before="60" w:after="60"/>
              <w:jc w:val="left"/>
              <w:rPr>
                <w:rFonts w:cs="Arial"/>
                <w:color w:val="000000"/>
                <w:szCs w:val="20"/>
                <w:lang w:val="en-US"/>
              </w:rPr>
            </w:pPr>
          </w:p>
        </w:tc>
        <w:tc>
          <w:tcPr>
            <w:tcW w:w="113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Gin Holes</w:t>
            </w:r>
          </w:p>
        </w:tc>
        <w:tc>
          <w:tcPr>
            <w:tcW w:w="623"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7</w:t>
            </w:r>
          </w:p>
        </w:tc>
        <w:tc>
          <w:tcPr>
            <w:tcW w:w="621"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0</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5.9</w:t>
            </w:r>
          </w:p>
        </w:tc>
        <w:tc>
          <w:tcPr>
            <w:tcW w:w="467"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0.0</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3</w:t>
            </w:r>
          </w:p>
        </w:tc>
        <w:tc>
          <w:tcPr>
            <w:tcW w:w="466"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0</w:t>
            </w:r>
          </w:p>
        </w:tc>
      </w:tr>
      <w:tr w:rsidR="0056539E" w:rsidRPr="00E23B8D" w:rsidTr="00E23B8D">
        <w:trPr>
          <w:trHeight w:val="240"/>
        </w:trPr>
        <w:tc>
          <w:tcPr>
            <w:tcW w:w="504" w:type="pct"/>
            <w:vMerge w:val="restart"/>
            <w:shd w:val="clear" w:color="auto" w:fill="auto"/>
            <w:textDirection w:val="btLr"/>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Mehi River and Moomin Creek</w:t>
            </w:r>
          </w:p>
        </w:tc>
        <w:tc>
          <w:tcPr>
            <w:tcW w:w="233" w:type="pct"/>
            <w:vMerge w:val="restart"/>
            <w:shd w:val="clear" w:color="auto" w:fill="auto"/>
            <w:noWrap/>
            <w:textDirection w:val="btLr"/>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Mallowa</w:t>
            </w:r>
          </w:p>
        </w:tc>
        <w:tc>
          <w:tcPr>
            <w:tcW w:w="113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Bungunya</w:t>
            </w:r>
          </w:p>
        </w:tc>
        <w:tc>
          <w:tcPr>
            <w:tcW w:w="623"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3</w:t>
            </w:r>
          </w:p>
        </w:tc>
        <w:tc>
          <w:tcPr>
            <w:tcW w:w="621"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3</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1.7</w:t>
            </w:r>
          </w:p>
        </w:tc>
        <w:tc>
          <w:tcPr>
            <w:tcW w:w="467"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1.3</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2</w:t>
            </w:r>
          </w:p>
        </w:tc>
        <w:tc>
          <w:tcPr>
            <w:tcW w:w="466"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1</w:t>
            </w:r>
          </w:p>
        </w:tc>
      </w:tr>
      <w:tr w:rsidR="0056539E" w:rsidRPr="00E23B8D" w:rsidTr="00E23B8D">
        <w:trPr>
          <w:trHeight w:val="240"/>
        </w:trPr>
        <w:tc>
          <w:tcPr>
            <w:tcW w:w="504" w:type="pct"/>
            <w:vMerge/>
            <w:vAlign w:val="center"/>
            <w:hideMark/>
          </w:tcPr>
          <w:p w:rsidR="0056539E" w:rsidRPr="00E23B8D" w:rsidRDefault="0056539E" w:rsidP="00E23B8D">
            <w:pPr>
              <w:spacing w:before="60" w:after="60"/>
              <w:jc w:val="left"/>
              <w:rPr>
                <w:rFonts w:cs="Arial"/>
                <w:color w:val="000000"/>
                <w:szCs w:val="20"/>
                <w:lang w:val="en-US"/>
              </w:rPr>
            </w:pPr>
          </w:p>
        </w:tc>
        <w:tc>
          <w:tcPr>
            <w:tcW w:w="233" w:type="pct"/>
            <w:vMerge/>
            <w:vAlign w:val="center"/>
            <w:hideMark/>
          </w:tcPr>
          <w:p w:rsidR="0056539E" w:rsidRPr="00E23B8D" w:rsidRDefault="0056539E" w:rsidP="00E23B8D">
            <w:pPr>
              <w:spacing w:before="60" w:after="60"/>
              <w:jc w:val="left"/>
              <w:rPr>
                <w:rFonts w:cs="Arial"/>
                <w:color w:val="000000"/>
                <w:szCs w:val="20"/>
                <w:lang w:val="en-US"/>
              </w:rPr>
            </w:pPr>
          </w:p>
        </w:tc>
        <w:tc>
          <w:tcPr>
            <w:tcW w:w="113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Coombah</w:t>
            </w:r>
          </w:p>
        </w:tc>
        <w:tc>
          <w:tcPr>
            <w:tcW w:w="623"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15</w:t>
            </w:r>
          </w:p>
        </w:tc>
        <w:tc>
          <w:tcPr>
            <w:tcW w:w="621"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4</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77.9</w:t>
            </w:r>
          </w:p>
        </w:tc>
        <w:tc>
          <w:tcPr>
            <w:tcW w:w="467"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1.9</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5</w:t>
            </w:r>
          </w:p>
        </w:tc>
        <w:tc>
          <w:tcPr>
            <w:tcW w:w="466"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0</w:t>
            </w:r>
          </w:p>
        </w:tc>
      </w:tr>
      <w:tr w:rsidR="0056539E" w:rsidRPr="00E23B8D" w:rsidTr="00E23B8D">
        <w:trPr>
          <w:trHeight w:val="240"/>
        </w:trPr>
        <w:tc>
          <w:tcPr>
            <w:tcW w:w="504" w:type="pct"/>
            <w:vMerge/>
            <w:vAlign w:val="center"/>
            <w:hideMark/>
          </w:tcPr>
          <w:p w:rsidR="0056539E" w:rsidRPr="00E23B8D" w:rsidRDefault="0056539E" w:rsidP="00E23B8D">
            <w:pPr>
              <w:spacing w:before="60" w:after="60"/>
              <w:jc w:val="left"/>
              <w:rPr>
                <w:rFonts w:cs="Arial"/>
                <w:color w:val="000000"/>
                <w:szCs w:val="20"/>
                <w:lang w:val="en-US"/>
              </w:rPr>
            </w:pPr>
          </w:p>
        </w:tc>
        <w:tc>
          <w:tcPr>
            <w:tcW w:w="233" w:type="pct"/>
            <w:vMerge/>
            <w:vAlign w:val="center"/>
            <w:hideMark/>
          </w:tcPr>
          <w:p w:rsidR="0056539E" w:rsidRPr="00E23B8D" w:rsidRDefault="0056539E" w:rsidP="00E23B8D">
            <w:pPr>
              <w:spacing w:before="60" w:after="60"/>
              <w:jc w:val="left"/>
              <w:rPr>
                <w:rFonts w:cs="Arial"/>
                <w:color w:val="000000"/>
                <w:szCs w:val="20"/>
                <w:lang w:val="en-US"/>
              </w:rPr>
            </w:pPr>
          </w:p>
        </w:tc>
        <w:tc>
          <w:tcPr>
            <w:tcW w:w="113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 xml:space="preserve">Gundare Weir  </w:t>
            </w:r>
          </w:p>
        </w:tc>
        <w:tc>
          <w:tcPr>
            <w:tcW w:w="623"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8</w:t>
            </w:r>
          </w:p>
        </w:tc>
        <w:tc>
          <w:tcPr>
            <w:tcW w:w="621"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9</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12.2</w:t>
            </w:r>
          </w:p>
        </w:tc>
        <w:tc>
          <w:tcPr>
            <w:tcW w:w="467"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26.1</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4</w:t>
            </w:r>
          </w:p>
        </w:tc>
        <w:tc>
          <w:tcPr>
            <w:tcW w:w="466"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4</w:t>
            </w:r>
          </w:p>
        </w:tc>
      </w:tr>
      <w:tr w:rsidR="0056539E" w:rsidRPr="00E23B8D" w:rsidTr="00E23B8D">
        <w:trPr>
          <w:trHeight w:val="240"/>
        </w:trPr>
        <w:tc>
          <w:tcPr>
            <w:tcW w:w="504" w:type="pct"/>
            <w:vMerge/>
            <w:vAlign w:val="center"/>
            <w:hideMark/>
          </w:tcPr>
          <w:p w:rsidR="0056539E" w:rsidRPr="00E23B8D" w:rsidRDefault="0056539E" w:rsidP="00E23B8D">
            <w:pPr>
              <w:spacing w:before="60" w:after="60"/>
              <w:jc w:val="left"/>
              <w:rPr>
                <w:rFonts w:cs="Arial"/>
                <w:color w:val="000000"/>
                <w:szCs w:val="20"/>
                <w:lang w:val="en-US"/>
              </w:rPr>
            </w:pPr>
          </w:p>
        </w:tc>
        <w:tc>
          <w:tcPr>
            <w:tcW w:w="233" w:type="pct"/>
            <w:vMerge/>
            <w:vAlign w:val="center"/>
            <w:hideMark/>
          </w:tcPr>
          <w:p w:rsidR="0056539E" w:rsidRPr="00E23B8D" w:rsidRDefault="0056539E" w:rsidP="00E23B8D">
            <w:pPr>
              <w:spacing w:before="60" w:after="60"/>
              <w:jc w:val="left"/>
              <w:rPr>
                <w:rFonts w:cs="Arial"/>
                <w:color w:val="000000"/>
                <w:szCs w:val="20"/>
                <w:lang w:val="en-US"/>
              </w:rPr>
            </w:pPr>
          </w:p>
        </w:tc>
        <w:tc>
          <w:tcPr>
            <w:tcW w:w="113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Valetta</w:t>
            </w:r>
          </w:p>
        </w:tc>
        <w:tc>
          <w:tcPr>
            <w:tcW w:w="623"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19</w:t>
            </w:r>
          </w:p>
        </w:tc>
        <w:tc>
          <w:tcPr>
            <w:tcW w:w="621"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5</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9.5</w:t>
            </w:r>
          </w:p>
        </w:tc>
        <w:tc>
          <w:tcPr>
            <w:tcW w:w="467"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1.4</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5</w:t>
            </w:r>
          </w:p>
        </w:tc>
        <w:tc>
          <w:tcPr>
            <w:tcW w:w="466"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3</w:t>
            </w:r>
          </w:p>
        </w:tc>
      </w:tr>
      <w:tr w:rsidR="0056539E" w:rsidRPr="00E23B8D" w:rsidTr="00E23B8D">
        <w:trPr>
          <w:trHeight w:val="240"/>
        </w:trPr>
        <w:tc>
          <w:tcPr>
            <w:tcW w:w="504" w:type="pct"/>
            <w:vMerge/>
            <w:vAlign w:val="center"/>
            <w:hideMark/>
          </w:tcPr>
          <w:p w:rsidR="0056539E" w:rsidRPr="00E23B8D" w:rsidRDefault="0056539E" w:rsidP="00E23B8D">
            <w:pPr>
              <w:spacing w:before="60" w:after="60"/>
              <w:jc w:val="left"/>
              <w:rPr>
                <w:rFonts w:cs="Arial"/>
                <w:color w:val="000000"/>
                <w:szCs w:val="20"/>
                <w:lang w:val="en-US"/>
              </w:rPr>
            </w:pPr>
          </w:p>
        </w:tc>
        <w:tc>
          <w:tcPr>
            <w:tcW w:w="233" w:type="pct"/>
            <w:vMerge w:val="restart"/>
            <w:shd w:val="clear" w:color="auto" w:fill="auto"/>
            <w:noWrap/>
            <w:textDirection w:val="btLr"/>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Mehi</w:t>
            </w:r>
          </w:p>
        </w:tc>
        <w:tc>
          <w:tcPr>
            <w:tcW w:w="113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Combadello Weir</w:t>
            </w:r>
          </w:p>
        </w:tc>
        <w:tc>
          <w:tcPr>
            <w:tcW w:w="623"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6</w:t>
            </w:r>
          </w:p>
        </w:tc>
        <w:tc>
          <w:tcPr>
            <w:tcW w:w="621"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5</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9.4</w:t>
            </w:r>
          </w:p>
        </w:tc>
        <w:tc>
          <w:tcPr>
            <w:tcW w:w="467"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3.9</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3</w:t>
            </w:r>
          </w:p>
        </w:tc>
        <w:tc>
          <w:tcPr>
            <w:tcW w:w="466"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3</w:t>
            </w:r>
          </w:p>
        </w:tc>
      </w:tr>
      <w:tr w:rsidR="0056539E" w:rsidRPr="00E23B8D" w:rsidTr="00E23B8D">
        <w:trPr>
          <w:trHeight w:val="240"/>
        </w:trPr>
        <w:tc>
          <w:tcPr>
            <w:tcW w:w="504" w:type="pct"/>
            <w:vMerge/>
            <w:vAlign w:val="center"/>
            <w:hideMark/>
          </w:tcPr>
          <w:p w:rsidR="0056539E" w:rsidRPr="00E23B8D" w:rsidRDefault="0056539E" w:rsidP="00E23B8D">
            <w:pPr>
              <w:spacing w:before="60" w:after="60"/>
              <w:jc w:val="left"/>
              <w:rPr>
                <w:rFonts w:cs="Arial"/>
                <w:color w:val="000000"/>
                <w:szCs w:val="20"/>
                <w:lang w:val="en-US"/>
              </w:rPr>
            </w:pPr>
          </w:p>
        </w:tc>
        <w:tc>
          <w:tcPr>
            <w:tcW w:w="233" w:type="pct"/>
            <w:vMerge/>
            <w:vAlign w:val="center"/>
            <w:hideMark/>
          </w:tcPr>
          <w:p w:rsidR="0056539E" w:rsidRPr="00E23B8D" w:rsidRDefault="0056539E" w:rsidP="00E23B8D">
            <w:pPr>
              <w:spacing w:before="60" w:after="60"/>
              <w:jc w:val="left"/>
              <w:rPr>
                <w:rFonts w:cs="Arial"/>
                <w:color w:val="000000"/>
                <w:szCs w:val="20"/>
                <w:lang w:val="en-US"/>
              </w:rPr>
            </w:pPr>
          </w:p>
        </w:tc>
        <w:tc>
          <w:tcPr>
            <w:tcW w:w="113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Derra Waterhole</w:t>
            </w:r>
          </w:p>
        </w:tc>
        <w:tc>
          <w:tcPr>
            <w:tcW w:w="623"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5</w:t>
            </w:r>
          </w:p>
        </w:tc>
        <w:tc>
          <w:tcPr>
            <w:tcW w:w="621"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1</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2.2</w:t>
            </w:r>
          </w:p>
        </w:tc>
        <w:tc>
          <w:tcPr>
            <w:tcW w:w="467"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0.3</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2</w:t>
            </w:r>
          </w:p>
        </w:tc>
        <w:tc>
          <w:tcPr>
            <w:tcW w:w="466"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1</w:t>
            </w:r>
          </w:p>
        </w:tc>
      </w:tr>
      <w:tr w:rsidR="0056539E" w:rsidRPr="00E23B8D" w:rsidTr="00E23B8D">
        <w:trPr>
          <w:trHeight w:val="240"/>
        </w:trPr>
        <w:tc>
          <w:tcPr>
            <w:tcW w:w="504" w:type="pct"/>
            <w:vMerge/>
            <w:vAlign w:val="center"/>
            <w:hideMark/>
          </w:tcPr>
          <w:p w:rsidR="0056539E" w:rsidRPr="00E23B8D" w:rsidRDefault="0056539E" w:rsidP="00E23B8D">
            <w:pPr>
              <w:spacing w:before="60" w:after="60"/>
              <w:jc w:val="left"/>
              <w:rPr>
                <w:rFonts w:cs="Arial"/>
                <w:color w:val="000000"/>
                <w:szCs w:val="20"/>
                <w:lang w:val="en-US"/>
              </w:rPr>
            </w:pPr>
          </w:p>
        </w:tc>
        <w:tc>
          <w:tcPr>
            <w:tcW w:w="233" w:type="pct"/>
            <w:vMerge/>
            <w:vAlign w:val="center"/>
            <w:hideMark/>
          </w:tcPr>
          <w:p w:rsidR="0056539E" w:rsidRPr="00E23B8D" w:rsidRDefault="0056539E" w:rsidP="00E23B8D">
            <w:pPr>
              <w:spacing w:before="60" w:after="60"/>
              <w:jc w:val="left"/>
              <w:rPr>
                <w:rFonts w:cs="Arial"/>
                <w:color w:val="000000"/>
                <w:szCs w:val="20"/>
                <w:lang w:val="en-US"/>
              </w:rPr>
            </w:pPr>
          </w:p>
        </w:tc>
        <w:tc>
          <w:tcPr>
            <w:tcW w:w="113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Tellegara Bridge</w:t>
            </w:r>
          </w:p>
        </w:tc>
        <w:tc>
          <w:tcPr>
            <w:tcW w:w="623"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7</w:t>
            </w:r>
          </w:p>
        </w:tc>
        <w:tc>
          <w:tcPr>
            <w:tcW w:w="621"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7</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3.1</w:t>
            </w:r>
          </w:p>
        </w:tc>
        <w:tc>
          <w:tcPr>
            <w:tcW w:w="467"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7.3</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3</w:t>
            </w:r>
          </w:p>
        </w:tc>
        <w:tc>
          <w:tcPr>
            <w:tcW w:w="466"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2</w:t>
            </w:r>
          </w:p>
        </w:tc>
      </w:tr>
      <w:tr w:rsidR="0056539E" w:rsidRPr="00E23B8D" w:rsidTr="00E23B8D">
        <w:trPr>
          <w:trHeight w:val="240"/>
        </w:trPr>
        <w:tc>
          <w:tcPr>
            <w:tcW w:w="504" w:type="pct"/>
            <w:vMerge/>
            <w:vAlign w:val="center"/>
            <w:hideMark/>
          </w:tcPr>
          <w:p w:rsidR="0056539E" w:rsidRPr="00E23B8D" w:rsidRDefault="0056539E" w:rsidP="00E23B8D">
            <w:pPr>
              <w:spacing w:before="60" w:after="60"/>
              <w:jc w:val="left"/>
              <w:rPr>
                <w:rFonts w:cs="Arial"/>
                <w:color w:val="000000"/>
                <w:szCs w:val="20"/>
                <w:lang w:val="en-US"/>
              </w:rPr>
            </w:pPr>
          </w:p>
        </w:tc>
        <w:tc>
          <w:tcPr>
            <w:tcW w:w="233" w:type="pct"/>
            <w:vMerge/>
            <w:vAlign w:val="center"/>
            <w:hideMark/>
          </w:tcPr>
          <w:p w:rsidR="0056539E" w:rsidRPr="00E23B8D" w:rsidRDefault="0056539E" w:rsidP="00E23B8D">
            <w:pPr>
              <w:spacing w:before="60" w:after="60"/>
              <w:jc w:val="left"/>
              <w:rPr>
                <w:rFonts w:cs="Arial"/>
                <w:color w:val="000000"/>
                <w:szCs w:val="20"/>
                <w:lang w:val="en-US"/>
              </w:rPr>
            </w:pPr>
          </w:p>
        </w:tc>
        <w:tc>
          <w:tcPr>
            <w:tcW w:w="1136" w:type="pct"/>
            <w:shd w:val="clear" w:color="auto" w:fill="auto"/>
            <w:noWrap/>
            <w:vAlign w:val="bottom"/>
            <w:hideMark/>
          </w:tcPr>
          <w:p w:rsidR="0056539E" w:rsidRPr="00E23B8D" w:rsidRDefault="0056539E" w:rsidP="00E23B8D">
            <w:pPr>
              <w:spacing w:before="60" w:after="60"/>
              <w:jc w:val="left"/>
              <w:rPr>
                <w:rFonts w:cs="Arial"/>
                <w:color w:val="000000"/>
                <w:szCs w:val="20"/>
                <w:lang w:val="en-US"/>
              </w:rPr>
            </w:pPr>
            <w:r w:rsidRPr="00E23B8D">
              <w:rPr>
                <w:rFonts w:cs="Arial"/>
                <w:color w:val="000000"/>
                <w:szCs w:val="20"/>
                <w:lang w:val="en-US"/>
              </w:rPr>
              <w:t>Whittaker's Lagoon</w:t>
            </w:r>
          </w:p>
        </w:tc>
        <w:tc>
          <w:tcPr>
            <w:tcW w:w="623"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23</w:t>
            </w:r>
          </w:p>
        </w:tc>
        <w:tc>
          <w:tcPr>
            <w:tcW w:w="621" w:type="pct"/>
            <w:shd w:val="clear" w:color="auto" w:fill="auto"/>
            <w:noWrap/>
            <w:vAlign w:val="center"/>
            <w:hideMark/>
          </w:tcPr>
          <w:p w:rsidR="0056539E" w:rsidRPr="00E23B8D" w:rsidRDefault="0049092F" w:rsidP="00E23B8D">
            <w:pPr>
              <w:spacing w:before="60" w:after="60"/>
              <w:jc w:val="center"/>
              <w:rPr>
                <w:rFonts w:cs="Arial"/>
                <w:color w:val="000000"/>
                <w:szCs w:val="20"/>
                <w:lang w:val="en-US"/>
              </w:rPr>
            </w:pPr>
            <w:r w:rsidRPr="00E23B8D">
              <w:rPr>
                <w:rFonts w:cs="Arial"/>
                <w:color w:val="000000"/>
                <w:szCs w:val="20"/>
                <w:lang w:val="en-US"/>
              </w:rPr>
              <w:t>8</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8.4</w:t>
            </w:r>
          </w:p>
        </w:tc>
        <w:tc>
          <w:tcPr>
            <w:tcW w:w="467"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2.8</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7</w:t>
            </w:r>
          </w:p>
        </w:tc>
        <w:tc>
          <w:tcPr>
            <w:tcW w:w="466"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4</w:t>
            </w:r>
          </w:p>
        </w:tc>
      </w:tr>
      <w:tr w:rsidR="0056539E" w:rsidRPr="00E23B8D" w:rsidTr="00E23B8D">
        <w:trPr>
          <w:trHeight w:val="300"/>
        </w:trPr>
        <w:tc>
          <w:tcPr>
            <w:tcW w:w="1873" w:type="pct"/>
            <w:gridSpan w:val="3"/>
            <w:shd w:val="clear" w:color="auto" w:fill="auto"/>
            <w:noWrap/>
            <w:vAlign w:val="center"/>
            <w:hideMark/>
          </w:tcPr>
          <w:p w:rsidR="0056539E" w:rsidRPr="00E23B8D" w:rsidRDefault="0056539E" w:rsidP="00E23B8D">
            <w:pPr>
              <w:spacing w:before="60" w:after="60"/>
              <w:jc w:val="left"/>
              <w:rPr>
                <w:rFonts w:cs="Arial"/>
                <w:b/>
                <w:bCs/>
                <w:color w:val="000000"/>
                <w:szCs w:val="20"/>
                <w:lang w:val="en-US"/>
              </w:rPr>
            </w:pPr>
            <w:r w:rsidRPr="00E23B8D">
              <w:rPr>
                <w:rFonts w:cs="Arial"/>
                <w:b/>
                <w:bCs/>
                <w:color w:val="000000"/>
                <w:szCs w:val="20"/>
                <w:lang w:val="en-US"/>
              </w:rPr>
              <w:t>Average </w:t>
            </w:r>
          </w:p>
        </w:tc>
        <w:tc>
          <w:tcPr>
            <w:tcW w:w="623"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10.7</w:t>
            </w:r>
          </w:p>
        </w:tc>
        <w:tc>
          <w:tcPr>
            <w:tcW w:w="621"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7.1</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10.8</w:t>
            </w:r>
          </w:p>
        </w:tc>
        <w:tc>
          <w:tcPr>
            <w:tcW w:w="467"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8.6</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4.0</w:t>
            </w:r>
          </w:p>
        </w:tc>
        <w:tc>
          <w:tcPr>
            <w:tcW w:w="466"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2.9</w:t>
            </w:r>
          </w:p>
        </w:tc>
      </w:tr>
      <w:tr w:rsidR="0056539E" w:rsidRPr="00E23B8D" w:rsidTr="00E23B8D">
        <w:trPr>
          <w:trHeight w:val="300"/>
        </w:trPr>
        <w:tc>
          <w:tcPr>
            <w:tcW w:w="1873" w:type="pct"/>
            <w:gridSpan w:val="3"/>
            <w:shd w:val="clear" w:color="auto" w:fill="auto"/>
            <w:noWrap/>
            <w:vAlign w:val="center"/>
            <w:hideMark/>
          </w:tcPr>
          <w:p w:rsidR="0056539E" w:rsidRPr="00E23B8D" w:rsidRDefault="0056539E" w:rsidP="00E23B8D">
            <w:pPr>
              <w:spacing w:before="60" w:after="60"/>
              <w:jc w:val="left"/>
              <w:rPr>
                <w:rFonts w:cs="Arial"/>
                <w:b/>
                <w:bCs/>
                <w:color w:val="000000"/>
                <w:szCs w:val="20"/>
                <w:lang w:val="en-US"/>
              </w:rPr>
            </w:pPr>
            <w:r w:rsidRPr="00E23B8D">
              <w:rPr>
                <w:rFonts w:cs="Arial"/>
                <w:b/>
                <w:bCs/>
                <w:color w:val="000000"/>
                <w:szCs w:val="20"/>
                <w:lang w:val="en-US"/>
              </w:rPr>
              <w:t>Std dev </w:t>
            </w:r>
          </w:p>
        </w:tc>
        <w:tc>
          <w:tcPr>
            <w:tcW w:w="623"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8.2</w:t>
            </w:r>
          </w:p>
        </w:tc>
        <w:tc>
          <w:tcPr>
            <w:tcW w:w="621"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7.1</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16.4</w:t>
            </w:r>
          </w:p>
        </w:tc>
        <w:tc>
          <w:tcPr>
            <w:tcW w:w="467"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18.0</w:t>
            </w:r>
          </w:p>
        </w:tc>
        <w:tc>
          <w:tcPr>
            <w:tcW w:w="475"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2.4</w:t>
            </w:r>
          </w:p>
        </w:tc>
        <w:tc>
          <w:tcPr>
            <w:tcW w:w="466" w:type="pct"/>
            <w:shd w:val="clear" w:color="auto" w:fill="auto"/>
            <w:noWrap/>
            <w:vAlign w:val="center"/>
            <w:hideMark/>
          </w:tcPr>
          <w:p w:rsidR="0056539E" w:rsidRPr="00E23B8D" w:rsidRDefault="0056539E" w:rsidP="00E23B8D">
            <w:pPr>
              <w:spacing w:before="60" w:after="60"/>
              <w:jc w:val="center"/>
              <w:rPr>
                <w:rFonts w:cs="Arial"/>
                <w:color w:val="000000"/>
                <w:szCs w:val="20"/>
                <w:lang w:val="en-US"/>
              </w:rPr>
            </w:pPr>
            <w:r w:rsidRPr="00E23B8D">
              <w:rPr>
                <w:rFonts w:cs="Arial"/>
                <w:color w:val="000000"/>
                <w:szCs w:val="20"/>
                <w:lang w:val="en-US"/>
              </w:rPr>
              <w:t>2.4</w:t>
            </w:r>
          </w:p>
        </w:tc>
      </w:tr>
    </w:tbl>
    <w:p w:rsidR="0056539E" w:rsidRDefault="0056539E" w:rsidP="0056539E">
      <w:pPr>
        <w:sectPr w:rsidR="0056539E" w:rsidSect="00AE2431">
          <w:pgSz w:w="11899" w:h="16838"/>
          <w:pgMar w:top="1508" w:right="1219" w:bottom="1457" w:left="1480" w:header="811" w:footer="305" w:gutter="0"/>
          <w:pgNumType w:chapStyle="6"/>
          <w:cols w:space="708"/>
          <w:docGrid w:linePitch="360"/>
        </w:sectPr>
      </w:pPr>
    </w:p>
    <w:p w:rsidR="0056539E" w:rsidRDefault="004176FF" w:rsidP="0056539E">
      <w:pPr>
        <w:keepNext/>
        <w:spacing w:line="240" w:lineRule="auto"/>
      </w:pPr>
      <w:r w:rsidRPr="008F5E11">
        <w:rPr>
          <w:noProof/>
          <w:lang w:eastAsia="en-AU"/>
        </w:rPr>
        <w:drawing>
          <wp:inline distT="0" distB="0" distL="0" distR="0">
            <wp:extent cx="8934450" cy="5295900"/>
            <wp:effectExtent l="0" t="0" r="0" b="0"/>
            <wp:docPr id="107" name="Chart 2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rsidR="0056539E" w:rsidRDefault="0056539E" w:rsidP="0056539E">
      <w:pPr>
        <w:pStyle w:val="Caption"/>
      </w:pPr>
      <w:bookmarkStart w:id="175" w:name="_Ref453095693"/>
      <w:r>
        <w:t xml:space="preserve">Figure </w:t>
      </w:r>
      <w:fldSimple w:instr=" STYLEREF 6 \s ">
        <w:r w:rsidR="00673DAF">
          <w:rPr>
            <w:noProof/>
          </w:rPr>
          <w:t>K</w:t>
        </w:r>
      </w:fldSimple>
      <w:r w:rsidR="00673DAF">
        <w:noBreakHyphen/>
      </w:r>
      <w:fldSimple w:instr=" SEQ Figure \* ARABIC \s 6 ">
        <w:r w:rsidR="00673DAF">
          <w:rPr>
            <w:noProof/>
          </w:rPr>
          <w:t>4</w:t>
        </w:r>
      </w:fldSimple>
      <w:bookmarkEnd w:id="175"/>
      <w:r>
        <w:rPr>
          <w:noProof/>
        </w:rPr>
        <w:t xml:space="preserve">: </w:t>
      </w:r>
      <w:r>
        <w:t xml:space="preserve"> </w:t>
      </w:r>
      <w:r w:rsidRPr="00F37F13">
        <w:t>Waterbird counts per hectare recorded at survey sites within the Gwydir river system Selected Area in November 2015 and March 2016.</w:t>
      </w:r>
    </w:p>
    <w:p w:rsidR="0056539E" w:rsidRDefault="004176FF" w:rsidP="0056539E">
      <w:pPr>
        <w:keepNext/>
        <w:spacing w:line="240" w:lineRule="auto"/>
      </w:pPr>
      <w:r w:rsidRPr="008F5E11">
        <w:rPr>
          <w:noProof/>
          <w:lang w:eastAsia="en-AU"/>
        </w:rPr>
        <w:drawing>
          <wp:inline distT="0" distB="0" distL="0" distR="0">
            <wp:extent cx="8997950" cy="5320665"/>
            <wp:effectExtent l="0" t="0" r="12700" b="13335"/>
            <wp:docPr id="108" name="Chart 2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rsidR="0056539E" w:rsidRDefault="0056539E" w:rsidP="0056539E">
      <w:pPr>
        <w:pStyle w:val="Caption"/>
      </w:pPr>
      <w:bookmarkStart w:id="176" w:name="_Ref453095723"/>
      <w:r>
        <w:t xml:space="preserve">Figure </w:t>
      </w:r>
      <w:fldSimple w:instr=" STYLEREF 6 \s ">
        <w:r w:rsidR="00673DAF">
          <w:rPr>
            <w:noProof/>
          </w:rPr>
          <w:t>K</w:t>
        </w:r>
      </w:fldSimple>
      <w:r w:rsidR="00673DAF">
        <w:noBreakHyphen/>
      </w:r>
      <w:fldSimple w:instr=" SEQ Figure \* ARABIC \s 6 ">
        <w:r w:rsidR="00673DAF">
          <w:rPr>
            <w:noProof/>
          </w:rPr>
          <w:t>5</w:t>
        </w:r>
      </w:fldSimple>
      <w:bookmarkEnd w:id="176"/>
      <w:r>
        <w:rPr>
          <w:noProof/>
        </w:rPr>
        <w:t xml:space="preserve">: </w:t>
      </w:r>
      <w:r>
        <w:t xml:space="preserve"> S</w:t>
      </w:r>
      <w:r w:rsidRPr="002F2B31">
        <w:t xml:space="preserve">pecies </w:t>
      </w:r>
      <w:r>
        <w:t>richness</w:t>
      </w:r>
      <w:r w:rsidRPr="002F2B31">
        <w:t xml:space="preserve"> recorded at waterbird survey sites within the Gwydir river system Selected Area in November 2015 and March 2016.</w:t>
      </w:r>
    </w:p>
    <w:p w:rsidR="00A97349" w:rsidRDefault="00A97349" w:rsidP="0056539E">
      <w:pPr>
        <w:spacing w:line="240" w:lineRule="auto"/>
        <w:sectPr w:rsidR="00A97349" w:rsidSect="004F411E">
          <w:headerReference w:type="default" r:id="rId201"/>
          <w:footerReference w:type="default" r:id="rId202"/>
          <w:type w:val="nextColumn"/>
          <w:pgSz w:w="16838" w:h="11899" w:orient="landscape"/>
          <w:pgMar w:top="1508" w:right="1219" w:bottom="1457" w:left="1480" w:header="811" w:footer="305" w:gutter="0"/>
          <w:pgNumType w:chapStyle="6"/>
          <w:cols w:space="708"/>
          <w:docGrid w:linePitch="360"/>
        </w:sectPr>
      </w:pPr>
    </w:p>
    <w:p w:rsidR="0056539E" w:rsidRDefault="0056539E" w:rsidP="0056539E">
      <w:pPr>
        <w:pStyle w:val="Caption"/>
        <w:keepNext/>
      </w:pPr>
      <w:bookmarkStart w:id="177" w:name="_Ref457994842"/>
      <w:r>
        <w:t xml:space="preserve">Table </w:t>
      </w:r>
      <w:fldSimple w:instr=" STYLEREF 6 \s ">
        <w:r w:rsidR="005D5925">
          <w:rPr>
            <w:noProof/>
          </w:rPr>
          <w:t>K</w:t>
        </w:r>
      </w:fldSimple>
      <w:r w:rsidR="005D4453">
        <w:noBreakHyphen/>
      </w:r>
      <w:fldSimple w:instr=" SEQ Table \* ARABIC \s 6 ">
        <w:r w:rsidR="005D5925">
          <w:rPr>
            <w:noProof/>
          </w:rPr>
          <w:t>4</w:t>
        </w:r>
      </w:fldSimple>
      <w:bookmarkEnd w:id="177"/>
      <w:r>
        <w:rPr>
          <w:noProof/>
        </w:rPr>
        <w:t xml:space="preserve">: </w:t>
      </w:r>
      <w:r>
        <w:t xml:space="preserve"> Maximum count and percent occurrence across sites for all waterbirds species recorded in the 2015-16 monitoring period. </w:t>
      </w:r>
    </w:p>
    <w:tbl>
      <w:tblPr>
        <w:tblW w:w="5000" w:type="pct"/>
        <w:tblBorders>
          <w:top w:val="single" w:sz="4" w:space="0" w:color="auto"/>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14"/>
        <w:gridCol w:w="2360"/>
        <w:gridCol w:w="831"/>
        <w:gridCol w:w="569"/>
        <w:gridCol w:w="569"/>
        <w:gridCol w:w="570"/>
        <w:gridCol w:w="570"/>
        <w:gridCol w:w="583"/>
        <w:gridCol w:w="579"/>
        <w:gridCol w:w="570"/>
        <w:gridCol w:w="579"/>
        <w:gridCol w:w="579"/>
        <w:gridCol w:w="570"/>
        <w:gridCol w:w="579"/>
        <w:gridCol w:w="570"/>
        <w:gridCol w:w="579"/>
        <w:gridCol w:w="579"/>
        <w:gridCol w:w="579"/>
        <w:gridCol w:w="579"/>
        <w:gridCol w:w="570"/>
        <w:gridCol w:w="570"/>
        <w:gridCol w:w="570"/>
        <w:gridCol w:w="579"/>
        <w:gridCol w:w="579"/>
        <w:gridCol w:w="570"/>
        <w:gridCol w:w="570"/>
        <w:gridCol w:w="579"/>
        <w:gridCol w:w="17"/>
        <w:gridCol w:w="553"/>
        <w:gridCol w:w="570"/>
        <w:gridCol w:w="570"/>
        <w:gridCol w:w="579"/>
        <w:gridCol w:w="731"/>
      </w:tblGrid>
      <w:tr w:rsidR="0056539E" w:rsidRPr="00E23B8D" w:rsidTr="00CC18AA">
        <w:trPr>
          <w:cantSplit/>
          <w:trHeight w:val="238"/>
          <w:tblHeader/>
        </w:trPr>
        <w:tc>
          <w:tcPr>
            <w:tcW w:w="823" w:type="pct"/>
            <w:gridSpan w:val="2"/>
            <w:shd w:val="clear" w:color="auto" w:fill="D9D9D9"/>
            <w:vAlign w:val="center"/>
            <w:hideMark/>
          </w:tcPr>
          <w:p w:rsidR="0056539E" w:rsidRPr="00E23B8D" w:rsidRDefault="0056539E" w:rsidP="00E23B8D">
            <w:pPr>
              <w:spacing w:before="60" w:after="60" w:line="240" w:lineRule="exact"/>
              <w:jc w:val="center"/>
              <w:rPr>
                <w:rFonts w:cs="Arial"/>
                <w:color w:val="000000"/>
                <w:szCs w:val="20"/>
                <w:lang w:val="en-US"/>
              </w:rPr>
            </w:pPr>
            <w:bookmarkStart w:id="178" w:name="RANGE!A1:AF64"/>
            <w:r w:rsidRPr="00E23B8D">
              <w:rPr>
                <w:rFonts w:cs="Arial"/>
                <w:color w:val="000000"/>
                <w:szCs w:val="20"/>
                <w:lang w:val="en-US"/>
              </w:rPr>
              <w:t>Monitoring Zone</w:t>
            </w:r>
            <w:bookmarkEnd w:id="178"/>
          </w:p>
        </w:tc>
        <w:tc>
          <w:tcPr>
            <w:tcW w:w="2916" w:type="pct"/>
            <w:gridSpan w:val="21"/>
            <w:shd w:val="clear" w:color="auto" w:fill="D9D9D9"/>
            <w:noWrap/>
            <w:vAlign w:val="center"/>
            <w:hideMark/>
          </w:tcPr>
          <w:p w:rsidR="0056539E" w:rsidRPr="00E23B8D" w:rsidRDefault="001C3C04" w:rsidP="00E23B8D">
            <w:pPr>
              <w:spacing w:before="60" w:after="60" w:line="240" w:lineRule="exact"/>
              <w:jc w:val="center"/>
              <w:rPr>
                <w:rFonts w:cs="Arial"/>
                <w:color w:val="000000"/>
                <w:szCs w:val="20"/>
                <w:lang w:val="en-US"/>
              </w:rPr>
            </w:pPr>
            <w:r w:rsidRPr="00E23B8D">
              <w:rPr>
                <w:rFonts w:cs="Arial"/>
                <w:color w:val="000000"/>
                <w:szCs w:val="20"/>
                <w:lang w:val="en-US"/>
              </w:rPr>
              <w:t>lower</w:t>
            </w:r>
            <w:r w:rsidR="0056539E" w:rsidRPr="00E23B8D">
              <w:rPr>
                <w:rFonts w:cs="Arial"/>
                <w:color w:val="000000"/>
                <w:szCs w:val="20"/>
                <w:lang w:val="en-US"/>
              </w:rPr>
              <w:t xml:space="preserve"> Gwydir River and Gingham </w:t>
            </w:r>
            <w:r w:rsidRPr="00E23B8D">
              <w:rPr>
                <w:rFonts w:cs="Arial"/>
                <w:color w:val="000000"/>
                <w:szCs w:val="20"/>
                <w:lang w:val="en-US"/>
              </w:rPr>
              <w:t>watercourse</w:t>
            </w:r>
          </w:p>
        </w:tc>
        <w:tc>
          <w:tcPr>
            <w:tcW w:w="1086" w:type="pct"/>
            <w:gridSpan w:val="9"/>
            <w:tcBorders>
              <w:right w:val="single" w:sz="4" w:space="0" w:color="auto"/>
            </w:tcBorders>
            <w:shd w:val="clear" w:color="auto" w:fill="D9D9D9"/>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Mehi River and Moomin Creek</w:t>
            </w:r>
          </w:p>
        </w:tc>
        <w:tc>
          <w:tcPr>
            <w:tcW w:w="175" w:type="pct"/>
            <w:vMerge w:val="restart"/>
            <w:tcBorders>
              <w:top w:val="single" w:sz="4" w:space="0" w:color="auto"/>
              <w:left w:val="single" w:sz="4" w:space="0" w:color="auto"/>
              <w:bottom w:val="nil"/>
            </w:tcBorders>
            <w:shd w:val="clear" w:color="auto" w:fill="F2F2F2"/>
            <w:noWrap/>
            <w:textDirection w:val="btLr"/>
            <w:vAlign w:val="center"/>
            <w:hideMark/>
          </w:tcPr>
          <w:p w:rsidR="0056539E" w:rsidRPr="00E23B8D" w:rsidRDefault="0056539E" w:rsidP="00E23B8D">
            <w:pPr>
              <w:spacing w:before="60" w:after="60" w:line="240" w:lineRule="exact"/>
              <w:jc w:val="left"/>
              <w:rPr>
                <w:rFonts w:cs="Arial"/>
                <w:color w:val="000000"/>
                <w:szCs w:val="20"/>
                <w:lang w:val="en-US"/>
              </w:rPr>
            </w:pPr>
          </w:p>
        </w:tc>
      </w:tr>
      <w:tr w:rsidR="0056539E" w:rsidRPr="00E23B8D" w:rsidTr="00CC18AA">
        <w:trPr>
          <w:cantSplit/>
          <w:trHeight w:val="364"/>
          <w:tblHeader/>
        </w:trPr>
        <w:tc>
          <w:tcPr>
            <w:tcW w:w="823" w:type="pct"/>
            <w:gridSpan w:val="2"/>
            <w:shd w:val="clear" w:color="auto" w:fill="D9D9D9"/>
            <w:noWrap/>
            <w:vAlign w:val="center"/>
            <w:hideMark/>
          </w:tcPr>
          <w:p w:rsidR="0056539E" w:rsidRPr="00E23B8D" w:rsidRDefault="00605C43" w:rsidP="00E23B8D">
            <w:pPr>
              <w:spacing w:before="60" w:after="60" w:line="240" w:lineRule="exact"/>
              <w:jc w:val="center"/>
              <w:rPr>
                <w:rFonts w:cs="Arial"/>
                <w:color w:val="000000"/>
                <w:szCs w:val="20"/>
                <w:lang w:val="en-US"/>
              </w:rPr>
            </w:pPr>
            <w:r w:rsidRPr="00E23B8D">
              <w:rPr>
                <w:rFonts w:cs="Arial"/>
                <w:color w:val="000000"/>
                <w:szCs w:val="20"/>
                <w:lang w:val="en-US"/>
              </w:rPr>
              <w:t>System</w:t>
            </w:r>
          </w:p>
        </w:tc>
        <w:tc>
          <w:tcPr>
            <w:tcW w:w="875" w:type="pct"/>
            <w:gridSpan w:val="6"/>
            <w:shd w:val="clear" w:color="auto" w:fill="D9D9D9"/>
            <w:noWrap/>
            <w:vAlign w:val="center"/>
            <w:hideMark/>
          </w:tcPr>
          <w:p w:rsidR="0056539E" w:rsidRPr="00E23B8D" w:rsidRDefault="001C3C04" w:rsidP="00E23B8D">
            <w:pPr>
              <w:spacing w:before="60" w:after="60" w:line="240" w:lineRule="exact"/>
              <w:jc w:val="center"/>
              <w:rPr>
                <w:rFonts w:cs="Arial"/>
                <w:color w:val="000000"/>
                <w:szCs w:val="20"/>
                <w:lang w:val="en-US"/>
              </w:rPr>
            </w:pPr>
            <w:r w:rsidRPr="00E23B8D">
              <w:rPr>
                <w:rFonts w:cs="Arial"/>
                <w:color w:val="000000"/>
                <w:szCs w:val="20"/>
                <w:lang w:val="en-US"/>
              </w:rPr>
              <w:t>lower</w:t>
            </w:r>
            <w:r w:rsidR="0056539E" w:rsidRPr="00E23B8D">
              <w:rPr>
                <w:rFonts w:cs="Arial"/>
                <w:color w:val="000000"/>
                <w:szCs w:val="20"/>
                <w:lang w:val="en-US"/>
              </w:rPr>
              <w:t xml:space="preserve"> Gwydir</w:t>
            </w:r>
          </w:p>
        </w:tc>
        <w:tc>
          <w:tcPr>
            <w:tcW w:w="2041" w:type="pct"/>
            <w:gridSpan w:val="15"/>
            <w:shd w:val="clear" w:color="auto" w:fill="D9D9D9"/>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Gingham</w:t>
            </w:r>
          </w:p>
        </w:tc>
        <w:tc>
          <w:tcPr>
            <w:tcW w:w="548" w:type="pct"/>
            <w:gridSpan w:val="5"/>
            <w:shd w:val="clear" w:color="auto" w:fill="D9D9D9"/>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Mallowa</w:t>
            </w:r>
          </w:p>
        </w:tc>
        <w:tc>
          <w:tcPr>
            <w:tcW w:w="538" w:type="pct"/>
            <w:gridSpan w:val="4"/>
            <w:tcBorders>
              <w:right w:val="single" w:sz="4" w:space="0" w:color="auto"/>
            </w:tcBorders>
            <w:shd w:val="clear" w:color="auto" w:fill="D9D9D9"/>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Mehi</w:t>
            </w:r>
          </w:p>
        </w:tc>
        <w:tc>
          <w:tcPr>
            <w:tcW w:w="175" w:type="pct"/>
            <w:vMerge/>
            <w:tcBorders>
              <w:top w:val="nil"/>
              <w:left w:val="single" w:sz="4" w:space="0" w:color="auto"/>
              <w:bottom w:val="nil"/>
            </w:tcBorders>
            <w:shd w:val="clear" w:color="auto" w:fill="F2F2F2"/>
            <w:vAlign w:val="center"/>
            <w:hideMark/>
          </w:tcPr>
          <w:p w:rsidR="0056539E" w:rsidRPr="00E23B8D" w:rsidRDefault="0056539E" w:rsidP="00E23B8D">
            <w:pPr>
              <w:spacing w:before="60" w:after="60" w:line="240" w:lineRule="exact"/>
              <w:jc w:val="left"/>
              <w:rPr>
                <w:rFonts w:cs="Arial"/>
                <w:color w:val="000000"/>
                <w:szCs w:val="20"/>
                <w:lang w:val="en-US"/>
              </w:rPr>
            </w:pPr>
          </w:p>
        </w:tc>
      </w:tr>
      <w:tr w:rsidR="005F23F1" w:rsidRPr="00E23B8D" w:rsidTr="00CC18AA">
        <w:trPr>
          <w:cantSplit/>
          <w:trHeight w:val="2333"/>
          <w:tblHeader/>
        </w:trPr>
        <w:tc>
          <w:tcPr>
            <w:tcW w:w="264" w:type="pct"/>
            <w:shd w:val="clear" w:color="auto" w:fill="F2F2F2"/>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Functional group (guild)</w:t>
            </w:r>
          </w:p>
        </w:tc>
        <w:tc>
          <w:tcPr>
            <w:tcW w:w="558" w:type="pct"/>
            <w:shd w:val="clear" w:color="auto" w:fill="F2F2F2"/>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Common name</w:t>
            </w:r>
          </w:p>
        </w:tc>
        <w:tc>
          <w:tcPr>
            <w:tcW w:w="197" w:type="pct"/>
            <w:shd w:val="clear" w:color="auto" w:fill="F2F2F2"/>
            <w:textDirection w:val="btLr"/>
            <w:vAlign w:val="center"/>
            <w:hideMark/>
          </w:tcPr>
          <w:p w:rsidR="0056539E" w:rsidRPr="00E23B8D" w:rsidRDefault="00E23B8D" w:rsidP="00E23B8D">
            <w:pPr>
              <w:spacing w:before="60" w:after="60" w:line="240" w:lineRule="exact"/>
              <w:jc w:val="left"/>
              <w:rPr>
                <w:rFonts w:cs="Arial"/>
                <w:color w:val="000000"/>
                <w:szCs w:val="20"/>
                <w:lang w:val="en-US"/>
              </w:rPr>
            </w:pPr>
            <w:r>
              <w:rPr>
                <w:rFonts w:cs="Arial"/>
                <w:color w:val="000000"/>
                <w:szCs w:val="20"/>
                <w:lang w:val="en-US"/>
              </w:rPr>
              <w:t xml:space="preserve">  </w:t>
            </w:r>
            <w:r w:rsidR="0056539E" w:rsidRPr="00E23B8D">
              <w:rPr>
                <w:rFonts w:cs="Arial"/>
                <w:color w:val="000000"/>
                <w:szCs w:val="20"/>
                <w:lang w:val="en-US"/>
              </w:rPr>
              <w:t>Allambie Bridge</w:t>
            </w:r>
          </w:p>
        </w:tc>
        <w:tc>
          <w:tcPr>
            <w:tcW w:w="135" w:type="pct"/>
            <w:shd w:val="clear" w:color="auto" w:fill="F2F2F2"/>
            <w:textDirection w:val="btLr"/>
            <w:vAlign w:val="center"/>
            <w:hideMark/>
          </w:tcPr>
          <w:p w:rsidR="0056539E" w:rsidRPr="00E23B8D" w:rsidRDefault="00E23B8D" w:rsidP="00E23B8D">
            <w:pPr>
              <w:spacing w:before="60" w:after="60" w:line="240" w:lineRule="exact"/>
              <w:jc w:val="left"/>
              <w:rPr>
                <w:rFonts w:cs="Arial"/>
                <w:color w:val="000000"/>
                <w:szCs w:val="20"/>
                <w:lang w:val="en-US"/>
              </w:rPr>
            </w:pPr>
            <w:r>
              <w:rPr>
                <w:rFonts w:cs="Arial"/>
                <w:color w:val="000000"/>
                <w:szCs w:val="20"/>
                <w:lang w:val="en-US"/>
              </w:rPr>
              <w:t xml:space="preserve">  </w:t>
            </w:r>
            <w:r w:rsidR="0056539E" w:rsidRPr="00E23B8D">
              <w:rPr>
                <w:rFonts w:cs="Arial"/>
                <w:color w:val="000000"/>
                <w:szCs w:val="20"/>
                <w:lang w:val="en-US"/>
              </w:rPr>
              <w:t>Belmont</w:t>
            </w:r>
          </w:p>
        </w:tc>
        <w:tc>
          <w:tcPr>
            <w:tcW w:w="135" w:type="pct"/>
            <w:shd w:val="clear" w:color="auto" w:fill="F2F2F2"/>
            <w:textDirection w:val="btLr"/>
            <w:vAlign w:val="center"/>
            <w:hideMark/>
          </w:tcPr>
          <w:p w:rsidR="0056539E" w:rsidRPr="00E23B8D" w:rsidRDefault="00E23B8D" w:rsidP="00E23B8D">
            <w:pPr>
              <w:spacing w:before="60" w:after="60" w:line="240" w:lineRule="exact"/>
              <w:jc w:val="left"/>
              <w:rPr>
                <w:rFonts w:cs="Arial"/>
                <w:color w:val="000000"/>
                <w:szCs w:val="20"/>
                <w:lang w:val="en-US"/>
              </w:rPr>
            </w:pPr>
            <w:r>
              <w:rPr>
                <w:rFonts w:cs="Arial"/>
                <w:color w:val="000000"/>
                <w:szCs w:val="20"/>
                <w:lang w:val="en-US"/>
              </w:rPr>
              <w:t xml:space="preserve">  </w:t>
            </w:r>
            <w:r w:rsidR="0056539E" w:rsidRPr="00E23B8D">
              <w:rPr>
                <w:rFonts w:cs="Arial"/>
                <w:color w:val="000000"/>
                <w:szCs w:val="20"/>
                <w:lang w:val="en-US"/>
              </w:rPr>
              <w:t>Brageen Crossing</w:t>
            </w:r>
          </w:p>
        </w:tc>
        <w:tc>
          <w:tcPr>
            <w:tcW w:w="135" w:type="pct"/>
            <w:shd w:val="clear" w:color="auto" w:fill="F2F2F2"/>
            <w:textDirection w:val="btLr"/>
            <w:vAlign w:val="center"/>
            <w:hideMark/>
          </w:tcPr>
          <w:p w:rsidR="0056539E" w:rsidRPr="00E23B8D" w:rsidRDefault="00E23B8D" w:rsidP="00E23B8D">
            <w:pPr>
              <w:spacing w:before="60" w:after="60" w:line="240" w:lineRule="exact"/>
              <w:jc w:val="left"/>
              <w:rPr>
                <w:rFonts w:cs="Arial"/>
                <w:color w:val="000000"/>
                <w:szCs w:val="20"/>
                <w:lang w:val="en-US"/>
              </w:rPr>
            </w:pPr>
            <w:r>
              <w:rPr>
                <w:rFonts w:cs="Arial"/>
                <w:color w:val="000000"/>
                <w:szCs w:val="20"/>
                <w:lang w:val="en-US"/>
              </w:rPr>
              <w:t xml:space="preserve">  </w:t>
            </w:r>
            <w:r w:rsidR="0056539E" w:rsidRPr="00E23B8D">
              <w:rPr>
                <w:rFonts w:cs="Arial"/>
                <w:color w:val="000000"/>
                <w:szCs w:val="20"/>
                <w:lang w:val="en-US"/>
              </w:rPr>
              <w:t>Gin Holes</w:t>
            </w:r>
          </w:p>
        </w:tc>
        <w:tc>
          <w:tcPr>
            <w:tcW w:w="135" w:type="pct"/>
            <w:shd w:val="clear" w:color="auto" w:fill="F2F2F2"/>
            <w:textDirection w:val="btLr"/>
            <w:vAlign w:val="center"/>
            <w:hideMark/>
          </w:tcPr>
          <w:p w:rsidR="0056539E" w:rsidRPr="00E23B8D" w:rsidRDefault="00E23B8D" w:rsidP="00E23B8D">
            <w:pPr>
              <w:spacing w:before="60" w:after="60" w:line="240" w:lineRule="exact"/>
              <w:jc w:val="left"/>
              <w:rPr>
                <w:rFonts w:cs="Arial"/>
                <w:color w:val="000000"/>
                <w:szCs w:val="20"/>
                <w:lang w:val="en-US"/>
              </w:rPr>
            </w:pPr>
            <w:r>
              <w:rPr>
                <w:rFonts w:cs="Arial"/>
                <w:color w:val="000000"/>
                <w:szCs w:val="20"/>
                <w:lang w:val="en-US"/>
              </w:rPr>
              <w:t xml:space="preserve">  </w:t>
            </w:r>
            <w:r w:rsidR="0056539E" w:rsidRPr="00E23B8D">
              <w:rPr>
                <w:rFonts w:cs="Arial"/>
                <w:color w:val="000000"/>
                <w:szCs w:val="20"/>
                <w:lang w:val="en-US"/>
              </w:rPr>
              <w:t>Old Dromana Dam</w:t>
            </w:r>
          </w:p>
        </w:tc>
        <w:tc>
          <w:tcPr>
            <w:tcW w:w="137" w:type="pct"/>
            <w:shd w:val="clear" w:color="auto" w:fill="F2F2F2"/>
            <w:textDirection w:val="btLr"/>
            <w:vAlign w:val="center"/>
            <w:hideMark/>
          </w:tcPr>
          <w:p w:rsidR="0056539E" w:rsidRPr="00E23B8D" w:rsidRDefault="00E23B8D" w:rsidP="00E23B8D">
            <w:pPr>
              <w:spacing w:before="60" w:after="60" w:line="240" w:lineRule="exact"/>
              <w:jc w:val="left"/>
              <w:rPr>
                <w:rFonts w:cs="Arial"/>
                <w:color w:val="000000"/>
                <w:szCs w:val="20"/>
                <w:lang w:val="en-US"/>
              </w:rPr>
            </w:pPr>
            <w:r>
              <w:rPr>
                <w:rFonts w:cs="Arial"/>
                <w:color w:val="000000"/>
                <w:szCs w:val="20"/>
                <w:lang w:val="en-US"/>
              </w:rPr>
              <w:t xml:space="preserve">  </w:t>
            </w:r>
            <w:r w:rsidR="0056539E" w:rsidRPr="00E23B8D">
              <w:rPr>
                <w:rFonts w:cs="Arial"/>
                <w:color w:val="000000"/>
                <w:szCs w:val="20"/>
                <w:lang w:val="en-US"/>
              </w:rPr>
              <w:t>Old Dromana Transect</w:t>
            </w:r>
          </w:p>
        </w:tc>
        <w:tc>
          <w:tcPr>
            <w:tcW w:w="137" w:type="pct"/>
            <w:shd w:val="clear" w:color="auto" w:fill="F2F2F2"/>
            <w:textDirection w:val="btLr"/>
            <w:vAlign w:val="center"/>
            <w:hideMark/>
          </w:tcPr>
          <w:p w:rsidR="0056539E" w:rsidRPr="00E23B8D" w:rsidRDefault="00E23B8D" w:rsidP="00E23B8D">
            <w:pPr>
              <w:spacing w:before="60" w:after="60" w:line="240" w:lineRule="exact"/>
              <w:jc w:val="left"/>
              <w:rPr>
                <w:rFonts w:cs="Arial"/>
                <w:color w:val="000000"/>
                <w:szCs w:val="20"/>
                <w:lang w:val="en-US"/>
              </w:rPr>
            </w:pPr>
            <w:r>
              <w:rPr>
                <w:rFonts w:cs="Arial"/>
                <w:color w:val="000000"/>
                <w:szCs w:val="20"/>
                <w:lang w:val="en-US"/>
              </w:rPr>
              <w:t xml:space="preserve">  </w:t>
            </w:r>
            <w:r w:rsidR="0056539E" w:rsidRPr="00E23B8D">
              <w:rPr>
                <w:rFonts w:cs="Arial"/>
                <w:color w:val="000000"/>
                <w:szCs w:val="20"/>
                <w:lang w:val="en-US"/>
              </w:rPr>
              <w:t>Wandoona Waterhole</w:t>
            </w:r>
          </w:p>
        </w:tc>
        <w:tc>
          <w:tcPr>
            <w:tcW w:w="135" w:type="pct"/>
            <w:shd w:val="clear" w:color="auto" w:fill="F2F2F2"/>
            <w:textDirection w:val="btLr"/>
            <w:vAlign w:val="center"/>
            <w:hideMark/>
          </w:tcPr>
          <w:p w:rsidR="0056539E" w:rsidRPr="00E23B8D" w:rsidRDefault="00E23B8D" w:rsidP="00E23B8D">
            <w:pPr>
              <w:spacing w:before="60" w:after="60" w:line="240" w:lineRule="exact"/>
              <w:jc w:val="left"/>
              <w:rPr>
                <w:rFonts w:cs="Arial"/>
                <w:color w:val="000000"/>
                <w:szCs w:val="20"/>
                <w:lang w:val="en-US"/>
              </w:rPr>
            </w:pPr>
            <w:r>
              <w:rPr>
                <w:rFonts w:cs="Arial"/>
                <w:color w:val="000000"/>
                <w:szCs w:val="20"/>
                <w:lang w:val="en-US"/>
              </w:rPr>
              <w:t xml:space="preserve">  </w:t>
            </w:r>
            <w:r w:rsidR="0056539E" w:rsidRPr="00E23B8D">
              <w:rPr>
                <w:rFonts w:cs="Arial"/>
                <w:color w:val="000000"/>
                <w:szCs w:val="20"/>
                <w:lang w:val="en-US"/>
              </w:rPr>
              <w:t>Baroona Waterhole</w:t>
            </w:r>
          </w:p>
        </w:tc>
        <w:tc>
          <w:tcPr>
            <w:tcW w:w="137" w:type="pct"/>
            <w:shd w:val="clear" w:color="auto" w:fill="F2F2F2"/>
            <w:textDirection w:val="btLr"/>
            <w:vAlign w:val="center"/>
            <w:hideMark/>
          </w:tcPr>
          <w:p w:rsidR="0056539E" w:rsidRPr="00E23B8D" w:rsidRDefault="00E23B8D" w:rsidP="00E23B8D">
            <w:pPr>
              <w:spacing w:before="60" w:after="60" w:line="240" w:lineRule="exact"/>
              <w:jc w:val="left"/>
              <w:rPr>
                <w:rFonts w:cs="Arial"/>
                <w:color w:val="000000"/>
                <w:szCs w:val="20"/>
                <w:lang w:val="en-US"/>
              </w:rPr>
            </w:pPr>
            <w:r>
              <w:rPr>
                <w:rFonts w:cs="Arial"/>
                <w:color w:val="000000"/>
                <w:szCs w:val="20"/>
                <w:lang w:val="en-US"/>
              </w:rPr>
              <w:t xml:space="preserve">  </w:t>
            </w:r>
            <w:r w:rsidR="0056539E" w:rsidRPr="00E23B8D">
              <w:rPr>
                <w:rFonts w:cs="Arial"/>
                <w:color w:val="000000"/>
                <w:szCs w:val="20"/>
                <w:lang w:val="en-US"/>
              </w:rPr>
              <w:t>Boyanga Waterhole</w:t>
            </w:r>
          </w:p>
        </w:tc>
        <w:tc>
          <w:tcPr>
            <w:tcW w:w="137" w:type="pct"/>
            <w:shd w:val="clear" w:color="auto" w:fill="F2F2F2"/>
            <w:textDirection w:val="btLr"/>
            <w:vAlign w:val="center"/>
            <w:hideMark/>
          </w:tcPr>
          <w:p w:rsidR="0056539E" w:rsidRPr="00E23B8D" w:rsidRDefault="00E23B8D" w:rsidP="00E23B8D">
            <w:pPr>
              <w:spacing w:before="60" w:after="60" w:line="240" w:lineRule="exact"/>
              <w:jc w:val="left"/>
              <w:rPr>
                <w:rFonts w:cs="Arial"/>
                <w:color w:val="000000"/>
                <w:szCs w:val="20"/>
                <w:lang w:val="en-US"/>
              </w:rPr>
            </w:pPr>
            <w:r>
              <w:rPr>
                <w:rFonts w:cs="Arial"/>
                <w:color w:val="000000"/>
                <w:szCs w:val="20"/>
                <w:lang w:val="en-US"/>
              </w:rPr>
              <w:t xml:space="preserve">  </w:t>
            </w:r>
            <w:r w:rsidR="0056539E" w:rsidRPr="00E23B8D">
              <w:rPr>
                <w:rFonts w:cs="Arial"/>
                <w:color w:val="000000"/>
                <w:szCs w:val="20"/>
                <w:lang w:val="en-US"/>
              </w:rPr>
              <w:t>Bunnor Bird Hide</w:t>
            </w:r>
          </w:p>
        </w:tc>
        <w:tc>
          <w:tcPr>
            <w:tcW w:w="135" w:type="pct"/>
            <w:shd w:val="clear" w:color="auto" w:fill="F2F2F2"/>
            <w:textDirection w:val="btLr"/>
            <w:vAlign w:val="center"/>
            <w:hideMark/>
          </w:tcPr>
          <w:p w:rsidR="0056539E" w:rsidRPr="00E23B8D" w:rsidRDefault="00E23B8D" w:rsidP="00E23B8D">
            <w:pPr>
              <w:spacing w:before="60" w:after="60" w:line="240" w:lineRule="exact"/>
              <w:jc w:val="left"/>
              <w:rPr>
                <w:rFonts w:cs="Arial"/>
                <w:color w:val="000000"/>
                <w:szCs w:val="20"/>
                <w:lang w:val="en-US"/>
              </w:rPr>
            </w:pPr>
            <w:r>
              <w:rPr>
                <w:rFonts w:cs="Arial"/>
                <w:color w:val="000000"/>
                <w:szCs w:val="20"/>
                <w:lang w:val="en-US"/>
              </w:rPr>
              <w:t xml:space="preserve">  </w:t>
            </w:r>
            <w:r w:rsidR="0056539E" w:rsidRPr="00E23B8D">
              <w:rPr>
                <w:rFonts w:cs="Arial"/>
                <w:color w:val="000000"/>
                <w:szCs w:val="20"/>
                <w:lang w:val="en-US"/>
              </w:rPr>
              <w:t>Three Corners Wetland</w:t>
            </w:r>
          </w:p>
        </w:tc>
        <w:tc>
          <w:tcPr>
            <w:tcW w:w="137" w:type="pct"/>
            <w:shd w:val="clear" w:color="auto" w:fill="F2F2F2"/>
            <w:textDirection w:val="btLr"/>
            <w:vAlign w:val="center"/>
            <w:hideMark/>
          </w:tcPr>
          <w:p w:rsidR="0056539E" w:rsidRPr="00E23B8D" w:rsidRDefault="00E23B8D" w:rsidP="00E23B8D">
            <w:pPr>
              <w:spacing w:before="60" w:after="60" w:line="240" w:lineRule="exact"/>
              <w:jc w:val="left"/>
              <w:rPr>
                <w:rFonts w:cs="Arial"/>
                <w:color w:val="000000"/>
                <w:szCs w:val="20"/>
                <w:lang w:val="en-US"/>
              </w:rPr>
            </w:pPr>
            <w:r>
              <w:rPr>
                <w:rFonts w:cs="Arial"/>
                <w:color w:val="000000"/>
                <w:szCs w:val="20"/>
                <w:lang w:val="en-US"/>
              </w:rPr>
              <w:t xml:space="preserve">  </w:t>
            </w:r>
            <w:r w:rsidR="0056539E" w:rsidRPr="00E23B8D">
              <w:rPr>
                <w:rFonts w:cs="Arial"/>
                <w:color w:val="000000"/>
                <w:szCs w:val="20"/>
                <w:lang w:val="en-US"/>
              </w:rPr>
              <w:t>Goddard's Lease</w:t>
            </w:r>
          </w:p>
        </w:tc>
        <w:tc>
          <w:tcPr>
            <w:tcW w:w="135" w:type="pct"/>
            <w:shd w:val="clear" w:color="auto" w:fill="F2F2F2"/>
            <w:textDirection w:val="btLr"/>
            <w:vAlign w:val="center"/>
            <w:hideMark/>
          </w:tcPr>
          <w:p w:rsidR="0056539E" w:rsidRPr="00E23B8D" w:rsidRDefault="00E23B8D" w:rsidP="00E23B8D">
            <w:pPr>
              <w:spacing w:before="60" w:after="60" w:line="240" w:lineRule="exact"/>
              <w:jc w:val="left"/>
              <w:rPr>
                <w:rFonts w:cs="Arial"/>
                <w:color w:val="000000"/>
                <w:szCs w:val="20"/>
                <w:lang w:val="en-US"/>
              </w:rPr>
            </w:pPr>
            <w:r>
              <w:rPr>
                <w:rFonts w:cs="Arial"/>
                <w:color w:val="000000"/>
                <w:szCs w:val="20"/>
                <w:lang w:val="en-US"/>
              </w:rPr>
              <w:t xml:space="preserve">  </w:t>
            </w:r>
            <w:r w:rsidR="0056539E" w:rsidRPr="00E23B8D">
              <w:rPr>
                <w:rFonts w:cs="Arial"/>
                <w:color w:val="000000"/>
                <w:szCs w:val="20"/>
                <w:lang w:val="en-US"/>
              </w:rPr>
              <w:t>Gingham Bridge</w:t>
            </w:r>
          </w:p>
        </w:tc>
        <w:tc>
          <w:tcPr>
            <w:tcW w:w="137" w:type="pct"/>
            <w:shd w:val="clear" w:color="auto" w:fill="F2F2F2"/>
            <w:textDirection w:val="btLr"/>
            <w:vAlign w:val="center"/>
            <w:hideMark/>
          </w:tcPr>
          <w:p w:rsidR="0056539E" w:rsidRPr="00E23B8D" w:rsidRDefault="00E23B8D" w:rsidP="00E23B8D">
            <w:pPr>
              <w:spacing w:before="60" w:after="60" w:line="240" w:lineRule="exact"/>
              <w:jc w:val="left"/>
              <w:rPr>
                <w:rFonts w:cs="Arial"/>
                <w:color w:val="000000"/>
                <w:szCs w:val="20"/>
                <w:lang w:val="en-US"/>
              </w:rPr>
            </w:pPr>
            <w:r>
              <w:rPr>
                <w:rFonts w:cs="Arial"/>
                <w:color w:val="000000"/>
                <w:szCs w:val="20"/>
                <w:lang w:val="en-US"/>
              </w:rPr>
              <w:t xml:space="preserve">  </w:t>
            </w:r>
            <w:r w:rsidR="0056539E" w:rsidRPr="00E23B8D">
              <w:rPr>
                <w:rFonts w:cs="Arial"/>
                <w:color w:val="000000"/>
                <w:szCs w:val="20"/>
                <w:lang w:val="en-US"/>
              </w:rPr>
              <w:t>Gingham Waterhole</w:t>
            </w:r>
          </w:p>
        </w:tc>
        <w:tc>
          <w:tcPr>
            <w:tcW w:w="137" w:type="pct"/>
            <w:shd w:val="clear" w:color="auto" w:fill="F2F2F2"/>
            <w:textDirection w:val="btLr"/>
            <w:vAlign w:val="center"/>
            <w:hideMark/>
          </w:tcPr>
          <w:p w:rsidR="0056539E" w:rsidRPr="00E23B8D" w:rsidRDefault="00E23B8D" w:rsidP="00E23B8D">
            <w:pPr>
              <w:spacing w:before="60" w:after="60" w:line="240" w:lineRule="exact"/>
              <w:jc w:val="left"/>
              <w:rPr>
                <w:rFonts w:cs="Arial"/>
                <w:color w:val="000000"/>
                <w:szCs w:val="20"/>
                <w:lang w:val="en-US"/>
              </w:rPr>
            </w:pPr>
            <w:r>
              <w:rPr>
                <w:rFonts w:cs="Arial"/>
                <w:color w:val="000000"/>
                <w:szCs w:val="20"/>
                <w:lang w:val="en-US"/>
              </w:rPr>
              <w:t xml:space="preserve">  </w:t>
            </w:r>
            <w:r w:rsidR="0056539E" w:rsidRPr="00E23B8D">
              <w:rPr>
                <w:rFonts w:cs="Arial"/>
                <w:color w:val="000000"/>
                <w:szCs w:val="20"/>
                <w:lang w:val="en-US"/>
              </w:rPr>
              <w:t>Jackson Paddock</w:t>
            </w:r>
          </w:p>
        </w:tc>
        <w:tc>
          <w:tcPr>
            <w:tcW w:w="137" w:type="pct"/>
            <w:shd w:val="clear" w:color="auto" w:fill="F2F2F2"/>
            <w:textDirection w:val="btLr"/>
            <w:vAlign w:val="center"/>
            <w:hideMark/>
          </w:tcPr>
          <w:p w:rsidR="0056539E" w:rsidRPr="00E23B8D" w:rsidRDefault="00E23B8D" w:rsidP="00E23B8D">
            <w:pPr>
              <w:spacing w:before="60" w:after="60" w:line="240" w:lineRule="exact"/>
              <w:jc w:val="left"/>
              <w:rPr>
                <w:rFonts w:cs="Arial"/>
                <w:color w:val="000000"/>
                <w:szCs w:val="20"/>
                <w:lang w:val="en-US"/>
              </w:rPr>
            </w:pPr>
            <w:r>
              <w:rPr>
                <w:rFonts w:cs="Arial"/>
                <w:color w:val="000000"/>
                <w:szCs w:val="20"/>
                <w:lang w:val="en-US"/>
              </w:rPr>
              <w:t xml:space="preserve">  </w:t>
            </w:r>
            <w:r w:rsidR="0056539E" w:rsidRPr="00E23B8D">
              <w:rPr>
                <w:rFonts w:cs="Arial"/>
                <w:color w:val="000000"/>
                <w:szCs w:val="20"/>
                <w:lang w:val="en-US"/>
              </w:rPr>
              <w:t>Lynworth</w:t>
            </w:r>
          </w:p>
        </w:tc>
        <w:tc>
          <w:tcPr>
            <w:tcW w:w="137" w:type="pct"/>
            <w:shd w:val="clear" w:color="auto" w:fill="F2F2F2"/>
            <w:textDirection w:val="btLr"/>
            <w:vAlign w:val="center"/>
            <w:hideMark/>
          </w:tcPr>
          <w:p w:rsidR="0056539E" w:rsidRPr="00E23B8D" w:rsidRDefault="00E23B8D" w:rsidP="00E23B8D">
            <w:pPr>
              <w:spacing w:before="60" w:after="60" w:line="240" w:lineRule="exact"/>
              <w:jc w:val="left"/>
              <w:rPr>
                <w:rFonts w:cs="Arial"/>
                <w:color w:val="000000"/>
                <w:szCs w:val="20"/>
                <w:lang w:val="en-US"/>
              </w:rPr>
            </w:pPr>
            <w:r>
              <w:rPr>
                <w:rFonts w:cs="Arial"/>
                <w:color w:val="000000"/>
                <w:szCs w:val="20"/>
                <w:lang w:val="en-US"/>
              </w:rPr>
              <w:t xml:space="preserve">  </w:t>
            </w:r>
            <w:r w:rsidR="0056539E" w:rsidRPr="00E23B8D">
              <w:rPr>
                <w:rFonts w:cs="Arial"/>
                <w:color w:val="000000"/>
                <w:szCs w:val="20"/>
                <w:lang w:val="en-US"/>
              </w:rPr>
              <w:t>Racecourse Lagoon</w:t>
            </w:r>
          </w:p>
        </w:tc>
        <w:tc>
          <w:tcPr>
            <w:tcW w:w="135" w:type="pct"/>
            <w:shd w:val="clear" w:color="auto" w:fill="F2F2F2"/>
            <w:textDirection w:val="btLr"/>
            <w:vAlign w:val="center"/>
            <w:hideMark/>
          </w:tcPr>
          <w:p w:rsidR="0056539E" w:rsidRPr="00E23B8D" w:rsidRDefault="00E23B8D" w:rsidP="00E23B8D">
            <w:pPr>
              <w:spacing w:before="60" w:after="60" w:line="240" w:lineRule="exact"/>
              <w:jc w:val="left"/>
              <w:rPr>
                <w:rFonts w:cs="Arial"/>
                <w:color w:val="000000"/>
                <w:szCs w:val="20"/>
                <w:lang w:val="en-US"/>
              </w:rPr>
            </w:pPr>
            <w:r>
              <w:rPr>
                <w:rFonts w:cs="Arial"/>
                <w:color w:val="000000"/>
                <w:szCs w:val="20"/>
                <w:lang w:val="en-US"/>
              </w:rPr>
              <w:t xml:space="preserve">  </w:t>
            </w:r>
            <w:r w:rsidR="0056539E" w:rsidRPr="00E23B8D">
              <w:rPr>
                <w:rFonts w:cs="Arial"/>
                <w:color w:val="000000"/>
                <w:szCs w:val="20"/>
                <w:lang w:val="en-US"/>
              </w:rPr>
              <w:t>Talmoi Waterhole</w:t>
            </w:r>
          </w:p>
        </w:tc>
        <w:tc>
          <w:tcPr>
            <w:tcW w:w="135" w:type="pct"/>
            <w:shd w:val="clear" w:color="auto" w:fill="F2F2F2"/>
            <w:textDirection w:val="btLr"/>
            <w:vAlign w:val="center"/>
            <w:hideMark/>
          </w:tcPr>
          <w:p w:rsidR="0056539E" w:rsidRPr="00E23B8D" w:rsidRDefault="00E23B8D" w:rsidP="00E23B8D">
            <w:pPr>
              <w:spacing w:before="60" w:after="60" w:line="240" w:lineRule="exact"/>
              <w:jc w:val="left"/>
              <w:rPr>
                <w:rFonts w:cs="Arial"/>
                <w:color w:val="000000"/>
                <w:szCs w:val="20"/>
                <w:lang w:val="en-US"/>
              </w:rPr>
            </w:pPr>
            <w:r>
              <w:rPr>
                <w:rFonts w:cs="Arial"/>
                <w:color w:val="000000"/>
                <w:szCs w:val="20"/>
                <w:lang w:val="en-US"/>
              </w:rPr>
              <w:t xml:space="preserve">  </w:t>
            </w:r>
            <w:r w:rsidR="0056539E" w:rsidRPr="00E23B8D">
              <w:rPr>
                <w:rFonts w:cs="Arial"/>
                <w:color w:val="000000"/>
                <w:szCs w:val="20"/>
                <w:lang w:val="en-US"/>
              </w:rPr>
              <w:t>Tillaloo Waterhole</w:t>
            </w:r>
          </w:p>
        </w:tc>
        <w:tc>
          <w:tcPr>
            <w:tcW w:w="135" w:type="pct"/>
            <w:shd w:val="clear" w:color="auto" w:fill="F2F2F2"/>
            <w:textDirection w:val="btLr"/>
            <w:vAlign w:val="center"/>
            <w:hideMark/>
          </w:tcPr>
          <w:p w:rsidR="0056539E" w:rsidRPr="00E23B8D" w:rsidRDefault="00E23B8D" w:rsidP="00E23B8D">
            <w:pPr>
              <w:spacing w:before="60" w:after="60" w:line="240" w:lineRule="exact"/>
              <w:jc w:val="left"/>
              <w:rPr>
                <w:rFonts w:cs="Arial"/>
                <w:color w:val="000000"/>
                <w:szCs w:val="20"/>
                <w:lang w:val="en-US"/>
              </w:rPr>
            </w:pPr>
            <w:r>
              <w:rPr>
                <w:rFonts w:cs="Arial"/>
                <w:color w:val="000000"/>
                <w:szCs w:val="20"/>
                <w:lang w:val="en-US"/>
              </w:rPr>
              <w:t xml:space="preserve">  </w:t>
            </w:r>
            <w:r w:rsidR="0056539E" w:rsidRPr="00E23B8D">
              <w:rPr>
                <w:rFonts w:cs="Arial"/>
                <w:color w:val="000000"/>
                <w:szCs w:val="20"/>
                <w:lang w:val="en-US"/>
              </w:rPr>
              <w:t>Westholme North West</w:t>
            </w:r>
          </w:p>
        </w:tc>
        <w:tc>
          <w:tcPr>
            <w:tcW w:w="137" w:type="pct"/>
            <w:shd w:val="clear" w:color="auto" w:fill="F2F2F2"/>
            <w:textDirection w:val="btLr"/>
            <w:vAlign w:val="center"/>
            <w:hideMark/>
          </w:tcPr>
          <w:p w:rsidR="0056539E" w:rsidRPr="00E23B8D" w:rsidRDefault="00E23B8D" w:rsidP="00E23B8D">
            <w:pPr>
              <w:spacing w:before="60" w:after="60" w:line="240" w:lineRule="exact"/>
              <w:jc w:val="left"/>
              <w:rPr>
                <w:rFonts w:cs="Arial"/>
                <w:color w:val="000000"/>
                <w:szCs w:val="20"/>
                <w:lang w:val="en-US"/>
              </w:rPr>
            </w:pPr>
            <w:r>
              <w:rPr>
                <w:rFonts w:cs="Arial"/>
                <w:color w:val="000000"/>
                <w:szCs w:val="20"/>
                <w:lang w:val="en-US"/>
              </w:rPr>
              <w:t xml:space="preserve">  </w:t>
            </w:r>
            <w:r w:rsidR="0056539E" w:rsidRPr="00E23B8D">
              <w:rPr>
                <w:rFonts w:cs="Arial"/>
                <w:color w:val="000000"/>
                <w:szCs w:val="20"/>
                <w:lang w:val="en-US"/>
              </w:rPr>
              <w:t>Westholme SE</w:t>
            </w:r>
          </w:p>
        </w:tc>
        <w:tc>
          <w:tcPr>
            <w:tcW w:w="137" w:type="pct"/>
            <w:shd w:val="clear" w:color="auto" w:fill="F2F2F2"/>
            <w:textDirection w:val="btLr"/>
            <w:vAlign w:val="center"/>
            <w:hideMark/>
          </w:tcPr>
          <w:p w:rsidR="0056539E" w:rsidRPr="00E23B8D" w:rsidRDefault="00E23B8D" w:rsidP="00E23B8D">
            <w:pPr>
              <w:spacing w:before="60" w:after="60" w:line="240" w:lineRule="exact"/>
              <w:jc w:val="left"/>
              <w:rPr>
                <w:rFonts w:cs="Arial"/>
                <w:color w:val="000000"/>
                <w:szCs w:val="20"/>
                <w:lang w:val="en-US"/>
              </w:rPr>
            </w:pPr>
            <w:r>
              <w:rPr>
                <w:rFonts w:cs="Arial"/>
                <w:color w:val="000000"/>
                <w:szCs w:val="20"/>
                <w:lang w:val="en-US"/>
              </w:rPr>
              <w:t xml:space="preserve">  </w:t>
            </w:r>
            <w:r w:rsidR="0056539E" w:rsidRPr="00E23B8D">
              <w:rPr>
                <w:rFonts w:cs="Arial"/>
                <w:color w:val="000000"/>
                <w:szCs w:val="20"/>
                <w:lang w:val="en-US"/>
              </w:rPr>
              <w:t>Coombah</w:t>
            </w:r>
          </w:p>
        </w:tc>
        <w:tc>
          <w:tcPr>
            <w:tcW w:w="135" w:type="pct"/>
            <w:shd w:val="clear" w:color="auto" w:fill="F2F2F2"/>
            <w:textDirection w:val="btLr"/>
            <w:vAlign w:val="center"/>
            <w:hideMark/>
          </w:tcPr>
          <w:p w:rsidR="0056539E" w:rsidRPr="00E23B8D" w:rsidRDefault="00E23B8D" w:rsidP="00E23B8D">
            <w:pPr>
              <w:spacing w:before="60" w:after="60" w:line="240" w:lineRule="exact"/>
              <w:jc w:val="left"/>
              <w:rPr>
                <w:rFonts w:cs="Arial"/>
                <w:color w:val="000000"/>
                <w:szCs w:val="20"/>
                <w:lang w:val="en-US"/>
              </w:rPr>
            </w:pPr>
            <w:r>
              <w:rPr>
                <w:rFonts w:cs="Arial"/>
                <w:color w:val="000000"/>
                <w:szCs w:val="20"/>
                <w:lang w:val="en-US"/>
              </w:rPr>
              <w:t xml:space="preserve">  </w:t>
            </w:r>
            <w:r w:rsidR="0056539E" w:rsidRPr="00E23B8D">
              <w:rPr>
                <w:rFonts w:cs="Arial"/>
                <w:color w:val="000000"/>
                <w:szCs w:val="20"/>
                <w:lang w:val="en-US"/>
              </w:rPr>
              <w:t>Bungunya</w:t>
            </w:r>
          </w:p>
        </w:tc>
        <w:tc>
          <w:tcPr>
            <w:tcW w:w="135" w:type="pct"/>
            <w:shd w:val="clear" w:color="auto" w:fill="F2F2F2"/>
            <w:textDirection w:val="btLr"/>
            <w:vAlign w:val="center"/>
            <w:hideMark/>
          </w:tcPr>
          <w:p w:rsidR="0056539E" w:rsidRPr="00E23B8D" w:rsidRDefault="00E23B8D" w:rsidP="00E23B8D">
            <w:pPr>
              <w:spacing w:before="60" w:after="60" w:line="240" w:lineRule="exact"/>
              <w:jc w:val="left"/>
              <w:rPr>
                <w:rFonts w:cs="Arial"/>
                <w:color w:val="000000"/>
                <w:szCs w:val="20"/>
                <w:lang w:val="en-US"/>
              </w:rPr>
            </w:pPr>
            <w:r>
              <w:rPr>
                <w:rFonts w:cs="Arial"/>
                <w:color w:val="000000"/>
                <w:szCs w:val="20"/>
                <w:lang w:val="en-US"/>
              </w:rPr>
              <w:t xml:space="preserve">  </w:t>
            </w:r>
            <w:r w:rsidR="0056539E" w:rsidRPr="00E23B8D">
              <w:rPr>
                <w:rFonts w:cs="Arial"/>
                <w:color w:val="000000"/>
                <w:szCs w:val="20"/>
                <w:lang w:val="en-US"/>
              </w:rPr>
              <w:t>Gundare Weir</w:t>
            </w:r>
          </w:p>
        </w:tc>
        <w:tc>
          <w:tcPr>
            <w:tcW w:w="137" w:type="pct"/>
            <w:shd w:val="clear" w:color="auto" w:fill="F2F2F2"/>
            <w:textDirection w:val="btLr"/>
            <w:vAlign w:val="center"/>
            <w:hideMark/>
          </w:tcPr>
          <w:p w:rsidR="0056539E" w:rsidRPr="00E23B8D" w:rsidRDefault="00E23B8D" w:rsidP="00E23B8D">
            <w:pPr>
              <w:spacing w:before="60" w:after="60" w:line="240" w:lineRule="exact"/>
              <w:jc w:val="left"/>
              <w:rPr>
                <w:rFonts w:cs="Arial"/>
                <w:color w:val="000000"/>
                <w:szCs w:val="20"/>
                <w:lang w:val="en-US"/>
              </w:rPr>
            </w:pPr>
            <w:r>
              <w:rPr>
                <w:rFonts w:cs="Arial"/>
                <w:color w:val="000000"/>
                <w:szCs w:val="20"/>
                <w:lang w:val="en-US"/>
              </w:rPr>
              <w:t xml:space="preserve">  </w:t>
            </w:r>
            <w:r w:rsidR="0056539E" w:rsidRPr="00E23B8D">
              <w:rPr>
                <w:rFonts w:cs="Arial"/>
                <w:color w:val="000000"/>
                <w:szCs w:val="20"/>
                <w:lang w:val="en-US"/>
              </w:rPr>
              <w:t>Valetta</w:t>
            </w:r>
          </w:p>
        </w:tc>
        <w:tc>
          <w:tcPr>
            <w:tcW w:w="135" w:type="pct"/>
            <w:gridSpan w:val="2"/>
            <w:shd w:val="clear" w:color="auto" w:fill="F2F2F2"/>
            <w:textDirection w:val="btLr"/>
            <w:vAlign w:val="center"/>
            <w:hideMark/>
          </w:tcPr>
          <w:p w:rsidR="0056539E" w:rsidRPr="00E23B8D" w:rsidRDefault="00E23B8D" w:rsidP="00E23B8D">
            <w:pPr>
              <w:spacing w:before="60" w:after="60" w:line="240" w:lineRule="exact"/>
              <w:jc w:val="left"/>
              <w:rPr>
                <w:rFonts w:cs="Arial"/>
                <w:color w:val="000000"/>
                <w:szCs w:val="20"/>
                <w:lang w:val="en-US"/>
              </w:rPr>
            </w:pPr>
            <w:r>
              <w:rPr>
                <w:rFonts w:cs="Arial"/>
                <w:color w:val="000000"/>
                <w:szCs w:val="20"/>
                <w:lang w:val="en-US"/>
              </w:rPr>
              <w:t xml:space="preserve">  </w:t>
            </w:r>
            <w:r w:rsidR="0056539E" w:rsidRPr="00E23B8D">
              <w:rPr>
                <w:rFonts w:cs="Arial"/>
                <w:color w:val="000000"/>
                <w:szCs w:val="20"/>
                <w:lang w:val="en-US"/>
              </w:rPr>
              <w:t>Derra Waterhole</w:t>
            </w:r>
          </w:p>
        </w:tc>
        <w:tc>
          <w:tcPr>
            <w:tcW w:w="135" w:type="pct"/>
            <w:shd w:val="clear" w:color="auto" w:fill="F2F2F2"/>
            <w:textDirection w:val="btLr"/>
            <w:vAlign w:val="center"/>
            <w:hideMark/>
          </w:tcPr>
          <w:p w:rsidR="0056539E" w:rsidRPr="00E23B8D" w:rsidRDefault="00E23B8D" w:rsidP="00E23B8D">
            <w:pPr>
              <w:spacing w:before="60" w:after="60" w:line="240" w:lineRule="exact"/>
              <w:jc w:val="left"/>
              <w:rPr>
                <w:rFonts w:cs="Arial"/>
                <w:color w:val="000000"/>
                <w:szCs w:val="20"/>
                <w:lang w:val="en-US"/>
              </w:rPr>
            </w:pPr>
            <w:r>
              <w:rPr>
                <w:rFonts w:cs="Arial"/>
                <w:color w:val="000000"/>
                <w:szCs w:val="20"/>
                <w:lang w:val="en-US"/>
              </w:rPr>
              <w:t xml:space="preserve">  </w:t>
            </w:r>
            <w:r w:rsidR="0056539E" w:rsidRPr="00E23B8D">
              <w:rPr>
                <w:rFonts w:cs="Arial"/>
                <w:color w:val="000000"/>
                <w:szCs w:val="20"/>
                <w:lang w:val="en-US"/>
              </w:rPr>
              <w:t>Combadello Weir</w:t>
            </w:r>
          </w:p>
        </w:tc>
        <w:tc>
          <w:tcPr>
            <w:tcW w:w="135" w:type="pct"/>
            <w:shd w:val="clear" w:color="auto" w:fill="F2F2F2"/>
            <w:textDirection w:val="btLr"/>
            <w:vAlign w:val="center"/>
            <w:hideMark/>
          </w:tcPr>
          <w:p w:rsidR="0056539E" w:rsidRPr="00E23B8D" w:rsidRDefault="00E23B8D" w:rsidP="00E23B8D">
            <w:pPr>
              <w:spacing w:before="60" w:after="60" w:line="240" w:lineRule="exact"/>
              <w:jc w:val="left"/>
              <w:rPr>
                <w:rFonts w:cs="Arial"/>
                <w:color w:val="000000"/>
                <w:szCs w:val="20"/>
                <w:lang w:val="en-US"/>
              </w:rPr>
            </w:pPr>
            <w:r>
              <w:rPr>
                <w:rFonts w:cs="Arial"/>
                <w:color w:val="000000"/>
                <w:szCs w:val="20"/>
                <w:lang w:val="en-US"/>
              </w:rPr>
              <w:t xml:space="preserve">  </w:t>
            </w:r>
            <w:r w:rsidR="0056539E" w:rsidRPr="00E23B8D">
              <w:rPr>
                <w:rFonts w:cs="Arial"/>
                <w:color w:val="000000"/>
                <w:szCs w:val="20"/>
                <w:lang w:val="en-US"/>
              </w:rPr>
              <w:t>Tellegara Bridge</w:t>
            </w:r>
          </w:p>
        </w:tc>
        <w:tc>
          <w:tcPr>
            <w:tcW w:w="137" w:type="pct"/>
            <w:tcBorders>
              <w:right w:val="single" w:sz="4" w:space="0" w:color="auto"/>
            </w:tcBorders>
            <w:shd w:val="clear" w:color="auto" w:fill="F2F2F2"/>
            <w:textDirection w:val="btLr"/>
            <w:vAlign w:val="center"/>
            <w:hideMark/>
          </w:tcPr>
          <w:p w:rsidR="0056539E" w:rsidRPr="00E23B8D" w:rsidRDefault="00E23B8D" w:rsidP="00E23B8D">
            <w:pPr>
              <w:spacing w:before="60" w:after="60" w:line="240" w:lineRule="exact"/>
              <w:jc w:val="left"/>
              <w:rPr>
                <w:rFonts w:cs="Arial"/>
                <w:color w:val="000000"/>
                <w:szCs w:val="20"/>
                <w:lang w:val="en-US"/>
              </w:rPr>
            </w:pPr>
            <w:r>
              <w:rPr>
                <w:rFonts w:cs="Arial"/>
                <w:color w:val="000000"/>
                <w:szCs w:val="20"/>
                <w:lang w:val="en-US"/>
              </w:rPr>
              <w:t xml:space="preserve">  </w:t>
            </w:r>
            <w:r w:rsidR="0056539E" w:rsidRPr="00E23B8D">
              <w:rPr>
                <w:rFonts w:cs="Arial"/>
                <w:color w:val="000000"/>
                <w:szCs w:val="20"/>
                <w:lang w:val="en-US"/>
              </w:rPr>
              <w:t>Whittaker's Lagoon</w:t>
            </w:r>
          </w:p>
        </w:tc>
        <w:tc>
          <w:tcPr>
            <w:tcW w:w="175" w:type="pct"/>
            <w:tcBorders>
              <w:top w:val="nil"/>
              <w:left w:val="single" w:sz="4" w:space="0" w:color="auto"/>
              <w:bottom w:val="single" w:sz="4" w:space="0" w:color="auto"/>
            </w:tcBorders>
            <w:shd w:val="clear" w:color="auto" w:fill="F2F2F2"/>
            <w:textDirection w:val="btLr"/>
            <w:vAlign w:val="center"/>
            <w:hideMark/>
          </w:tcPr>
          <w:p w:rsidR="0056539E" w:rsidRPr="00E23B8D" w:rsidRDefault="0056539E" w:rsidP="00E23B8D">
            <w:pPr>
              <w:spacing w:before="60" w:after="60" w:line="240" w:lineRule="exact"/>
              <w:ind w:left="113" w:right="113"/>
              <w:jc w:val="left"/>
              <w:rPr>
                <w:rFonts w:cs="Arial"/>
                <w:color w:val="000000"/>
                <w:szCs w:val="20"/>
                <w:lang w:val="en-US"/>
              </w:rPr>
            </w:pPr>
            <w:r w:rsidRPr="00E23B8D">
              <w:rPr>
                <w:rFonts w:cs="Arial"/>
                <w:color w:val="000000"/>
                <w:szCs w:val="20"/>
                <w:lang w:val="en-US"/>
              </w:rPr>
              <w:t>% Occurrence</w:t>
            </w:r>
          </w:p>
        </w:tc>
      </w:tr>
      <w:tr w:rsidR="00E23B8D" w:rsidRPr="00E23B8D" w:rsidTr="00E23B8D">
        <w:trPr>
          <w:trHeight w:val="294"/>
        </w:trPr>
        <w:tc>
          <w:tcPr>
            <w:tcW w:w="264" w:type="pct"/>
            <w:vMerge w:val="restart"/>
            <w:shd w:val="clear" w:color="auto" w:fill="auto"/>
            <w:textDirection w:val="btLr"/>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Australian-breeding Charadriiform shorebirds</w:t>
            </w: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Australian pratincole</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75" w:type="pct"/>
            <w:tcBorders>
              <w:top w:val="single" w:sz="4" w:space="0" w:color="auto"/>
            </w:tcBorders>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3.4</w:t>
            </w:r>
          </w:p>
        </w:tc>
      </w:tr>
      <w:tr w:rsidR="00E23B8D" w:rsidRPr="00E23B8D" w:rsidTr="00E23B8D">
        <w:trPr>
          <w:trHeight w:val="202"/>
        </w:trPr>
        <w:tc>
          <w:tcPr>
            <w:tcW w:w="264" w:type="pct"/>
            <w:vMerge/>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black-fronted dotterel*</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6</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20</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4</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10</w:t>
            </w: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24.1</w:t>
            </w:r>
          </w:p>
        </w:tc>
      </w:tr>
      <w:tr w:rsidR="00E23B8D" w:rsidRPr="00E23B8D" w:rsidTr="00E23B8D">
        <w:trPr>
          <w:trHeight w:val="273"/>
        </w:trPr>
        <w:tc>
          <w:tcPr>
            <w:tcW w:w="264" w:type="pct"/>
            <w:vMerge/>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black-winged stilt*</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14</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4</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10</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14</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24.1</w:t>
            </w:r>
          </w:p>
        </w:tc>
      </w:tr>
      <w:tr w:rsidR="00E23B8D" w:rsidRPr="00E23B8D" w:rsidTr="00E23B8D">
        <w:trPr>
          <w:trHeight w:val="273"/>
        </w:trPr>
        <w:tc>
          <w:tcPr>
            <w:tcW w:w="264" w:type="pct"/>
            <w:vMerge/>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masked lapwing*</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4</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6</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6</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34</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4</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6</w:t>
            </w: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34.5</w:t>
            </w:r>
          </w:p>
        </w:tc>
      </w:tr>
      <w:tr w:rsidR="00E23B8D" w:rsidRPr="00E23B8D" w:rsidTr="00E23B8D">
        <w:trPr>
          <w:trHeight w:val="273"/>
        </w:trPr>
        <w:tc>
          <w:tcPr>
            <w:tcW w:w="264" w:type="pct"/>
            <w:vMerge/>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red-kneed dotterel*</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9</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4</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13.8</w:t>
            </w:r>
          </w:p>
        </w:tc>
      </w:tr>
      <w:tr w:rsidR="00E23B8D" w:rsidRPr="00E23B8D" w:rsidTr="00E23B8D">
        <w:trPr>
          <w:trHeight w:val="273"/>
        </w:trPr>
        <w:tc>
          <w:tcPr>
            <w:tcW w:w="264" w:type="pct"/>
            <w:vMerge/>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red-necked avocet</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8</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6</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6.9</w:t>
            </w:r>
          </w:p>
        </w:tc>
      </w:tr>
      <w:tr w:rsidR="00E23B8D" w:rsidRPr="00E23B8D" w:rsidTr="00E23B8D">
        <w:trPr>
          <w:trHeight w:val="313"/>
        </w:trPr>
        <w:tc>
          <w:tcPr>
            <w:tcW w:w="264" w:type="pct"/>
            <w:vMerge w:val="restart"/>
            <w:shd w:val="clear" w:color="auto" w:fill="auto"/>
            <w:textDirection w:val="btLr"/>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 xml:space="preserve">Dabbling and </w:t>
            </w:r>
          </w:p>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filter-feeding ducks</w:t>
            </w: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chestnut teal</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6.9</w:t>
            </w:r>
          </w:p>
        </w:tc>
      </w:tr>
      <w:tr w:rsidR="00E23B8D" w:rsidRPr="00E23B8D" w:rsidTr="00E23B8D">
        <w:trPr>
          <w:trHeight w:val="291"/>
        </w:trPr>
        <w:tc>
          <w:tcPr>
            <w:tcW w:w="264" w:type="pct"/>
            <w:vMerge/>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grey teal*</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5</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24</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4</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7</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9</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90</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22</w:t>
            </w: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4</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46</w:t>
            </w: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58.6</w:t>
            </w:r>
          </w:p>
        </w:tc>
      </w:tr>
      <w:tr w:rsidR="00E23B8D" w:rsidRPr="00E23B8D" w:rsidTr="00E23B8D">
        <w:trPr>
          <w:trHeight w:val="281"/>
        </w:trPr>
        <w:tc>
          <w:tcPr>
            <w:tcW w:w="264" w:type="pct"/>
            <w:vMerge/>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Pacific black duck*</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9</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12</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6</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6</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4</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53</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112</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27</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30</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4</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53</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9</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41</w:t>
            </w: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10</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9</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8</w:t>
            </w: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75.9</w:t>
            </w:r>
          </w:p>
        </w:tc>
      </w:tr>
      <w:tr w:rsidR="00E23B8D" w:rsidRPr="00E23B8D" w:rsidTr="00E23B8D">
        <w:trPr>
          <w:trHeight w:val="350"/>
        </w:trPr>
        <w:tc>
          <w:tcPr>
            <w:tcW w:w="264" w:type="pct"/>
            <w:vMerge/>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pink-eared duck</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5</w:t>
            </w: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6.9</w:t>
            </w:r>
          </w:p>
        </w:tc>
      </w:tr>
      <w:tr w:rsidR="00E23B8D" w:rsidRPr="00E23B8D" w:rsidTr="00E23B8D">
        <w:trPr>
          <w:trHeight w:val="262"/>
        </w:trPr>
        <w:tc>
          <w:tcPr>
            <w:tcW w:w="264" w:type="pct"/>
            <w:vMerge w:val="restart"/>
            <w:shd w:val="clear" w:color="auto" w:fill="auto"/>
            <w:textDirection w:val="btLr"/>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Diving ducks, aquatic gallinules and swans</w:t>
            </w: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black swan*</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6.9</w:t>
            </w:r>
          </w:p>
        </w:tc>
      </w:tr>
      <w:tr w:rsidR="00E23B8D" w:rsidRPr="00E23B8D" w:rsidTr="00E23B8D">
        <w:trPr>
          <w:trHeight w:val="311"/>
        </w:trPr>
        <w:tc>
          <w:tcPr>
            <w:tcW w:w="264" w:type="pct"/>
            <w:vMerge/>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dusky moorhen</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4</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24.1</w:t>
            </w:r>
          </w:p>
        </w:tc>
      </w:tr>
      <w:tr w:rsidR="00E23B8D" w:rsidRPr="00E23B8D" w:rsidTr="00E23B8D">
        <w:trPr>
          <w:trHeight w:val="359"/>
        </w:trPr>
        <w:tc>
          <w:tcPr>
            <w:tcW w:w="264" w:type="pct"/>
            <w:vMerge/>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Eurasian coot</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14</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6</w:t>
            </w: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13.8</w:t>
            </w:r>
          </w:p>
        </w:tc>
      </w:tr>
      <w:tr w:rsidR="00E23B8D" w:rsidRPr="00E23B8D" w:rsidTr="00E23B8D">
        <w:trPr>
          <w:trHeight w:val="278"/>
        </w:trPr>
        <w:tc>
          <w:tcPr>
            <w:tcW w:w="264" w:type="pct"/>
            <w:vMerge/>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hardhead</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20</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6</w:t>
            </w: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10.3</w:t>
            </w:r>
          </w:p>
        </w:tc>
      </w:tr>
      <w:tr w:rsidR="00E23B8D" w:rsidRPr="00E23B8D" w:rsidTr="00E23B8D">
        <w:trPr>
          <w:trHeight w:val="327"/>
        </w:trPr>
        <w:tc>
          <w:tcPr>
            <w:tcW w:w="264" w:type="pct"/>
            <w:vMerge w:val="restart"/>
            <w:shd w:val="clear" w:color="auto" w:fill="auto"/>
            <w:textDirection w:val="btLr"/>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Grazing ducks and geese</w:t>
            </w: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Australian wood duck*</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9</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15</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16</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59</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37</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16</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4</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12</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94</w:t>
            </w: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10</w:t>
            </w: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37.9</w:t>
            </w:r>
          </w:p>
        </w:tc>
      </w:tr>
      <w:tr w:rsidR="00E23B8D" w:rsidRPr="00E23B8D" w:rsidTr="00E23B8D">
        <w:trPr>
          <w:trHeight w:val="247"/>
        </w:trPr>
        <w:tc>
          <w:tcPr>
            <w:tcW w:w="264" w:type="pct"/>
            <w:vMerge/>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magpie goose</w:t>
            </w:r>
            <w:r w:rsidRPr="00E23B8D">
              <w:rPr>
                <w:rFonts w:cs="Arial"/>
                <w:color w:val="000000"/>
                <w:szCs w:val="20"/>
                <w:vertAlign w:val="superscript"/>
                <w:lang w:val="en-US"/>
              </w:rPr>
              <w:t>V</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150</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6.9</w:t>
            </w:r>
          </w:p>
        </w:tc>
      </w:tr>
      <w:tr w:rsidR="00E23B8D" w:rsidRPr="00E23B8D" w:rsidTr="00E23B8D">
        <w:trPr>
          <w:trHeight w:val="309"/>
        </w:trPr>
        <w:tc>
          <w:tcPr>
            <w:tcW w:w="264" w:type="pct"/>
            <w:vMerge/>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plumed whistling-duck</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46</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80</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42</w:t>
            </w: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20.7</w:t>
            </w:r>
          </w:p>
        </w:tc>
      </w:tr>
      <w:tr w:rsidR="00E23B8D" w:rsidRPr="00E23B8D" w:rsidTr="00E23B8D">
        <w:trPr>
          <w:trHeight w:val="273"/>
        </w:trPr>
        <w:tc>
          <w:tcPr>
            <w:tcW w:w="264" w:type="pct"/>
            <w:vMerge w:val="restart"/>
            <w:shd w:val="clear" w:color="auto" w:fill="auto"/>
            <w:textDirection w:val="btLr"/>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Large wading birds</w:t>
            </w: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Australian white ibis</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7</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42</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45</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17</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14</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5</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10</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21</w:t>
            </w: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37.9</w:t>
            </w:r>
          </w:p>
        </w:tc>
      </w:tr>
      <w:tr w:rsidR="00E23B8D" w:rsidRPr="00E23B8D" w:rsidTr="00E23B8D">
        <w:trPr>
          <w:trHeight w:val="319"/>
        </w:trPr>
        <w:tc>
          <w:tcPr>
            <w:tcW w:w="264" w:type="pct"/>
            <w:vMerge/>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black-necked stork</w:t>
            </w:r>
            <w:r w:rsidRPr="00E23B8D">
              <w:rPr>
                <w:rFonts w:cs="Arial"/>
                <w:color w:val="000000"/>
                <w:szCs w:val="20"/>
                <w:vertAlign w:val="superscript"/>
                <w:lang w:val="en-US"/>
              </w:rPr>
              <w:t>E</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3.4</w:t>
            </w:r>
          </w:p>
        </w:tc>
      </w:tr>
      <w:tr w:rsidR="00E23B8D" w:rsidRPr="00E23B8D" w:rsidTr="00E23B8D">
        <w:trPr>
          <w:trHeight w:val="319"/>
        </w:trPr>
        <w:tc>
          <w:tcPr>
            <w:tcW w:w="264" w:type="pct"/>
            <w:vMerge/>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brolga</w:t>
            </w:r>
            <w:r w:rsidRPr="00E23B8D">
              <w:rPr>
                <w:rFonts w:cs="Arial"/>
                <w:color w:val="000000"/>
                <w:szCs w:val="20"/>
                <w:vertAlign w:val="superscript"/>
                <w:lang w:val="en-US"/>
              </w:rPr>
              <w:t>V</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17.2</w:t>
            </w:r>
          </w:p>
        </w:tc>
      </w:tr>
      <w:tr w:rsidR="00E23B8D" w:rsidRPr="00E23B8D" w:rsidTr="00E23B8D">
        <w:trPr>
          <w:trHeight w:val="273"/>
        </w:trPr>
        <w:tc>
          <w:tcPr>
            <w:tcW w:w="264" w:type="pct"/>
            <w:vMerge/>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glossy ibis</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4</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33</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229</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34</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16</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27</w:t>
            </w: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27.6</w:t>
            </w:r>
          </w:p>
        </w:tc>
      </w:tr>
      <w:tr w:rsidR="00E23B8D" w:rsidRPr="00E23B8D" w:rsidTr="00E23B8D">
        <w:trPr>
          <w:trHeight w:val="273"/>
        </w:trPr>
        <w:tc>
          <w:tcPr>
            <w:tcW w:w="264" w:type="pct"/>
            <w:vMerge/>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558" w:type="pct"/>
            <w:shd w:val="clear" w:color="auto" w:fill="auto"/>
            <w:vAlign w:val="bottom"/>
            <w:hideMark/>
          </w:tcPr>
          <w:p w:rsidR="0056539E" w:rsidRPr="00E23B8D" w:rsidRDefault="00773C47" w:rsidP="00E23B8D">
            <w:pPr>
              <w:spacing w:before="60" w:after="60" w:line="240" w:lineRule="exact"/>
              <w:ind w:left="162"/>
              <w:jc w:val="left"/>
              <w:rPr>
                <w:rFonts w:cs="Arial"/>
                <w:color w:val="000000"/>
                <w:szCs w:val="20"/>
                <w:lang w:val="en-US"/>
              </w:rPr>
            </w:pPr>
            <w:r w:rsidRPr="00E23B8D">
              <w:rPr>
                <w:rFonts w:cs="Arial"/>
                <w:color w:val="000000"/>
                <w:szCs w:val="20"/>
                <w:lang w:val="en-US"/>
              </w:rPr>
              <w:t>royal spoonbill</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5</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18</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34</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9</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23</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4</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27.6</w:t>
            </w:r>
          </w:p>
        </w:tc>
      </w:tr>
      <w:tr w:rsidR="00E23B8D" w:rsidRPr="00E23B8D" w:rsidTr="00E23B8D">
        <w:trPr>
          <w:trHeight w:val="273"/>
        </w:trPr>
        <w:tc>
          <w:tcPr>
            <w:tcW w:w="264" w:type="pct"/>
            <w:vMerge/>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straw-necked ibis</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116</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6</w:t>
            </w: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13.8</w:t>
            </w:r>
          </w:p>
        </w:tc>
      </w:tr>
      <w:tr w:rsidR="00E23B8D" w:rsidRPr="00E23B8D" w:rsidTr="00E23B8D">
        <w:trPr>
          <w:trHeight w:val="261"/>
        </w:trPr>
        <w:tc>
          <w:tcPr>
            <w:tcW w:w="264" w:type="pct"/>
            <w:vMerge/>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yellow-billed spoonbill</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8</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31.0</w:t>
            </w:r>
          </w:p>
        </w:tc>
      </w:tr>
      <w:tr w:rsidR="00E23B8D" w:rsidRPr="00E23B8D" w:rsidTr="00E23B8D">
        <w:trPr>
          <w:trHeight w:val="331"/>
        </w:trPr>
        <w:tc>
          <w:tcPr>
            <w:tcW w:w="264" w:type="pct"/>
            <w:vMerge w:val="restart"/>
            <w:shd w:val="clear" w:color="auto" w:fill="auto"/>
            <w:textDirection w:val="btLr"/>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Migratory Charadriiform shorebirds</w:t>
            </w: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black-tailed godwit</w:t>
            </w:r>
            <w:r w:rsidRPr="00E23B8D">
              <w:rPr>
                <w:rFonts w:cs="Arial"/>
                <w:color w:val="000000"/>
                <w:szCs w:val="20"/>
                <w:vertAlign w:val="superscript"/>
                <w:lang w:val="en-US"/>
              </w:rPr>
              <w:t>CJRV</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3.4</w:t>
            </w:r>
          </w:p>
        </w:tc>
      </w:tr>
      <w:tr w:rsidR="00E23B8D" w:rsidRPr="00E23B8D" w:rsidTr="00E23B8D">
        <w:trPr>
          <w:trHeight w:val="151"/>
        </w:trPr>
        <w:tc>
          <w:tcPr>
            <w:tcW w:w="264" w:type="pct"/>
            <w:vMerge/>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common greenshank</w:t>
            </w:r>
            <w:r w:rsidRPr="00E23B8D">
              <w:rPr>
                <w:rFonts w:cs="Arial"/>
                <w:color w:val="000000"/>
                <w:szCs w:val="20"/>
                <w:vertAlign w:val="superscript"/>
                <w:lang w:val="en-US"/>
              </w:rPr>
              <w:t>CJR</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3.4</w:t>
            </w:r>
          </w:p>
        </w:tc>
      </w:tr>
      <w:tr w:rsidR="00E23B8D" w:rsidRPr="00E23B8D" w:rsidTr="00E23B8D">
        <w:trPr>
          <w:trHeight w:val="319"/>
        </w:trPr>
        <w:tc>
          <w:tcPr>
            <w:tcW w:w="264" w:type="pct"/>
            <w:vMerge/>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Latham's snipe</w:t>
            </w:r>
            <w:r w:rsidRPr="00E23B8D">
              <w:rPr>
                <w:rFonts w:cs="Arial"/>
                <w:color w:val="000000"/>
                <w:szCs w:val="20"/>
                <w:vertAlign w:val="superscript"/>
                <w:lang w:val="en-US"/>
              </w:rPr>
              <w:t>JR</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20.7</w:t>
            </w:r>
          </w:p>
        </w:tc>
      </w:tr>
      <w:tr w:rsidR="00E23B8D" w:rsidRPr="00E23B8D" w:rsidTr="00E23B8D">
        <w:trPr>
          <w:trHeight w:val="319"/>
        </w:trPr>
        <w:tc>
          <w:tcPr>
            <w:tcW w:w="264" w:type="pct"/>
            <w:vMerge/>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marsh sandpiper</w:t>
            </w:r>
            <w:r w:rsidRPr="00E23B8D">
              <w:rPr>
                <w:rFonts w:cs="Arial"/>
                <w:color w:val="000000"/>
                <w:szCs w:val="20"/>
                <w:vertAlign w:val="superscript"/>
                <w:lang w:val="en-US"/>
              </w:rPr>
              <w:t>CJR</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5</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25</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10.3</w:t>
            </w:r>
          </w:p>
        </w:tc>
      </w:tr>
      <w:tr w:rsidR="00E23B8D" w:rsidRPr="00E23B8D" w:rsidTr="00E23B8D">
        <w:trPr>
          <w:trHeight w:val="334"/>
        </w:trPr>
        <w:tc>
          <w:tcPr>
            <w:tcW w:w="264" w:type="pct"/>
            <w:vMerge/>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558" w:type="pct"/>
            <w:shd w:val="clear" w:color="auto" w:fill="auto"/>
            <w:vAlign w:val="bottom"/>
            <w:hideMark/>
          </w:tcPr>
          <w:p w:rsidR="00BA2275" w:rsidRPr="00E23B8D" w:rsidRDefault="0056539E" w:rsidP="00E23B8D">
            <w:pPr>
              <w:spacing w:before="60" w:after="60" w:line="240" w:lineRule="exact"/>
              <w:ind w:left="162"/>
              <w:jc w:val="left"/>
              <w:rPr>
                <w:rFonts w:cs="Arial"/>
                <w:color w:val="000000"/>
                <w:szCs w:val="20"/>
                <w:vertAlign w:val="superscript"/>
                <w:lang w:val="en-US"/>
              </w:rPr>
            </w:pPr>
            <w:r w:rsidRPr="00E23B8D">
              <w:rPr>
                <w:rFonts w:cs="Arial"/>
                <w:color w:val="000000"/>
                <w:szCs w:val="20"/>
                <w:lang w:val="en-US"/>
              </w:rPr>
              <w:t>sharp-tailed sandpiper</w:t>
            </w:r>
            <w:r w:rsidRPr="00E23B8D">
              <w:rPr>
                <w:rFonts w:cs="Arial"/>
                <w:color w:val="000000"/>
                <w:szCs w:val="20"/>
                <w:vertAlign w:val="superscript"/>
                <w:lang w:val="en-US"/>
              </w:rPr>
              <w:t>CJR</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19</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20</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6.9</w:t>
            </w:r>
          </w:p>
        </w:tc>
      </w:tr>
      <w:tr w:rsidR="00E23B8D" w:rsidRPr="00E23B8D" w:rsidTr="00E23B8D">
        <w:trPr>
          <w:trHeight w:val="273"/>
        </w:trPr>
        <w:tc>
          <w:tcPr>
            <w:tcW w:w="264" w:type="pct"/>
            <w:vMerge w:val="restart"/>
            <w:shd w:val="clear" w:color="auto" w:fill="auto"/>
            <w:textDirection w:val="btLr"/>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Piscivores</w:t>
            </w: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Australasian darter</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6</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8</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20.7</w:t>
            </w:r>
          </w:p>
        </w:tc>
      </w:tr>
      <w:tr w:rsidR="00E23B8D" w:rsidRPr="00E23B8D" w:rsidTr="00E23B8D">
        <w:trPr>
          <w:trHeight w:val="333"/>
        </w:trPr>
        <w:tc>
          <w:tcPr>
            <w:tcW w:w="264" w:type="pct"/>
            <w:vMerge/>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Australasian grebe*</w:t>
            </w:r>
          </w:p>
        </w:tc>
        <w:tc>
          <w:tcPr>
            <w:tcW w:w="197" w:type="pct"/>
            <w:shd w:val="clear" w:color="auto" w:fill="auto"/>
            <w:noWrap/>
            <w:vAlign w:val="center"/>
            <w:hideMark/>
          </w:tcPr>
          <w:p w:rsidR="0056539E" w:rsidRPr="00E23B8D" w:rsidRDefault="0056539E" w:rsidP="00E23B8D">
            <w:pPr>
              <w:pStyle w:val="Heading3"/>
              <w:numPr>
                <w:ilvl w:val="0"/>
                <w:numId w:val="0"/>
              </w:numPr>
              <w:spacing w:before="60" w:line="240" w:lineRule="exact"/>
              <w:ind w:left="576"/>
              <w:jc w:val="center"/>
              <w:rPr>
                <w:rFonts w:cs="Arial"/>
                <w:color w:val="00000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5</w:t>
            </w: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10.3</w:t>
            </w:r>
          </w:p>
        </w:tc>
      </w:tr>
      <w:tr w:rsidR="00E23B8D" w:rsidRPr="00E23B8D" w:rsidTr="00E23B8D">
        <w:trPr>
          <w:trHeight w:val="273"/>
        </w:trPr>
        <w:tc>
          <w:tcPr>
            <w:tcW w:w="264" w:type="pct"/>
            <w:vMerge/>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Australian pelican</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5</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6</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20</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7</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16</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5</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51.7</w:t>
            </w:r>
          </w:p>
        </w:tc>
      </w:tr>
      <w:tr w:rsidR="00E23B8D" w:rsidRPr="00E23B8D" w:rsidTr="00E23B8D">
        <w:trPr>
          <w:trHeight w:val="319"/>
        </w:trPr>
        <w:tc>
          <w:tcPr>
            <w:tcW w:w="264" w:type="pct"/>
            <w:vMerge/>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cattle egret</w:t>
            </w:r>
            <w:r w:rsidRPr="00E23B8D">
              <w:rPr>
                <w:rFonts w:cs="Arial"/>
                <w:color w:val="000000"/>
                <w:szCs w:val="20"/>
                <w:vertAlign w:val="superscript"/>
                <w:lang w:val="en-US"/>
              </w:rPr>
              <w:t>J</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107</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186</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12</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20</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5</w:t>
            </w: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20.7</w:t>
            </w:r>
          </w:p>
        </w:tc>
      </w:tr>
      <w:tr w:rsidR="00E23B8D" w:rsidRPr="00E23B8D" w:rsidTr="00E23B8D">
        <w:trPr>
          <w:trHeight w:val="319"/>
        </w:trPr>
        <w:tc>
          <w:tcPr>
            <w:tcW w:w="264" w:type="pct"/>
            <w:vMerge/>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Eastern great egret</w:t>
            </w:r>
            <w:r w:rsidRPr="00E23B8D">
              <w:rPr>
                <w:rFonts w:cs="Arial"/>
                <w:color w:val="000000"/>
                <w:szCs w:val="20"/>
                <w:vertAlign w:val="superscript"/>
                <w:lang w:val="en-US"/>
              </w:rPr>
              <w:t>J</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4</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37.9</w:t>
            </w:r>
          </w:p>
        </w:tc>
      </w:tr>
      <w:tr w:rsidR="00E23B8D" w:rsidRPr="00E23B8D" w:rsidTr="00E23B8D">
        <w:trPr>
          <w:trHeight w:val="273"/>
        </w:trPr>
        <w:tc>
          <w:tcPr>
            <w:tcW w:w="264" w:type="pct"/>
            <w:vMerge/>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great cormorant</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7</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13.8</w:t>
            </w:r>
          </w:p>
        </w:tc>
      </w:tr>
      <w:tr w:rsidR="00E23B8D" w:rsidRPr="00E23B8D" w:rsidTr="00E23B8D">
        <w:trPr>
          <w:trHeight w:val="273"/>
        </w:trPr>
        <w:tc>
          <w:tcPr>
            <w:tcW w:w="264" w:type="pct"/>
            <w:vMerge/>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558" w:type="pct"/>
            <w:shd w:val="clear" w:color="auto" w:fill="auto"/>
            <w:vAlign w:val="bottom"/>
            <w:hideMark/>
          </w:tcPr>
          <w:p w:rsidR="0056539E" w:rsidRPr="00E23B8D" w:rsidRDefault="00773C47" w:rsidP="00E23B8D">
            <w:pPr>
              <w:spacing w:before="60" w:after="60" w:line="240" w:lineRule="exact"/>
              <w:ind w:left="162"/>
              <w:jc w:val="left"/>
              <w:rPr>
                <w:rFonts w:cs="Arial"/>
                <w:color w:val="000000"/>
                <w:szCs w:val="20"/>
                <w:lang w:val="en-US"/>
              </w:rPr>
            </w:pPr>
            <w:r w:rsidRPr="00E23B8D">
              <w:rPr>
                <w:rFonts w:cs="Arial"/>
                <w:color w:val="000000"/>
                <w:szCs w:val="20"/>
                <w:lang w:val="en-US"/>
              </w:rPr>
              <w:t>intermediate egret</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6</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10</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4</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5</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w:t>
            </w: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27.6</w:t>
            </w:r>
          </w:p>
        </w:tc>
      </w:tr>
      <w:tr w:rsidR="00E23B8D" w:rsidRPr="00E23B8D" w:rsidTr="00E23B8D">
        <w:trPr>
          <w:trHeight w:val="339"/>
        </w:trPr>
        <w:tc>
          <w:tcPr>
            <w:tcW w:w="264" w:type="pct"/>
            <w:vMerge/>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little black cormorant</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25</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23</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20</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8</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27.6</w:t>
            </w:r>
          </w:p>
        </w:tc>
      </w:tr>
      <w:tr w:rsidR="00E23B8D" w:rsidRPr="00E23B8D" w:rsidTr="00E23B8D">
        <w:trPr>
          <w:trHeight w:val="273"/>
        </w:trPr>
        <w:tc>
          <w:tcPr>
            <w:tcW w:w="264" w:type="pct"/>
            <w:vMerge/>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little pied cormorant</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6</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5</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7</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6</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100</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4</w:t>
            </w: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44.8</w:t>
            </w:r>
          </w:p>
        </w:tc>
      </w:tr>
      <w:tr w:rsidR="00E23B8D" w:rsidRPr="00E23B8D" w:rsidTr="00E23B8D">
        <w:trPr>
          <w:trHeight w:val="281"/>
        </w:trPr>
        <w:tc>
          <w:tcPr>
            <w:tcW w:w="264" w:type="pct"/>
            <w:vMerge/>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nankeen night-heron</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3.4</w:t>
            </w:r>
          </w:p>
        </w:tc>
      </w:tr>
      <w:tr w:rsidR="00E23B8D" w:rsidRPr="00E23B8D" w:rsidTr="00E23B8D">
        <w:trPr>
          <w:trHeight w:val="273"/>
        </w:trPr>
        <w:tc>
          <w:tcPr>
            <w:tcW w:w="264" w:type="pct"/>
            <w:vMerge/>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pied cormorant</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6</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10.3</w:t>
            </w:r>
          </w:p>
        </w:tc>
      </w:tr>
      <w:tr w:rsidR="00E23B8D" w:rsidRPr="00E23B8D" w:rsidTr="00E23B8D">
        <w:trPr>
          <w:trHeight w:val="273"/>
        </w:trPr>
        <w:tc>
          <w:tcPr>
            <w:tcW w:w="264" w:type="pct"/>
            <w:vMerge/>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sacred kingfisher*</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5</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4</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5</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4</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4</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4</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w:t>
            </w: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55.2</w:t>
            </w:r>
          </w:p>
        </w:tc>
      </w:tr>
      <w:tr w:rsidR="00E23B8D" w:rsidRPr="00E23B8D" w:rsidTr="00E23B8D">
        <w:trPr>
          <w:trHeight w:val="273"/>
        </w:trPr>
        <w:tc>
          <w:tcPr>
            <w:tcW w:w="264" w:type="pct"/>
            <w:vMerge/>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whiskered tern</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6.9</w:t>
            </w:r>
          </w:p>
        </w:tc>
      </w:tr>
      <w:tr w:rsidR="00E23B8D" w:rsidRPr="00E23B8D" w:rsidTr="00E23B8D">
        <w:trPr>
          <w:trHeight w:val="273"/>
        </w:trPr>
        <w:tc>
          <w:tcPr>
            <w:tcW w:w="264" w:type="pct"/>
            <w:vMerge/>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white-faced heron*</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16</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6</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6</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5</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6</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12</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7</w:t>
            </w: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w:t>
            </w: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72.4</w:t>
            </w:r>
          </w:p>
        </w:tc>
      </w:tr>
      <w:tr w:rsidR="00E23B8D" w:rsidRPr="00E23B8D" w:rsidTr="00E23B8D">
        <w:trPr>
          <w:trHeight w:val="273"/>
        </w:trPr>
        <w:tc>
          <w:tcPr>
            <w:tcW w:w="264" w:type="pct"/>
            <w:vMerge/>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white-necked heron*</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13</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4</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6</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20</w:t>
            </w: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4</w:t>
            </w: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34.5</w:t>
            </w:r>
          </w:p>
        </w:tc>
      </w:tr>
      <w:tr w:rsidR="00E23B8D" w:rsidRPr="00E23B8D" w:rsidTr="00E23B8D">
        <w:trPr>
          <w:trHeight w:val="520"/>
        </w:trPr>
        <w:tc>
          <w:tcPr>
            <w:tcW w:w="264" w:type="pct"/>
            <w:vMerge w:val="restart"/>
            <w:shd w:val="clear" w:color="auto" w:fill="auto"/>
            <w:textDirection w:val="btLr"/>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Rails and shoreline gallinules</w:t>
            </w: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purple swamphen*</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4</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5</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4</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6</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27.6</w:t>
            </w:r>
          </w:p>
        </w:tc>
      </w:tr>
      <w:tr w:rsidR="00E23B8D" w:rsidRPr="00E23B8D" w:rsidTr="00E23B8D">
        <w:trPr>
          <w:trHeight w:val="485"/>
        </w:trPr>
        <w:tc>
          <w:tcPr>
            <w:tcW w:w="264" w:type="pct"/>
            <w:vMerge/>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spotless crake</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3.4</w:t>
            </w:r>
          </w:p>
        </w:tc>
      </w:tr>
      <w:tr w:rsidR="00E23B8D" w:rsidRPr="00E23B8D" w:rsidTr="00E23B8D">
        <w:trPr>
          <w:trHeight w:val="273"/>
        </w:trPr>
        <w:tc>
          <w:tcPr>
            <w:tcW w:w="264" w:type="pct"/>
            <w:vMerge w:val="restart"/>
            <w:shd w:val="clear" w:color="auto" w:fill="auto"/>
            <w:textDirection w:val="btLr"/>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Raptors</w:t>
            </w: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Australian hobby</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13.8</w:t>
            </w:r>
          </w:p>
        </w:tc>
      </w:tr>
      <w:tr w:rsidR="00E23B8D" w:rsidRPr="00E23B8D" w:rsidTr="00E23B8D">
        <w:trPr>
          <w:trHeight w:val="319"/>
        </w:trPr>
        <w:tc>
          <w:tcPr>
            <w:tcW w:w="264" w:type="pct"/>
            <w:vMerge/>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black falcon</w:t>
            </w:r>
            <w:r w:rsidRPr="00E23B8D">
              <w:rPr>
                <w:rFonts w:cs="Arial"/>
                <w:color w:val="000000"/>
                <w:szCs w:val="20"/>
                <w:vertAlign w:val="superscript"/>
                <w:lang w:val="en-US"/>
              </w:rPr>
              <w:t>V</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13.8</w:t>
            </w:r>
          </w:p>
        </w:tc>
      </w:tr>
      <w:tr w:rsidR="00E23B8D" w:rsidRPr="00E23B8D" w:rsidTr="00E23B8D">
        <w:trPr>
          <w:trHeight w:val="273"/>
        </w:trPr>
        <w:tc>
          <w:tcPr>
            <w:tcW w:w="264" w:type="pct"/>
            <w:vMerge/>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black kite</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6.9</w:t>
            </w:r>
          </w:p>
        </w:tc>
      </w:tr>
      <w:tr w:rsidR="00E23B8D" w:rsidRPr="00E23B8D" w:rsidTr="00E23B8D">
        <w:trPr>
          <w:trHeight w:val="372"/>
        </w:trPr>
        <w:tc>
          <w:tcPr>
            <w:tcW w:w="264" w:type="pct"/>
            <w:vMerge/>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black-shouldered kite*</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31.0</w:t>
            </w:r>
          </w:p>
        </w:tc>
      </w:tr>
      <w:tr w:rsidR="00E23B8D" w:rsidRPr="00E23B8D" w:rsidTr="00E23B8D">
        <w:trPr>
          <w:trHeight w:val="273"/>
        </w:trPr>
        <w:tc>
          <w:tcPr>
            <w:tcW w:w="264" w:type="pct"/>
            <w:vMerge/>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558" w:type="pct"/>
            <w:shd w:val="clear" w:color="auto" w:fill="auto"/>
            <w:vAlign w:val="bottom"/>
            <w:hideMark/>
          </w:tcPr>
          <w:p w:rsidR="0056539E" w:rsidRPr="00E23B8D" w:rsidRDefault="00773C47" w:rsidP="00E23B8D">
            <w:pPr>
              <w:spacing w:before="60" w:after="60" w:line="240" w:lineRule="exact"/>
              <w:ind w:left="162"/>
              <w:jc w:val="left"/>
              <w:rPr>
                <w:rFonts w:cs="Arial"/>
                <w:color w:val="000000"/>
                <w:szCs w:val="20"/>
                <w:lang w:val="en-US"/>
              </w:rPr>
            </w:pPr>
            <w:r w:rsidRPr="00E23B8D">
              <w:rPr>
                <w:rFonts w:cs="Arial"/>
                <w:color w:val="000000"/>
                <w:szCs w:val="20"/>
                <w:lang w:val="en-US"/>
              </w:rPr>
              <w:t>brown falcon</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27.6</w:t>
            </w:r>
          </w:p>
        </w:tc>
      </w:tr>
      <w:tr w:rsidR="00E23B8D" w:rsidRPr="00E23B8D" w:rsidTr="00E23B8D">
        <w:trPr>
          <w:trHeight w:val="273"/>
        </w:trPr>
        <w:tc>
          <w:tcPr>
            <w:tcW w:w="264" w:type="pct"/>
            <w:vMerge/>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nankeen kestrel</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4</w:t>
            </w: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20.7</w:t>
            </w:r>
          </w:p>
        </w:tc>
      </w:tr>
      <w:tr w:rsidR="00E23B8D" w:rsidRPr="00E23B8D" w:rsidTr="00E23B8D">
        <w:trPr>
          <w:trHeight w:val="273"/>
        </w:trPr>
        <w:tc>
          <w:tcPr>
            <w:tcW w:w="264" w:type="pct"/>
            <w:vMerge/>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swamp harrier</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6.9</w:t>
            </w:r>
          </w:p>
        </w:tc>
      </w:tr>
      <w:tr w:rsidR="00E23B8D" w:rsidRPr="00E23B8D" w:rsidTr="00E23B8D">
        <w:trPr>
          <w:trHeight w:val="273"/>
        </w:trPr>
        <w:tc>
          <w:tcPr>
            <w:tcW w:w="264" w:type="pct"/>
            <w:vMerge/>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wedge-tailed eagle</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41.4</w:t>
            </w:r>
          </w:p>
        </w:tc>
      </w:tr>
      <w:tr w:rsidR="00E23B8D" w:rsidRPr="00E23B8D" w:rsidTr="00E23B8D">
        <w:trPr>
          <w:trHeight w:val="334"/>
        </w:trPr>
        <w:tc>
          <w:tcPr>
            <w:tcW w:w="264" w:type="pct"/>
            <w:vMerge/>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white-bellied sea-eagle</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r>
      <w:tr w:rsidR="00E23B8D" w:rsidRPr="00E23B8D" w:rsidTr="00E23B8D">
        <w:trPr>
          <w:trHeight w:val="273"/>
        </w:trPr>
        <w:tc>
          <w:tcPr>
            <w:tcW w:w="264" w:type="pct"/>
            <w:vMerge/>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whistling kite*</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4</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4</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4</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65.5</w:t>
            </w:r>
          </w:p>
        </w:tc>
      </w:tr>
      <w:tr w:rsidR="00E23B8D" w:rsidRPr="00E23B8D" w:rsidTr="00E23B8D">
        <w:trPr>
          <w:trHeight w:val="303"/>
        </w:trPr>
        <w:tc>
          <w:tcPr>
            <w:tcW w:w="264" w:type="pct"/>
            <w:vMerge w:val="restart"/>
            <w:shd w:val="clear" w:color="auto" w:fill="auto"/>
            <w:textDirection w:val="btLr"/>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Reed-inhabiting passerines</w:t>
            </w: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Australian reed-warbler*</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16</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18</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6</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8</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12</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10</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8</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10</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26</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4</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4</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28</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4</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48.3</w:t>
            </w:r>
          </w:p>
        </w:tc>
      </w:tr>
      <w:tr w:rsidR="00E23B8D" w:rsidRPr="00E23B8D" w:rsidTr="00E23B8D">
        <w:trPr>
          <w:trHeight w:val="364"/>
        </w:trPr>
        <w:tc>
          <w:tcPr>
            <w:tcW w:w="264" w:type="pct"/>
            <w:vMerge/>
            <w:vAlign w:val="center"/>
            <w:hideMark/>
          </w:tcPr>
          <w:p w:rsidR="0056539E" w:rsidRPr="00E23B8D" w:rsidRDefault="0056539E" w:rsidP="00E23B8D">
            <w:pPr>
              <w:spacing w:before="60" w:after="60" w:line="240" w:lineRule="exact"/>
              <w:jc w:val="left"/>
              <w:rPr>
                <w:rFonts w:cs="Arial"/>
                <w:color w:val="000000"/>
                <w:szCs w:val="20"/>
                <w:lang w:val="en-US"/>
              </w:rPr>
            </w:pP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golden-headed cisticola</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6</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57</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5</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4</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10</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8</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18</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4</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7</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37.9</w:t>
            </w:r>
          </w:p>
        </w:tc>
      </w:tr>
      <w:tr w:rsidR="00E23B8D" w:rsidRPr="00E23B8D" w:rsidTr="00E23B8D">
        <w:trPr>
          <w:trHeight w:val="273"/>
        </w:trPr>
        <w:tc>
          <w:tcPr>
            <w:tcW w:w="264" w:type="pct"/>
            <w:vMerge/>
            <w:vAlign w:val="center"/>
            <w:hideMark/>
          </w:tcPr>
          <w:p w:rsidR="0056539E" w:rsidRPr="00E23B8D" w:rsidRDefault="0056539E" w:rsidP="00E23B8D">
            <w:pPr>
              <w:spacing w:before="60" w:after="60" w:line="240" w:lineRule="exact"/>
              <w:jc w:val="left"/>
              <w:rPr>
                <w:rFonts w:cs="Arial"/>
                <w:color w:val="000000"/>
                <w:szCs w:val="20"/>
                <w:lang w:val="en-US"/>
              </w:rPr>
            </w:pPr>
          </w:p>
        </w:tc>
        <w:tc>
          <w:tcPr>
            <w:tcW w:w="558" w:type="pct"/>
            <w:shd w:val="clear" w:color="auto" w:fill="auto"/>
            <w:vAlign w:val="bottom"/>
            <w:hideMark/>
          </w:tcPr>
          <w:p w:rsidR="0056539E" w:rsidRPr="00E23B8D" w:rsidRDefault="0056539E" w:rsidP="00E23B8D">
            <w:pPr>
              <w:spacing w:before="60" w:after="60" w:line="240" w:lineRule="exact"/>
              <w:ind w:left="162"/>
              <w:jc w:val="left"/>
              <w:rPr>
                <w:rFonts w:cs="Arial"/>
                <w:color w:val="000000"/>
                <w:szCs w:val="20"/>
                <w:lang w:val="en-US"/>
              </w:rPr>
            </w:pPr>
            <w:r w:rsidRPr="00E23B8D">
              <w:rPr>
                <w:rFonts w:cs="Arial"/>
                <w:color w:val="000000"/>
                <w:szCs w:val="20"/>
                <w:lang w:val="en-US"/>
              </w:rPr>
              <w:t>little grassbird</w:t>
            </w:r>
          </w:p>
        </w:tc>
        <w:tc>
          <w:tcPr>
            <w:tcW w:w="19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4</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3</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1</w:t>
            </w: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w:t>
            </w: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gridSpan w:val="2"/>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37"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p>
        </w:tc>
        <w:tc>
          <w:tcPr>
            <w:tcW w:w="175" w:type="pct"/>
            <w:shd w:val="clear" w:color="auto" w:fill="auto"/>
            <w:noWrap/>
            <w:vAlign w:val="center"/>
            <w:hideMark/>
          </w:tcPr>
          <w:p w:rsidR="0056539E" w:rsidRPr="00E23B8D" w:rsidRDefault="0056539E" w:rsidP="00E23B8D">
            <w:pPr>
              <w:spacing w:before="60" w:after="60" w:line="240" w:lineRule="exact"/>
              <w:jc w:val="center"/>
              <w:rPr>
                <w:rFonts w:cs="Arial"/>
                <w:color w:val="000000"/>
                <w:szCs w:val="20"/>
                <w:lang w:val="en-US"/>
              </w:rPr>
            </w:pPr>
            <w:r w:rsidRPr="00E23B8D">
              <w:rPr>
                <w:rFonts w:cs="Arial"/>
                <w:color w:val="000000"/>
                <w:szCs w:val="20"/>
                <w:lang w:val="en-US"/>
              </w:rPr>
              <w:t>20.7</w:t>
            </w:r>
          </w:p>
        </w:tc>
      </w:tr>
      <w:tr w:rsidR="00E23B8D" w:rsidRPr="00E23B8D" w:rsidTr="00E23B8D">
        <w:trPr>
          <w:trHeight w:val="330"/>
        </w:trPr>
        <w:tc>
          <w:tcPr>
            <w:tcW w:w="823" w:type="pct"/>
            <w:gridSpan w:val="2"/>
            <w:shd w:val="clear" w:color="auto" w:fill="auto"/>
            <w:vAlign w:val="center"/>
            <w:hideMark/>
          </w:tcPr>
          <w:p w:rsidR="0056539E" w:rsidRPr="00E23B8D" w:rsidRDefault="0056539E" w:rsidP="00E23B8D">
            <w:pPr>
              <w:spacing w:before="60" w:after="60" w:line="240" w:lineRule="exact"/>
              <w:jc w:val="left"/>
              <w:rPr>
                <w:rFonts w:cs="Arial"/>
                <w:b/>
                <w:bCs/>
                <w:color w:val="000000"/>
                <w:szCs w:val="20"/>
                <w:lang w:val="en-US"/>
              </w:rPr>
            </w:pPr>
            <w:r w:rsidRPr="00E23B8D">
              <w:rPr>
                <w:rFonts w:cs="Arial"/>
                <w:b/>
                <w:bCs/>
                <w:color w:val="000000"/>
                <w:szCs w:val="20"/>
                <w:lang w:val="en-US"/>
              </w:rPr>
              <w:t xml:space="preserve">Species richness </w:t>
            </w:r>
          </w:p>
        </w:tc>
        <w:tc>
          <w:tcPr>
            <w:tcW w:w="197"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3</w:t>
            </w:r>
          </w:p>
        </w:tc>
        <w:tc>
          <w:tcPr>
            <w:tcW w:w="135"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5</w:t>
            </w:r>
          </w:p>
        </w:tc>
        <w:tc>
          <w:tcPr>
            <w:tcW w:w="135"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5</w:t>
            </w:r>
          </w:p>
        </w:tc>
        <w:tc>
          <w:tcPr>
            <w:tcW w:w="135"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7</w:t>
            </w:r>
          </w:p>
        </w:tc>
        <w:tc>
          <w:tcPr>
            <w:tcW w:w="135"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20</w:t>
            </w:r>
          </w:p>
        </w:tc>
        <w:tc>
          <w:tcPr>
            <w:tcW w:w="137"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13</w:t>
            </w:r>
          </w:p>
        </w:tc>
        <w:tc>
          <w:tcPr>
            <w:tcW w:w="137"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25</w:t>
            </w:r>
          </w:p>
        </w:tc>
        <w:tc>
          <w:tcPr>
            <w:tcW w:w="135"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0</w:t>
            </w:r>
          </w:p>
        </w:tc>
        <w:tc>
          <w:tcPr>
            <w:tcW w:w="137"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15</w:t>
            </w:r>
          </w:p>
        </w:tc>
        <w:tc>
          <w:tcPr>
            <w:tcW w:w="137"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31</w:t>
            </w:r>
          </w:p>
        </w:tc>
        <w:tc>
          <w:tcPr>
            <w:tcW w:w="135"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10</w:t>
            </w:r>
          </w:p>
        </w:tc>
        <w:tc>
          <w:tcPr>
            <w:tcW w:w="137"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39</w:t>
            </w:r>
          </w:p>
        </w:tc>
        <w:tc>
          <w:tcPr>
            <w:tcW w:w="135"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1</w:t>
            </w:r>
          </w:p>
        </w:tc>
        <w:tc>
          <w:tcPr>
            <w:tcW w:w="137"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21</w:t>
            </w:r>
          </w:p>
        </w:tc>
        <w:tc>
          <w:tcPr>
            <w:tcW w:w="137"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23</w:t>
            </w:r>
          </w:p>
        </w:tc>
        <w:tc>
          <w:tcPr>
            <w:tcW w:w="137"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19</w:t>
            </w:r>
          </w:p>
        </w:tc>
        <w:tc>
          <w:tcPr>
            <w:tcW w:w="137"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27</w:t>
            </w:r>
          </w:p>
        </w:tc>
        <w:tc>
          <w:tcPr>
            <w:tcW w:w="135"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1</w:t>
            </w:r>
          </w:p>
        </w:tc>
        <w:tc>
          <w:tcPr>
            <w:tcW w:w="135"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1</w:t>
            </w:r>
          </w:p>
        </w:tc>
        <w:tc>
          <w:tcPr>
            <w:tcW w:w="135"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13</w:t>
            </w:r>
          </w:p>
        </w:tc>
        <w:tc>
          <w:tcPr>
            <w:tcW w:w="137"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22</w:t>
            </w:r>
          </w:p>
        </w:tc>
        <w:tc>
          <w:tcPr>
            <w:tcW w:w="137"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16</w:t>
            </w:r>
          </w:p>
        </w:tc>
        <w:tc>
          <w:tcPr>
            <w:tcW w:w="135"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5</w:t>
            </w:r>
          </w:p>
        </w:tc>
        <w:tc>
          <w:tcPr>
            <w:tcW w:w="135"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12</w:t>
            </w:r>
          </w:p>
        </w:tc>
        <w:tc>
          <w:tcPr>
            <w:tcW w:w="137"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22</w:t>
            </w:r>
          </w:p>
        </w:tc>
        <w:tc>
          <w:tcPr>
            <w:tcW w:w="135" w:type="pct"/>
            <w:gridSpan w:val="2"/>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6</w:t>
            </w:r>
          </w:p>
        </w:tc>
        <w:tc>
          <w:tcPr>
            <w:tcW w:w="135"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6</w:t>
            </w:r>
          </w:p>
        </w:tc>
        <w:tc>
          <w:tcPr>
            <w:tcW w:w="135"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10</w:t>
            </w:r>
          </w:p>
        </w:tc>
        <w:tc>
          <w:tcPr>
            <w:tcW w:w="137"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24</w:t>
            </w:r>
          </w:p>
        </w:tc>
        <w:tc>
          <w:tcPr>
            <w:tcW w:w="175" w:type="pct"/>
            <w:shd w:val="clear" w:color="auto" w:fill="auto"/>
            <w:vAlign w:val="center"/>
            <w:hideMark/>
          </w:tcPr>
          <w:p w:rsidR="0056539E" w:rsidRPr="00E23B8D" w:rsidRDefault="0056539E" w:rsidP="00E23B8D">
            <w:pPr>
              <w:spacing w:before="60" w:after="60" w:line="240" w:lineRule="exact"/>
              <w:jc w:val="center"/>
              <w:rPr>
                <w:rFonts w:cs="Arial"/>
                <w:color w:val="000000"/>
                <w:szCs w:val="20"/>
                <w:lang w:val="en-US"/>
              </w:rPr>
            </w:pPr>
          </w:p>
        </w:tc>
      </w:tr>
      <w:tr w:rsidR="00E23B8D" w:rsidRPr="00E23B8D" w:rsidTr="00E23B8D">
        <w:trPr>
          <w:trHeight w:val="337"/>
        </w:trPr>
        <w:tc>
          <w:tcPr>
            <w:tcW w:w="823" w:type="pct"/>
            <w:gridSpan w:val="2"/>
            <w:shd w:val="clear" w:color="auto" w:fill="auto"/>
            <w:vAlign w:val="center"/>
            <w:hideMark/>
          </w:tcPr>
          <w:p w:rsidR="0056539E" w:rsidRPr="00E23B8D" w:rsidRDefault="0056539E" w:rsidP="00E23B8D">
            <w:pPr>
              <w:spacing w:before="60" w:after="60" w:line="240" w:lineRule="exact"/>
              <w:jc w:val="left"/>
              <w:rPr>
                <w:rFonts w:cs="Arial"/>
                <w:b/>
                <w:bCs/>
                <w:color w:val="000000"/>
                <w:szCs w:val="20"/>
                <w:lang w:val="en-US"/>
              </w:rPr>
            </w:pPr>
            <w:r w:rsidRPr="00E23B8D">
              <w:rPr>
                <w:rFonts w:cs="Arial"/>
                <w:b/>
                <w:bCs/>
                <w:color w:val="000000"/>
                <w:szCs w:val="20"/>
                <w:lang w:val="en-US"/>
              </w:rPr>
              <w:t xml:space="preserve">Species abundance </w:t>
            </w:r>
          </w:p>
        </w:tc>
        <w:tc>
          <w:tcPr>
            <w:tcW w:w="197"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6</w:t>
            </w:r>
          </w:p>
        </w:tc>
        <w:tc>
          <w:tcPr>
            <w:tcW w:w="135"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10</w:t>
            </w:r>
          </w:p>
        </w:tc>
        <w:tc>
          <w:tcPr>
            <w:tcW w:w="135"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15</w:t>
            </w:r>
          </w:p>
        </w:tc>
        <w:tc>
          <w:tcPr>
            <w:tcW w:w="135"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67</w:t>
            </w:r>
          </w:p>
        </w:tc>
        <w:tc>
          <w:tcPr>
            <w:tcW w:w="135"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79</w:t>
            </w:r>
          </w:p>
        </w:tc>
        <w:tc>
          <w:tcPr>
            <w:tcW w:w="137"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132</w:t>
            </w:r>
          </w:p>
        </w:tc>
        <w:tc>
          <w:tcPr>
            <w:tcW w:w="137"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129</w:t>
            </w:r>
          </w:p>
        </w:tc>
        <w:tc>
          <w:tcPr>
            <w:tcW w:w="135"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0</w:t>
            </w:r>
          </w:p>
        </w:tc>
        <w:tc>
          <w:tcPr>
            <w:tcW w:w="137"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130</w:t>
            </w:r>
          </w:p>
        </w:tc>
        <w:tc>
          <w:tcPr>
            <w:tcW w:w="137"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497</w:t>
            </w:r>
          </w:p>
        </w:tc>
        <w:tc>
          <w:tcPr>
            <w:tcW w:w="135"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23</w:t>
            </w:r>
          </w:p>
        </w:tc>
        <w:tc>
          <w:tcPr>
            <w:tcW w:w="137"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923</w:t>
            </w:r>
          </w:p>
        </w:tc>
        <w:tc>
          <w:tcPr>
            <w:tcW w:w="135"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1</w:t>
            </w:r>
          </w:p>
        </w:tc>
        <w:tc>
          <w:tcPr>
            <w:tcW w:w="137"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206</w:t>
            </w:r>
          </w:p>
        </w:tc>
        <w:tc>
          <w:tcPr>
            <w:tcW w:w="137"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185</w:t>
            </w:r>
          </w:p>
        </w:tc>
        <w:tc>
          <w:tcPr>
            <w:tcW w:w="137"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122</w:t>
            </w:r>
          </w:p>
        </w:tc>
        <w:tc>
          <w:tcPr>
            <w:tcW w:w="137"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213</w:t>
            </w:r>
          </w:p>
        </w:tc>
        <w:tc>
          <w:tcPr>
            <w:tcW w:w="135"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2</w:t>
            </w:r>
          </w:p>
        </w:tc>
        <w:tc>
          <w:tcPr>
            <w:tcW w:w="135"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2</w:t>
            </w:r>
          </w:p>
        </w:tc>
        <w:tc>
          <w:tcPr>
            <w:tcW w:w="135"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24</w:t>
            </w:r>
          </w:p>
        </w:tc>
        <w:tc>
          <w:tcPr>
            <w:tcW w:w="137"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290</w:t>
            </w:r>
          </w:p>
        </w:tc>
        <w:tc>
          <w:tcPr>
            <w:tcW w:w="137"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206</w:t>
            </w:r>
          </w:p>
        </w:tc>
        <w:tc>
          <w:tcPr>
            <w:tcW w:w="135"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14</w:t>
            </w:r>
          </w:p>
        </w:tc>
        <w:tc>
          <w:tcPr>
            <w:tcW w:w="135"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44</w:t>
            </w:r>
          </w:p>
        </w:tc>
        <w:tc>
          <w:tcPr>
            <w:tcW w:w="137"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306</w:t>
            </w:r>
          </w:p>
        </w:tc>
        <w:tc>
          <w:tcPr>
            <w:tcW w:w="135" w:type="pct"/>
            <w:gridSpan w:val="2"/>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9</w:t>
            </w:r>
          </w:p>
        </w:tc>
        <w:tc>
          <w:tcPr>
            <w:tcW w:w="135"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24</w:t>
            </w:r>
          </w:p>
        </w:tc>
        <w:tc>
          <w:tcPr>
            <w:tcW w:w="135"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47</w:t>
            </w:r>
          </w:p>
        </w:tc>
        <w:tc>
          <w:tcPr>
            <w:tcW w:w="137" w:type="pct"/>
            <w:shd w:val="clear" w:color="auto" w:fill="auto"/>
            <w:vAlign w:val="center"/>
            <w:hideMark/>
          </w:tcPr>
          <w:p w:rsidR="0056539E" w:rsidRPr="00E23B8D" w:rsidRDefault="0056539E" w:rsidP="00E23B8D">
            <w:pPr>
              <w:spacing w:before="60" w:after="60" w:line="240" w:lineRule="exact"/>
              <w:jc w:val="center"/>
              <w:rPr>
                <w:rFonts w:cs="Arial"/>
                <w:b/>
                <w:color w:val="000000"/>
                <w:szCs w:val="20"/>
                <w:lang w:val="en-US"/>
              </w:rPr>
            </w:pPr>
            <w:r w:rsidRPr="00E23B8D">
              <w:rPr>
                <w:rFonts w:cs="Arial"/>
                <w:b/>
                <w:color w:val="000000"/>
                <w:szCs w:val="20"/>
                <w:lang w:val="en-US"/>
              </w:rPr>
              <w:t>127</w:t>
            </w:r>
          </w:p>
        </w:tc>
        <w:tc>
          <w:tcPr>
            <w:tcW w:w="175" w:type="pct"/>
            <w:shd w:val="clear" w:color="auto" w:fill="auto"/>
            <w:vAlign w:val="center"/>
            <w:hideMark/>
          </w:tcPr>
          <w:p w:rsidR="0056539E" w:rsidRPr="00E23B8D" w:rsidRDefault="0056539E" w:rsidP="00E23B8D">
            <w:pPr>
              <w:spacing w:before="60" w:after="60" w:line="240" w:lineRule="exact"/>
              <w:jc w:val="center"/>
              <w:rPr>
                <w:rFonts w:cs="Arial"/>
                <w:color w:val="000000"/>
                <w:szCs w:val="20"/>
                <w:lang w:val="en-US"/>
              </w:rPr>
            </w:pPr>
          </w:p>
        </w:tc>
      </w:tr>
    </w:tbl>
    <w:p w:rsidR="003A4135" w:rsidRDefault="0056539E" w:rsidP="00E23B8D">
      <w:pPr>
        <w:spacing w:before="60" w:line="240" w:lineRule="auto"/>
        <w:rPr>
          <w:sz w:val="16"/>
          <w:szCs w:val="16"/>
        </w:rPr>
      </w:pPr>
      <w:r w:rsidRPr="00CE0CDA">
        <w:rPr>
          <w:sz w:val="16"/>
          <w:szCs w:val="16"/>
          <w:vertAlign w:val="superscript"/>
        </w:rPr>
        <w:t>J</w:t>
      </w:r>
      <w:r w:rsidRPr="00CE0CDA">
        <w:rPr>
          <w:sz w:val="16"/>
          <w:szCs w:val="16"/>
        </w:rPr>
        <w:t xml:space="preserve">= listed under JAMBA; </w:t>
      </w:r>
      <w:r w:rsidRPr="00CE0CDA">
        <w:rPr>
          <w:sz w:val="16"/>
          <w:szCs w:val="16"/>
          <w:vertAlign w:val="superscript"/>
        </w:rPr>
        <w:t>C</w:t>
      </w:r>
      <w:r w:rsidRPr="00CE0CDA">
        <w:rPr>
          <w:sz w:val="16"/>
          <w:szCs w:val="16"/>
        </w:rPr>
        <w:t xml:space="preserve">= listed under CAMBA; </w:t>
      </w:r>
      <w:r w:rsidRPr="00CE0CDA">
        <w:rPr>
          <w:sz w:val="16"/>
          <w:szCs w:val="16"/>
          <w:vertAlign w:val="superscript"/>
        </w:rPr>
        <w:t>R</w:t>
      </w:r>
      <w:r w:rsidRPr="00CE0CDA">
        <w:rPr>
          <w:sz w:val="16"/>
          <w:szCs w:val="16"/>
        </w:rPr>
        <w:t xml:space="preserve">= listed under ROKAMBA; </w:t>
      </w:r>
      <w:r w:rsidRPr="00CE0CDA">
        <w:rPr>
          <w:sz w:val="16"/>
          <w:szCs w:val="16"/>
          <w:vertAlign w:val="superscript"/>
        </w:rPr>
        <w:t>V</w:t>
      </w:r>
      <w:r w:rsidRPr="00CE0CDA">
        <w:rPr>
          <w:sz w:val="16"/>
          <w:szCs w:val="16"/>
        </w:rPr>
        <w:t xml:space="preserve">=Vulnerable (NSW TSC Act); </w:t>
      </w:r>
      <w:r w:rsidRPr="00CE0CDA">
        <w:rPr>
          <w:sz w:val="16"/>
          <w:szCs w:val="16"/>
          <w:vertAlign w:val="superscript"/>
        </w:rPr>
        <w:t>E</w:t>
      </w:r>
      <w:r w:rsidRPr="00CE0CDA">
        <w:rPr>
          <w:sz w:val="16"/>
          <w:szCs w:val="16"/>
        </w:rPr>
        <w:t>= Endangered (NSW TSC Act); *= breeding activity observed</w:t>
      </w:r>
    </w:p>
    <w:p w:rsidR="0056539E" w:rsidRPr="00CE0CDA" w:rsidRDefault="0056539E" w:rsidP="0056539E">
      <w:pPr>
        <w:spacing w:line="240" w:lineRule="auto"/>
        <w:rPr>
          <w:sz w:val="16"/>
          <w:szCs w:val="16"/>
        </w:rPr>
        <w:sectPr w:rsidR="0056539E" w:rsidRPr="00CE0CDA" w:rsidSect="004F411E">
          <w:headerReference w:type="default" r:id="rId203"/>
          <w:footerReference w:type="default" r:id="rId204"/>
          <w:type w:val="nextColumn"/>
          <w:pgSz w:w="23814" w:h="16839" w:orient="landscape" w:code="8"/>
          <w:pgMar w:top="1508" w:right="1219" w:bottom="1457" w:left="1480" w:header="811" w:footer="306" w:gutter="0"/>
          <w:pgNumType w:chapStyle="6"/>
          <w:cols w:space="708"/>
          <w:docGrid w:linePitch="360"/>
        </w:sectPr>
      </w:pPr>
    </w:p>
    <w:p w:rsidR="0056539E" w:rsidRDefault="00B74E7B" w:rsidP="00614391">
      <w:pPr>
        <w:pStyle w:val="Heading9"/>
      </w:pPr>
      <w:r>
        <w:t>Com</w:t>
      </w:r>
      <w:r w:rsidR="0056539E">
        <w:t xml:space="preserve">munity </w:t>
      </w:r>
      <w:r w:rsidR="0056539E" w:rsidRPr="006F614E">
        <w:t>Composition</w:t>
      </w:r>
    </w:p>
    <w:p w:rsidR="0056539E" w:rsidRDefault="0049092F" w:rsidP="009524AD">
      <w:r>
        <w:t xml:space="preserve">The </w:t>
      </w:r>
      <w:r w:rsidR="0056539E" w:rsidRPr="00C93D26">
        <w:t xml:space="preserve">nMDS plots show that there was some separation in the data based on </w:t>
      </w:r>
      <w:r w:rsidR="00605C43">
        <w:t>system</w:t>
      </w:r>
      <w:r>
        <w:t xml:space="preserve"> </w:t>
      </w:r>
      <w:r w:rsidRPr="00C93D26">
        <w:t>(</w:t>
      </w:r>
      <w:r>
        <w:fldChar w:fldCharType="begin"/>
      </w:r>
      <w:r>
        <w:instrText xml:space="preserve"> REF _Ref457995101 \h </w:instrText>
      </w:r>
      <w:r w:rsidR="009524AD">
        <w:instrText xml:space="preserve"> \* MERGEFORMAT </w:instrText>
      </w:r>
      <w:r>
        <w:fldChar w:fldCharType="separate"/>
      </w:r>
      <w:r w:rsidR="005D5925">
        <w:t xml:space="preserve">Figure </w:t>
      </w:r>
      <w:r w:rsidR="005D5925">
        <w:rPr>
          <w:noProof/>
        </w:rPr>
        <w:t>K</w:t>
      </w:r>
      <w:r w:rsidR="005D5925">
        <w:rPr>
          <w:noProof/>
        </w:rPr>
        <w:noBreakHyphen/>
      </w:r>
      <w:r>
        <w:fldChar w:fldCharType="end"/>
      </w:r>
      <w:r w:rsidR="00A97349">
        <w:t>6</w:t>
      </w:r>
      <w:r w:rsidRPr="00C93D26">
        <w:t>)</w:t>
      </w:r>
      <w:r w:rsidR="0056539E" w:rsidRPr="00C93D26">
        <w:t>, and the presence of water.</w:t>
      </w:r>
      <w:r w:rsidR="00A97349">
        <w:t xml:space="preserve"> </w:t>
      </w:r>
      <w:r w:rsidR="0056539E" w:rsidRPr="00C93D26">
        <w:t xml:space="preserve"> Significant differences were observed between </w:t>
      </w:r>
      <w:r w:rsidR="00605C43">
        <w:t>system</w:t>
      </w:r>
      <w:r w:rsidR="0056539E">
        <w:t>s</w:t>
      </w:r>
      <w:r w:rsidR="0056539E" w:rsidRPr="00C93D26">
        <w:t xml:space="preserve"> (PERMANOVA, </w:t>
      </w:r>
      <w:r w:rsidR="0056539E">
        <w:t>pseudo</w:t>
      </w:r>
      <w:r w:rsidR="0056539E" w:rsidRPr="00C93D26">
        <w:t>-F=2.</w:t>
      </w:r>
      <w:r w:rsidR="0056539E">
        <w:t>21</w:t>
      </w:r>
      <w:r w:rsidR="0056539E" w:rsidRPr="00C93D26">
        <w:t>, P</w:t>
      </w:r>
      <w:r w:rsidR="0056539E">
        <w:t>r</w:t>
      </w:r>
      <w:r w:rsidR="0056539E" w:rsidRPr="00C93D26">
        <w:t>&lt;0.0</w:t>
      </w:r>
      <w:r w:rsidR="0056539E">
        <w:t>5</w:t>
      </w:r>
      <w:r w:rsidR="0056539E" w:rsidRPr="00C93D26">
        <w:t>)</w:t>
      </w:r>
      <w:r w:rsidR="0056539E">
        <w:t xml:space="preserve"> and the presence of water </w:t>
      </w:r>
      <w:r w:rsidR="0056539E" w:rsidRPr="00C93D26">
        <w:t>(</w:t>
      </w:r>
      <w:r w:rsidR="0056539E">
        <w:t>pseudo</w:t>
      </w:r>
      <w:r w:rsidR="0056539E" w:rsidRPr="00C93D26">
        <w:t>-F=2.</w:t>
      </w:r>
      <w:r w:rsidR="0056539E">
        <w:t>79</w:t>
      </w:r>
      <w:r w:rsidR="0056539E" w:rsidRPr="00C93D26">
        <w:t>, P</w:t>
      </w:r>
      <w:r w:rsidR="0056539E">
        <w:t>r</w:t>
      </w:r>
      <w:r w:rsidR="0056539E" w:rsidRPr="00C93D26">
        <w:t xml:space="preserve">&lt;0.005), </w:t>
      </w:r>
      <w:r w:rsidR="0056539E">
        <w:t xml:space="preserve">however, the interaction between these two factors was non-significant (Pr=0.59). </w:t>
      </w:r>
      <w:r w:rsidR="00A97349">
        <w:t xml:space="preserve"> </w:t>
      </w:r>
      <w:r w:rsidR="0056539E">
        <w:t>P</w:t>
      </w:r>
      <w:r w:rsidR="0056539E" w:rsidRPr="00C93D26">
        <w:t>airwise tests show</w:t>
      </w:r>
      <w:r w:rsidR="0056539E">
        <w:t>ed</w:t>
      </w:r>
      <w:r w:rsidR="0056539E" w:rsidRPr="00C93D26">
        <w:t xml:space="preserve"> </w:t>
      </w:r>
      <w:r w:rsidR="0056539E">
        <w:t xml:space="preserve">that </w:t>
      </w:r>
      <w:r w:rsidR="0056539E" w:rsidRPr="00C93D26">
        <w:t xml:space="preserve">these </w:t>
      </w:r>
      <w:r w:rsidR="0056539E">
        <w:t xml:space="preserve">trends </w:t>
      </w:r>
      <w:r w:rsidR="0056539E" w:rsidRPr="00C93D26">
        <w:t xml:space="preserve">were </w:t>
      </w:r>
      <w:r w:rsidR="0056539E">
        <w:t>driven by significant differences</w:t>
      </w:r>
      <w:r w:rsidR="0056539E" w:rsidRPr="00C93D26">
        <w:t xml:space="preserve"> between the Gingham and both the Mallowa (P&lt;0.005) and Mehi (P</w:t>
      </w:r>
      <w:r w:rsidR="0056539E">
        <w:t>r</w:t>
      </w:r>
      <w:r>
        <w:t>&lt;005)</w:t>
      </w:r>
      <w:r w:rsidR="0056539E" w:rsidRPr="00C93D26">
        <w:t xml:space="preserve">, the </w:t>
      </w:r>
      <w:r w:rsidR="001C3C04">
        <w:t>lower</w:t>
      </w:r>
      <w:r w:rsidR="0056539E" w:rsidRPr="00C93D26">
        <w:t xml:space="preserve"> Gwydir and both the Mallowa (P&lt;0.005) and Mehi (P&lt;0.005)</w:t>
      </w:r>
      <w:r w:rsidR="0056539E">
        <w:t>, and the Mehi and Mallowa (Pr&lt;0.05)</w:t>
      </w:r>
      <w:r w:rsidR="0056539E" w:rsidRPr="00C93D26">
        <w:t xml:space="preserve">. </w:t>
      </w:r>
      <w:r w:rsidR="00A97349">
        <w:t xml:space="preserve"> </w:t>
      </w:r>
      <w:r w:rsidR="0056539E">
        <w:t xml:space="preserve">Significant differences were also observed between wet and dry sites in the Mallowa </w:t>
      </w:r>
      <w:r w:rsidR="00605C43">
        <w:t>system</w:t>
      </w:r>
      <w:r w:rsidR="0056539E">
        <w:t xml:space="preserve"> (Pr&lt;0.05). </w:t>
      </w:r>
      <w:r w:rsidR="00A97349">
        <w:t xml:space="preserve"> </w:t>
      </w:r>
      <w:r w:rsidR="0056539E">
        <w:t>No s</w:t>
      </w:r>
      <w:r w:rsidR="0056539E" w:rsidRPr="00C93D26">
        <w:t xml:space="preserve">ignificant differences were observed between </w:t>
      </w:r>
      <w:r w:rsidR="0056539E">
        <w:t>survey periods</w:t>
      </w:r>
      <w:r w:rsidR="0056539E" w:rsidRPr="00C93D26">
        <w:t xml:space="preserve"> </w:t>
      </w:r>
      <w:r w:rsidR="0056539E">
        <w:t>(</w:t>
      </w:r>
      <w:r w:rsidR="0056539E" w:rsidRPr="00C93D26">
        <w:t>P</w:t>
      </w:r>
      <w:r w:rsidR="0056539E">
        <w:t>r=0.66</w:t>
      </w:r>
      <w:r w:rsidR="0056539E" w:rsidRPr="00C93D26">
        <w:t>)</w:t>
      </w:r>
      <w:r w:rsidR="0056539E">
        <w:t xml:space="preserve">, </w:t>
      </w:r>
      <w:r>
        <w:t>al</w:t>
      </w:r>
      <w:r w:rsidR="0056539E">
        <w:t xml:space="preserve">though sites that were sampled in November tended to show </w:t>
      </w:r>
      <w:r>
        <w:t>more similarity</w:t>
      </w:r>
      <w:r w:rsidR="0056539E">
        <w:t>, especially within wet sites, suggesting more similar community composition within these sites (</w:t>
      </w:r>
      <w:r w:rsidR="0056539E">
        <w:fldChar w:fldCharType="begin"/>
      </w:r>
      <w:r w:rsidR="0056539E">
        <w:instrText xml:space="preserve"> REF _Ref453095985 \h </w:instrText>
      </w:r>
      <w:r w:rsidR="009524AD">
        <w:instrText xml:space="preserve"> \* MERGEFORMAT </w:instrText>
      </w:r>
      <w:r w:rsidR="0056539E">
        <w:fldChar w:fldCharType="separate"/>
      </w:r>
      <w:r w:rsidR="005D5925">
        <w:t xml:space="preserve">Figure </w:t>
      </w:r>
      <w:r w:rsidR="005D5925">
        <w:rPr>
          <w:noProof/>
        </w:rPr>
        <w:t>K</w:t>
      </w:r>
      <w:r w:rsidR="005D5925">
        <w:rPr>
          <w:noProof/>
        </w:rPr>
        <w:noBreakHyphen/>
      </w:r>
      <w:r w:rsidR="0056539E">
        <w:fldChar w:fldCharType="end"/>
      </w:r>
      <w:r w:rsidR="00A97349">
        <w:t>7</w:t>
      </w:r>
      <w:r w:rsidR="0056539E">
        <w:t xml:space="preserve">). </w:t>
      </w:r>
      <w:r w:rsidR="00A97349">
        <w:t xml:space="preserve"> </w:t>
      </w:r>
      <w:r w:rsidR="0056539E">
        <w:t>Sites surveyed in March that were dry showed the largest differences in community structure.</w:t>
      </w:r>
    </w:p>
    <w:p w:rsidR="0056539E" w:rsidRPr="00CA18EE" w:rsidRDefault="0056539E" w:rsidP="0056539E"/>
    <w:p w:rsidR="00A97349" w:rsidRDefault="004176FF" w:rsidP="00A97349">
      <w:pPr>
        <w:keepNext/>
        <w:spacing w:line="240" w:lineRule="auto"/>
      </w:pPr>
      <w:r w:rsidRPr="008F5E11">
        <w:rPr>
          <w:noProof/>
          <w:lang w:eastAsia="en-AU"/>
        </w:rPr>
        <w:drawing>
          <wp:inline distT="0" distB="0" distL="0" distR="0">
            <wp:extent cx="5781675" cy="4152900"/>
            <wp:effectExtent l="0" t="0" r="0" b="0"/>
            <wp:docPr id="109" name="Chart 2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rsidR="0056539E" w:rsidRDefault="00DF13D6" w:rsidP="00DF13D6">
      <w:pPr>
        <w:pStyle w:val="Caption"/>
      </w:pPr>
      <w:bookmarkStart w:id="179" w:name="_Ref457995101"/>
      <w:r>
        <w:t xml:space="preserve">Figure </w:t>
      </w:r>
      <w:fldSimple w:instr=" STYLEREF 6 \s ">
        <w:r w:rsidR="005D5925">
          <w:rPr>
            <w:noProof/>
          </w:rPr>
          <w:t>K</w:t>
        </w:r>
      </w:fldSimple>
      <w:r w:rsidR="00A97349">
        <w:noBreakHyphen/>
      </w:r>
      <w:bookmarkEnd w:id="179"/>
      <w:r w:rsidR="00A97349">
        <w:t>6</w:t>
      </w:r>
      <w:r>
        <w:t xml:space="preserve"> </w:t>
      </w:r>
      <w:r w:rsidRPr="00007EDA">
        <w:t>nMDS plot of waterbird species abundance data in 2015-16 grouped by wetland.</w:t>
      </w:r>
    </w:p>
    <w:p w:rsidR="0056539E" w:rsidRPr="0054790B" w:rsidRDefault="0056539E" w:rsidP="0056539E"/>
    <w:p w:rsidR="0056539E" w:rsidRDefault="004176FF" w:rsidP="00862795">
      <w:pPr>
        <w:keepNext/>
        <w:spacing w:line="240" w:lineRule="auto"/>
        <w:jc w:val="left"/>
      </w:pPr>
      <w:r w:rsidRPr="008F5E11">
        <w:rPr>
          <w:noProof/>
          <w:lang w:eastAsia="en-AU"/>
        </w:rPr>
        <w:drawing>
          <wp:inline distT="0" distB="0" distL="0" distR="0">
            <wp:extent cx="5619750" cy="3924300"/>
            <wp:effectExtent l="0" t="0" r="0" b="0"/>
            <wp:docPr id="110" name="Chart 2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rsidR="0056539E" w:rsidRDefault="0056539E" w:rsidP="0056539E">
      <w:pPr>
        <w:pStyle w:val="Caption"/>
      </w:pPr>
      <w:bookmarkStart w:id="180" w:name="_Ref453095985"/>
      <w:r>
        <w:t xml:space="preserve">Figure </w:t>
      </w:r>
      <w:fldSimple w:instr=" STYLEREF 6 \s ">
        <w:r w:rsidR="005D5925">
          <w:rPr>
            <w:noProof/>
          </w:rPr>
          <w:t>K</w:t>
        </w:r>
      </w:fldSimple>
      <w:r w:rsidR="00A97349">
        <w:noBreakHyphen/>
      </w:r>
      <w:bookmarkEnd w:id="180"/>
      <w:r w:rsidR="00A97349">
        <w:t>7</w:t>
      </w:r>
      <w:r>
        <w:t xml:space="preserve"> </w:t>
      </w:r>
      <w:r w:rsidRPr="002164A2">
        <w:t>nMDS plot of waterbird species abundance data in 2015-16 grouped by sampling season and the presence of water (wet) or not (dry).</w:t>
      </w:r>
      <w:r w:rsidRPr="00F82712">
        <w:t xml:space="preserve"> </w:t>
      </w:r>
    </w:p>
    <w:p w:rsidR="0056539E" w:rsidRPr="00CE0CDA" w:rsidRDefault="0056539E" w:rsidP="0056539E"/>
    <w:p w:rsidR="0056539E" w:rsidRDefault="0056539E" w:rsidP="00265A6B">
      <w:pPr>
        <w:pStyle w:val="Heading9"/>
      </w:pPr>
      <w:r>
        <w:t>Waterbird breeding</w:t>
      </w:r>
    </w:p>
    <w:p w:rsidR="0056539E" w:rsidRDefault="0049092F" w:rsidP="009524AD">
      <w:r>
        <w:t>W</w:t>
      </w:r>
      <w:r w:rsidR="00744677">
        <w:t xml:space="preserve">aterbird breeding activity was low across the survey sites. </w:t>
      </w:r>
      <w:r w:rsidR="0056539E">
        <w:t>Waterbird breeding activity was observed at 1</w:t>
      </w:r>
      <w:r w:rsidR="00744677">
        <w:t>3 sites in November 2015 and 3</w:t>
      </w:r>
      <w:r w:rsidR="0056539E">
        <w:t xml:space="preserve"> sites in March 2016 (</w:t>
      </w:r>
      <w:r w:rsidR="00407C88">
        <w:fldChar w:fldCharType="begin"/>
      </w:r>
      <w:r w:rsidR="00407C88">
        <w:instrText xml:space="preserve"> REF _Ref457995400 \h </w:instrText>
      </w:r>
      <w:r w:rsidR="009524AD">
        <w:instrText xml:space="preserve"> \* MERGEFORMAT </w:instrText>
      </w:r>
      <w:r w:rsidR="00407C88">
        <w:fldChar w:fldCharType="separate"/>
      </w:r>
      <w:r w:rsidR="005D5925">
        <w:t xml:space="preserve">Table </w:t>
      </w:r>
      <w:r w:rsidR="005D5925">
        <w:rPr>
          <w:noProof/>
        </w:rPr>
        <w:t>K</w:t>
      </w:r>
      <w:r w:rsidR="005D5925">
        <w:rPr>
          <w:noProof/>
        </w:rPr>
        <w:noBreakHyphen/>
      </w:r>
      <w:r w:rsidR="00407C88">
        <w:fldChar w:fldCharType="end"/>
      </w:r>
      <w:r w:rsidR="0056539E">
        <w:t xml:space="preserve">). </w:t>
      </w:r>
      <w:r w:rsidR="00A97349">
        <w:t xml:space="preserve"> </w:t>
      </w:r>
      <w:r w:rsidR="0056539E">
        <w:t xml:space="preserve">Active breeding, or evidence of breeding activity was observed in </w:t>
      </w:r>
      <w:r w:rsidR="00744677">
        <w:t>16</w:t>
      </w:r>
      <w:r w:rsidR="0056539E">
        <w:t xml:space="preserve"> species in the 2015-16 water year (</w:t>
      </w:r>
      <w:r w:rsidR="0056539E">
        <w:fldChar w:fldCharType="begin"/>
      </w:r>
      <w:r w:rsidR="0056539E">
        <w:instrText xml:space="preserve"> REF _Ref453096042 \h </w:instrText>
      </w:r>
      <w:r w:rsidR="009524AD">
        <w:instrText xml:space="preserve"> \* MERGEFORMAT </w:instrText>
      </w:r>
      <w:r w:rsidR="0056539E">
        <w:fldChar w:fldCharType="separate"/>
      </w:r>
      <w:r w:rsidR="005D5925">
        <w:t xml:space="preserve">Table </w:t>
      </w:r>
      <w:r w:rsidR="005D5925">
        <w:rPr>
          <w:noProof/>
        </w:rPr>
        <w:t>K</w:t>
      </w:r>
      <w:r w:rsidR="005D5925">
        <w:rPr>
          <w:noProof/>
        </w:rPr>
        <w:noBreakHyphen/>
      </w:r>
      <w:r w:rsidR="0056539E">
        <w:fldChar w:fldCharType="end"/>
      </w:r>
      <w:r w:rsidR="0056539E">
        <w:t xml:space="preserve">), representing 9 of the 10 functional groups (migratory charadriiform shorebirds are non-breeding migrants to Australia). </w:t>
      </w:r>
      <w:r w:rsidR="006004AC">
        <w:t xml:space="preserve"> </w:t>
      </w:r>
      <w:r w:rsidR="0056539E">
        <w:t>Piscivores and Australian-breeding charadriiform shorebirds recorded the highest observed breeding activity, followed by raptors, dabbling and filter-feeding ducks and reed-inhabiting passerines. All sites where evidence of breeding activity was recorded had an inundated area of 5% or greater</w:t>
      </w:r>
      <w:r w:rsidR="00744677">
        <w:t>.</w:t>
      </w:r>
      <w:r w:rsidR="0056539E">
        <w:t xml:space="preserve"> </w:t>
      </w:r>
    </w:p>
    <w:p w:rsidR="0056539E" w:rsidRDefault="0056539E" w:rsidP="0056539E">
      <w:pPr>
        <w:pStyle w:val="Caption"/>
        <w:keepNext/>
      </w:pPr>
      <w:bookmarkStart w:id="181" w:name="_Ref453096042"/>
      <w:bookmarkStart w:id="182" w:name="_Ref457995400"/>
      <w:r>
        <w:t xml:space="preserve">Table </w:t>
      </w:r>
      <w:fldSimple w:instr=" STYLEREF 6 \s ">
        <w:r w:rsidR="005D5925">
          <w:rPr>
            <w:noProof/>
          </w:rPr>
          <w:t>K</w:t>
        </w:r>
      </w:fldSimple>
      <w:r w:rsidR="005D4453">
        <w:noBreakHyphen/>
      </w:r>
      <w:bookmarkEnd w:id="181"/>
      <w:bookmarkEnd w:id="182"/>
      <w:r w:rsidR="006004AC">
        <w:t>5</w:t>
      </w:r>
      <w:r>
        <w:t xml:space="preserve"> </w:t>
      </w:r>
      <w:r w:rsidRPr="00B50A1F">
        <w:t xml:space="preserve">Summary of breeding activity </w:t>
      </w:r>
      <w:r>
        <w:t xml:space="preserve">observed </w:t>
      </w:r>
      <w:r w:rsidRPr="00B50A1F">
        <w:t xml:space="preserve">over the 2015-16 </w:t>
      </w:r>
      <w:r>
        <w:t>water year</w:t>
      </w:r>
      <w:r w:rsidRPr="00B50A1F">
        <w:t>.</w:t>
      </w:r>
    </w:p>
    <w:tbl>
      <w:tblPr>
        <w:tblW w:w="5000"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1993"/>
        <w:gridCol w:w="2265"/>
        <w:gridCol w:w="1702"/>
        <w:gridCol w:w="2120"/>
      </w:tblGrid>
      <w:tr w:rsidR="005F23F1" w:rsidRPr="00E23B8D" w:rsidTr="00CC18AA">
        <w:trPr>
          <w:trHeight w:val="931"/>
          <w:tblHeader/>
        </w:trPr>
        <w:tc>
          <w:tcPr>
            <w:tcW w:w="613" w:type="pct"/>
            <w:shd w:val="clear" w:color="auto" w:fill="D9D9D9"/>
            <w:noWrap/>
            <w:vAlign w:val="center"/>
            <w:hideMark/>
          </w:tcPr>
          <w:p w:rsidR="003E108C" w:rsidRPr="00CC18AA" w:rsidRDefault="003E108C" w:rsidP="00CC18AA">
            <w:pPr>
              <w:spacing w:before="60" w:after="60"/>
              <w:jc w:val="center"/>
              <w:rPr>
                <w:rFonts w:cs="Arial"/>
                <w:bCs/>
                <w:szCs w:val="20"/>
                <w:lang w:val="en-US"/>
              </w:rPr>
            </w:pPr>
            <w:r w:rsidRPr="00CC18AA">
              <w:rPr>
                <w:rFonts w:cs="Arial"/>
                <w:bCs/>
                <w:szCs w:val="20"/>
                <w:lang w:val="en-US"/>
              </w:rPr>
              <w:t>Survey period</w:t>
            </w:r>
          </w:p>
        </w:tc>
        <w:tc>
          <w:tcPr>
            <w:tcW w:w="1082" w:type="pct"/>
            <w:shd w:val="clear" w:color="auto" w:fill="D9D9D9"/>
            <w:noWrap/>
            <w:vAlign w:val="center"/>
            <w:hideMark/>
          </w:tcPr>
          <w:p w:rsidR="003E108C" w:rsidRPr="00CC18AA" w:rsidRDefault="003E108C" w:rsidP="00CC18AA">
            <w:pPr>
              <w:spacing w:before="60" w:after="60"/>
              <w:jc w:val="center"/>
              <w:rPr>
                <w:rFonts w:cs="Arial"/>
                <w:bCs/>
                <w:szCs w:val="20"/>
                <w:lang w:val="en-US"/>
              </w:rPr>
            </w:pPr>
            <w:r w:rsidRPr="00CC18AA">
              <w:rPr>
                <w:rFonts w:cs="Arial"/>
                <w:bCs/>
                <w:szCs w:val="20"/>
                <w:lang w:val="en-US"/>
              </w:rPr>
              <w:t>Site name</w:t>
            </w:r>
          </w:p>
        </w:tc>
        <w:tc>
          <w:tcPr>
            <w:tcW w:w="1230" w:type="pct"/>
            <w:shd w:val="clear" w:color="auto" w:fill="D9D9D9"/>
            <w:noWrap/>
            <w:vAlign w:val="center"/>
            <w:hideMark/>
          </w:tcPr>
          <w:p w:rsidR="003E108C" w:rsidRPr="00CC18AA" w:rsidRDefault="003E108C" w:rsidP="00CC18AA">
            <w:pPr>
              <w:spacing w:before="60" w:after="60"/>
              <w:jc w:val="center"/>
              <w:rPr>
                <w:rFonts w:cs="Arial"/>
                <w:bCs/>
                <w:szCs w:val="20"/>
                <w:lang w:val="en-US"/>
              </w:rPr>
            </w:pPr>
            <w:r w:rsidRPr="00CC18AA">
              <w:rPr>
                <w:rFonts w:cs="Arial"/>
                <w:bCs/>
                <w:szCs w:val="20"/>
                <w:lang w:val="en-US"/>
              </w:rPr>
              <w:t>Common name</w:t>
            </w:r>
          </w:p>
        </w:tc>
        <w:tc>
          <w:tcPr>
            <w:tcW w:w="924" w:type="pct"/>
            <w:shd w:val="clear" w:color="auto" w:fill="D9D9D9"/>
            <w:noWrap/>
            <w:vAlign w:val="center"/>
            <w:hideMark/>
          </w:tcPr>
          <w:p w:rsidR="003E108C" w:rsidRPr="00CC18AA" w:rsidRDefault="00CD3111" w:rsidP="00CC18AA">
            <w:pPr>
              <w:spacing w:before="60" w:after="60"/>
              <w:jc w:val="center"/>
              <w:rPr>
                <w:rFonts w:cs="Arial"/>
                <w:bCs/>
                <w:szCs w:val="20"/>
                <w:lang w:val="en-US"/>
              </w:rPr>
            </w:pPr>
            <w:r w:rsidRPr="00CC18AA">
              <w:rPr>
                <w:rFonts w:cs="Arial"/>
                <w:bCs/>
                <w:szCs w:val="20"/>
                <w:lang w:val="en-US"/>
              </w:rPr>
              <w:t xml:space="preserve">Breeding activity </w:t>
            </w:r>
            <w:r w:rsidR="003E108C" w:rsidRPr="00CC18AA">
              <w:rPr>
                <w:rFonts w:cs="Arial"/>
                <w:bCs/>
                <w:szCs w:val="20"/>
                <w:lang w:val="en-US"/>
              </w:rPr>
              <w:t>(# broods or nests)</w:t>
            </w:r>
          </w:p>
        </w:tc>
        <w:tc>
          <w:tcPr>
            <w:tcW w:w="1151" w:type="pct"/>
            <w:shd w:val="clear" w:color="auto" w:fill="D9D9D9"/>
            <w:noWrap/>
            <w:vAlign w:val="center"/>
            <w:hideMark/>
          </w:tcPr>
          <w:p w:rsidR="003E108C" w:rsidRPr="00CC18AA" w:rsidRDefault="003E108C" w:rsidP="00CC18AA">
            <w:pPr>
              <w:spacing w:before="60" w:after="60"/>
              <w:jc w:val="center"/>
              <w:rPr>
                <w:rFonts w:cs="Arial"/>
                <w:bCs/>
                <w:szCs w:val="20"/>
                <w:lang w:val="en-US"/>
              </w:rPr>
            </w:pPr>
            <w:r w:rsidRPr="00CC18AA">
              <w:rPr>
                <w:rFonts w:cs="Arial"/>
                <w:bCs/>
                <w:szCs w:val="20"/>
                <w:lang w:val="en-US"/>
              </w:rPr>
              <w:t>Notes and additional e</w:t>
            </w:r>
            <w:r w:rsidR="00CD3111" w:rsidRPr="00CC18AA">
              <w:rPr>
                <w:rFonts w:cs="Arial"/>
                <w:bCs/>
                <w:szCs w:val="20"/>
                <w:lang w:val="en-US"/>
              </w:rPr>
              <w:t>vidence of breeding</w:t>
            </w:r>
          </w:p>
        </w:tc>
      </w:tr>
      <w:tr w:rsidR="005F23F1" w:rsidRPr="00E23B8D" w:rsidTr="00CC18AA">
        <w:trPr>
          <w:trHeight w:val="255"/>
        </w:trPr>
        <w:tc>
          <w:tcPr>
            <w:tcW w:w="613" w:type="pct"/>
            <w:vMerge w:val="restart"/>
            <w:shd w:val="clear" w:color="auto" w:fill="auto"/>
            <w:noWrap/>
            <w:textDirection w:val="btLr"/>
            <w:hideMark/>
          </w:tcPr>
          <w:p w:rsidR="003E108C" w:rsidRPr="00CC18AA" w:rsidRDefault="003E108C" w:rsidP="00CC18AA">
            <w:pPr>
              <w:spacing w:before="60" w:after="60"/>
              <w:ind w:left="113" w:right="113"/>
              <w:jc w:val="center"/>
              <w:rPr>
                <w:rFonts w:cs="Arial"/>
                <w:bCs/>
                <w:szCs w:val="20"/>
                <w:lang w:val="en-US"/>
              </w:rPr>
            </w:pPr>
            <w:r w:rsidRPr="00CC18AA">
              <w:rPr>
                <w:rFonts w:cs="Arial"/>
                <w:bCs/>
                <w:szCs w:val="20"/>
                <w:lang w:val="en-US"/>
              </w:rPr>
              <w:t>November 2015</w:t>
            </w:r>
          </w:p>
        </w:tc>
        <w:tc>
          <w:tcPr>
            <w:tcW w:w="1082" w:type="pct"/>
            <w:vMerge w:val="restar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Boyanga Waterhole</w:t>
            </w:r>
          </w:p>
        </w:tc>
        <w:tc>
          <w:tcPr>
            <w:tcW w:w="1230" w:type="pct"/>
            <w:shd w:val="clear" w:color="auto" w:fill="auto"/>
            <w:noWrap/>
            <w:hideMark/>
          </w:tcPr>
          <w:p w:rsidR="003E108C" w:rsidRPr="00CC18AA" w:rsidRDefault="003E108C" w:rsidP="00CC18AA">
            <w:pPr>
              <w:spacing w:before="60" w:after="60"/>
              <w:rPr>
                <w:rFonts w:cs="Arial"/>
                <w:szCs w:val="20"/>
                <w:lang w:val="en-US"/>
              </w:rPr>
            </w:pPr>
            <w:r w:rsidRPr="00CC18AA">
              <w:rPr>
                <w:rFonts w:cs="Arial"/>
                <w:szCs w:val="20"/>
                <w:lang w:val="en-US"/>
              </w:rPr>
              <w:t>black-fronted dotterel</w:t>
            </w:r>
          </w:p>
        </w:tc>
        <w:tc>
          <w:tcPr>
            <w:tcW w:w="924" w:type="pct"/>
            <w:shd w:val="clear" w:color="auto" w:fill="auto"/>
            <w:noWrap/>
            <w:vAlign w:val="center"/>
            <w:hideMark/>
          </w:tcPr>
          <w:p w:rsidR="003E108C" w:rsidRPr="00CC18AA" w:rsidRDefault="003E108C" w:rsidP="00CC18AA">
            <w:pPr>
              <w:spacing w:before="60" w:after="60"/>
              <w:jc w:val="center"/>
              <w:rPr>
                <w:rFonts w:cs="Arial"/>
                <w:szCs w:val="20"/>
                <w:lang w:val="en-US"/>
              </w:rPr>
            </w:pPr>
            <w:r w:rsidRPr="00CC18AA">
              <w:rPr>
                <w:rFonts w:cs="Arial"/>
                <w:szCs w:val="20"/>
                <w:lang w:val="en-US"/>
              </w:rPr>
              <w:t>1</w:t>
            </w:r>
          </w:p>
        </w:tc>
        <w:tc>
          <w:tcPr>
            <w:tcW w:w="1151" w:type="pct"/>
            <w:shd w:val="clear" w:color="auto" w:fill="auto"/>
            <w:noWrap/>
            <w:hideMark/>
          </w:tcPr>
          <w:p w:rsidR="003E108C" w:rsidRPr="00CC18AA" w:rsidRDefault="003E108C" w:rsidP="00CC18AA">
            <w:pPr>
              <w:spacing w:before="60" w:after="60"/>
              <w:rPr>
                <w:rFonts w:cs="Arial"/>
                <w:szCs w:val="20"/>
                <w:lang w:val="en-US"/>
              </w:rPr>
            </w:pPr>
            <w:r w:rsidRPr="00CC18AA">
              <w:rPr>
                <w:rFonts w:cs="Arial"/>
                <w:szCs w:val="20"/>
                <w:lang w:val="en-US"/>
              </w:rPr>
              <w:t>1 juvenile</w:t>
            </w:r>
          </w:p>
        </w:tc>
      </w:tr>
      <w:tr w:rsidR="005F23F1" w:rsidRPr="00E23B8D" w:rsidTr="00CC18AA">
        <w:trPr>
          <w:trHeight w:val="255"/>
        </w:trPr>
        <w:tc>
          <w:tcPr>
            <w:tcW w:w="613" w:type="pct"/>
            <w:vMerge/>
            <w:shd w:val="clear" w:color="auto" w:fill="auto"/>
            <w:noWrap/>
            <w:hideMark/>
          </w:tcPr>
          <w:p w:rsidR="003E108C" w:rsidRPr="00CC18AA" w:rsidRDefault="003E108C" w:rsidP="00CC18AA">
            <w:pPr>
              <w:spacing w:before="60" w:after="60"/>
              <w:rPr>
                <w:rFonts w:cs="Arial"/>
                <w:bCs/>
                <w:szCs w:val="20"/>
                <w:lang w:val="en-US"/>
              </w:rPr>
            </w:pPr>
          </w:p>
        </w:tc>
        <w:tc>
          <w:tcPr>
            <w:tcW w:w="1082" w:type="pct"/>
            <w:vMerge/>
            <w:shd w:val="clear" w:color="auto" w:fill="auto"/>
            <w:noWrap/>
            <w:vAlign w:val="center"/>
            <w:hideMark/>
          </w:tcPr>
          <w:p w:rsidR="003E108C" w:rsidRPr="00CC18AA" w:rsidRDefault="003E108C" w:rsidP="00CC18AA">
            <w:pPr>
              <w:spacing w:before="60" w:after="60"/>
              <w:jc w:val="left"/>
              <w:rPr>
                <w:rFonts w:cs="Arial"/>
                <w:szCs w:val="20"/>
                <w:lang w:val="en-US"/>
              </w:rPr>
            </w:pPr>
          </w:p>
        </w:tc>
        <w:tc>
          <w:tcPr>
            <w:tcW w:w="1230" w:type="pct"/>
            <w:shd w:val="clear" w:color="auto" w:fill="auto"/>
            <w:noWrap/>
            <w:hideMark/>
          </w:tcPr>
          <w:p w:rsidR="003E108C" w:rsidRPr="00CC18AA" w:rsidRDefault="003E108C" w:rsidP="00CC18AA">
            <w:pPr>
              <w:spacing w:before="60" w:after="60"/>
              <w:rPr>
                <w:rFonts w:cs="Arial"/>
                <w:szCs w:val="20"/>
                <w:lang w:val="en-US"/>
              </w:rPr>
            </w:pPr>
            <w:r w:rsidRPr="00CC18AA">
              <w:rPr>
                <w:rFonts w:cs="Arial"/>
                <w:szCs w:val="20"/>
                <w:lang w:val="en-US"/>
              </w:rPr>
              <w:t>black-fronted dotterel</w:t>
            </w:r>
          </w:p>
        </w:tc>
        <w:tc>
          <w:tcPr>
            <w:tcW w:w="924" w:type="pct"/>
            <w:shd w:val="clear" w:color="auto" w:fill="auto"/>
            <w:noWrap/>
            <w:vAlign w:val="center"/>
            <w:hideMark/>
          </w:tcPr>
          <w:p w:rsidR="003E108C" w:rsidRPr="00CC18AA" w:rsidRDefault="003E108C" w:rsidP="00CC18AA">
            <w:pPr>
              <w:spacing w:before="60" w:after="60"/>
              <w:jc w:val="center"/>
              <w:rPr>
                <w:rFonts w:cs="Arial"/>
                <w:szCs w:val="20"/>
                <w:lang w:val="en-US"/>
              </w:rPr>
            </w:pPr>
            <w:r w:rsidRPr="00CC18AA">
              <w:rPr>
                <w:rFonts w:cs="Arial"/>
                <w:szCs w:val="20"/>
                <w:lang w:val="en-US"/>
              </w:rPr>
              <w:t>1</w:t>
            </w:r>
          </w:p>
        </w:tc>
        <w:tc>
          <w:tcPr>
            <w:tcW w:w="1151" w:type="pct"/>
            <w:shd w:val="clear" w:color="auto" w:fill="auto"/>
            <w:noWrap/>
            <w:hideMark/>
          </w:tcPr>
          <w:p w:rsidR="003E108C" w:rsidRPr="00CC18AA" w:rsidRDefault="003E108C" w:rsidP="00CC18AA">
            <w:pPr>
              <w:spacing w:before="60" w:after="60"/>
              <w:rPr>
                <w:rFonts w:cs="Arial"/>
                <w:szCs w:val="20"/>
                <w:lang w:val="en-US"/>
              </w:rPr>
            </w:pPr>
            <w:r w:rsidRPr="00CC18AA">
              <w:rPr>
                <w:rFonts w:cs="Arial"/>
                <w:szCs w:val="20"/>
                <w:lang w:val="en-US"/>
              </w:rPr>
              <w:t>2 juveniles</w:t>
            </w:r>
          </w:p>
        </w:tc>
      </w:tr>
      <w:tr w:rsidR="005F23F1" w:rsidRPr="00E23B8D" w:rsidTr="00CC18AA">
        <w:trPr>
          <w:trHeight w:val="255"/>
        </w:trPr>
        <w:tc>
          <w:tcPr>
            <w:tcW w:w="613" w:type="pct"/>
            <w:vMerge/>
            <w:shd w:val="clear" w:color="auto" w:fill="auto"/>
            <w:noWrap/>
            <w:hideMark/>
          </w:tcPr>
          <w:p w:rsidR="003E108C" w:rsidRPr="00CC18AA" w:rsidRDefault="003E108C" w:rsidP="00CC18AA">
            <w:pPr>
              <w:spacing w:before="60" w:after="60"/>
              <w:rPr>
                <w:rFonts w:cs="Arial"/>
                <w:bCs/>
                <w:szCs w:val="20"/>
                <w:lang w:val="en-US"/>
              </w:rPr>
            </w:pPr>
          </w:p>
        </w:tc>
        <w:tc>
          <w:tcPr>
            <w:tcW w:w="1082" w:type="pct"/>
            <w:vMerge/>
            <w:shd w:val="clear" w:color="auto" w:fill="auto"/>
            <w:noWrap/>
            <w:vAlign w:val="center"/>
            <w:hideMark/>
          </w:tcPr>
          <w:p w:rsidR="003E108C" w:rsidRPr="00CC18AA" w:rsidRDefault="003E108C" w:rsidP="00CC18AA">
            <w:pPr>
              <w:spacing w:before="60" w:after="60"/>
              <w:jc w:val="left"/>
              <w:rPr>
                <w:rFonts w:cs="Arial"/>
                <w:szCs w:val="20"/>
                <w:lang w:val="en-US"/>
              </w:rPr>
            </w:pPr>
          </w:p>
        </w:tc>
        <w:tc>
          <w:tcPr>
            <w:tcW w:w="1230" w:type="pct"/>
            <w:shd w:val="clear" w:color="auto" w:fill="auto"/>
            <w:noWrap/>
            <w:hideMark/>
          </w:tcPr>
          <w:p w:rsidR="003E108C" w:rsidRPr="00CC18AA" w:rsidRDefault="003E108C" w:rsidP="00CC18AA">
            <w:pPr>
              <w:spacing w:before="60" w:after="60"/>
              <w:jc w:val="left"/>
              <w:rPr>
                <w:rFonts w:cs="Arial"/>
                <w:szCs w:val="20"/>
                <w:lang w:val="en-US"/>
              </w:rPr>
            </w:pPr>
            <w:r w:rsidRPr="00CC18AA">
              <w:rPr>
                <w:rFonts w:cs="Arial"/>
                <w:szCs w:val="20"/>
                <w:lang w:val="en-US"/>
              </w:rPr>
              <w:t>Australian reed-warbler</w:t>
            </w:r>
          </w:p>
        </w:tc>
        <w:tc>
          <w:tcPr>
            <w:tcW w:w="924" w:type="pct"/>
            <w:shd w:val="clear" w:color="auto" w:fill="auto"/>
            <w:noWrap/>
            <w:vAlign w:val="center"/>
            <w:hideMark/>
          </w:tcPr>
          <w:p w:rsidR="003E108C" w:rsidRPr="00CC18AA" w:rsidRDefault="003E108C" w:rsidP="00CC18AA">
            <w:pPr>
              <w:spacing w:before="60" w:after="60"/>
              <w:jc w:val="center"/>
              <w:rPr>
                <w:rFonts w:cs="Arial"/>
                <w:szCs w:val="20"/>
                <w:lang w:val="en-US"/>
              </w:rPr>
            </w:pPr>
            <w:r w:rsidRPr="00CC18AA">
              <w:rPr>
                <w:rFonts w:cs="Arial"/>
                <w:szCs w:val="20"/>
                <w:lang w:val="en-US"/>
              </w:rPr>
              <w:t>1</w:t>
            </w:r>
          </w:p>
        </w:tc>
        <w:tc>
          <w:tcPr>
            <w:tcW w:w="1151" w:type="pct"/>
            <w:shd w:val="clear" w:color="auto" w:fill="auto"/>
            <w:noWrap/>
            <w:hideMark/>
          </w:tcPr>
          <w:p w:rsidR="003E108C" w:rsidRPr="00CC18AA" w:rsidRDefault="003E108C" w:rsidP="00CC18AA">
            <w:pPr>
              <w:spacing w:before="60" w:after="60"/>
              <w:rPr>
                <w:rFonts w:cs="Arial"/>
                <w:szCs w:val="20"/>
                <w:lang w:val="en-US"/>
              </w:rPr>
            </w:pPr>
            <w:r w:rsidRPr="00CC18AA">
              <w:rPr>
                <w:rFonts w:cs="Arial"/>
                <w:szCs w:val="20"/>
                <w:lang w:val="en-US"/>
              </w:rPr>
              <w:t>with young</w:t>
            </w:r>
          </w:p>
        </w:tc>
      </w:tr>
      <w:tr w:rsidR="005F23F1" w:rsidRPr="00E23B8D" w:rsidTr="00CC18AA">
        <w:trPr>
          <w:trHeight w:val="255"/>
        </w:trPr>
        <w:tc>
          <w:tcPr>
            <w:tcW w:w="613" w:type="pct"/>
            <w:vMerge/>
            <w:shd w:val="clear" w:color="auto" w:fill="auto"/>
            <w:noWrap/>
            <w:hideMark/>
          </w:tcPr>
          <w:p w:rsidR="003E108C" w:rsidRPr="00CC18AA" w:rsidRDefault="003E108C" w:rsidP="00CC18AA">
            <w:pPr>
              <w:spacing w:before="60" w:after="60"/>
              <w:rPr>
                <w:rFonts w:cs="Arial"/>
                <w:bCs/>
                <w:szCs w:val="20"/>
                <w:lang w:val="en-US"/>
              </w:rPr>
            </w:pPr>
          </w:p>
        </w:tc>
        <w:tc>
          <w:tcPr>
            <w:tcW w:w="1082"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Combadello Weir</w:t>
            </w:r>
          </w:p>
        </w:tc>
        <w:tc>
          <w:tcPr>
            <w:tcW w:w="1230" w:type="pct"/>
            <w:shd w:val="clear" w:color="auto" w:fill="auto"/>
            <w:noWrap/>
            <w:hideMark/>
          </w:tcPr>
          <w:p w:rsidR="003E108C" w:rsidRPr="00CC18AA" w:rsidRDefault="003E108C" w:rsidP="00CC18AA">
            <w:pPr>
              <w:spacing w:before="60" w:after="60"/>
              <w:rPr>
                <w:rFonts w:cs="Arial"/>
                <w:szCs w:val="20"/>
                <w:lang w:val="en-US"/>
              </w:rPr>
            </w:pPr>
            <w:r w:rsidRPr="00CC18AA">
              <w:rPr>
                <w:rFonts w:cs="Arial"/>
                <w:szCs w:val="20"/>
                <w:lang w:val="en-US"/>
              </w:rPr>
              <w:t>Pacific black duck</w:t>
            </w:r>
          </w:p>
        </w:tc>
        <w:tc>
          <w:tcPr>
            <w:tcW w:w="924" w:type="pct"/>
            <w:shd w:val="clear" w:color="auto" w:fill="auto"/>
            <w:noWrap/>
            <w:vAlign w:val="center"/>
            <w:hideMark/>
          </w:tcPr>
          <w:p w:rsidR="003E108C" w:rsidRPr="00CC18AA" w:rsidRDefault="003E108C" w:rsidP="00CC18AA">
            <w:pPr>
              <w:spacing w:before="60" w:after="60"/>
              <w:jc w:val="center"/>
              <w:rPr>
                <w:rFonts w:cs="Arial"/>
                <w:szCs w:val="20"/>
                <w:lang w:val="en-US"/>
              </w:rPr>
            </w:pPr>
            <w:r w:rsidRPr="00CC18AA">
              <w:rPr>
                <w:rFonts w:cs="Arial"/>
                <w:szCs w:val="20"/>
                <w:lang w:val="en-US"/>
              </w:rPr>
              <w:t>1</w:t>
            </w:r>
          </w:p>
        </w:tc>
        <w:tc>
          <w:tcPr>
            <w:tcW w:w="1151" w:type="pct"/>
            <w:shd w:val="clear" w:color="auto" w:fill="auto"/>
            <w:noWrap/>
            <w:hideMark/>
          </w:tcPr>
          <w:p w:rsidR="003E108C" w:rsidRPr="00CC18AA" w:rsidRDefault="003E108C" w:rsidP="00CC18AA">
            <w:pPr>
              <w:spacing w:before="60" w:after="60"/>
              <w:rPr>
                <w:rFonts w:cs="Arial"/>
                <w:szCs w:val="20"/>
                <w:lang w:val="en-US"/>
              </w:rPr>
            </w:pPr>
            <w:r w:rsidRPr="00CC18AA">
              <w:rPr>
                <w:rFonts w:cs="Arial"/>
                <w:szCs w:val="20"/>
                <w:lang w:val="en-US"/>
              </w:rPr>
              <w:t>incl 2 juveniles</w:t>
            </w:r>
          </w:p>
        </w:tc>
      </w:tr>
      <w:tr w:rsidR="005F23F1" w:rsidRPr="00E23B8D" w:rsidTr="00CC18AA">
        <w:trPr>
          <w:trHeight w:val="255"/>
        </w:trPr>
        <w:tc>
          <w:tcPr>
            <w:tcW w:w="613" w:type="pct"/>
            <w:vMerge/>
            <w:shd w:val="clear" w:color="auto" w:fill="auto"/>
            <w:noWrap/>
            <w:hideMark/>
          </w:tcPr>
          <w:p w:rsidR="003E108C" w:rsidRPr="00CC18AA" w:rsidRDefault="003E108C" w:rsidP="00CC18AA">
            <w:pPr>
              <w:spacing w:before="60" w:after="60"/>
              <w:rPr>
                <w:rFonts w:cs="Arial"/>
                <w:bCs/>
                <w:szCs w:val="20"/>
                <w:lang w:val="en-US"/>
              </w:rPr>
            </w:pPr>
          </w:p>
        </w:tc>
        <w:tc>
          <w:tcPr>
            <w:tcW w:w="1082" w:type="pct"/>
            <w:vMerge w:val="restar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Gin Holes</w:t>
            </w:r>
          </w:p>
        </w:tc>
        <w:tc>
          <w:tcPr>
            <w:tcW w:w="1230" w:type="pct"/>
            <w:shd w:val="clear" w:color="auto" w:fill="auto"/>
            <w:noWrap/>
            <w:hideMark/>
          </w:tcPr>
          <w:p w:rsidR="003E108C" w:rsidRPr="00CC18AA" w:rsidRDefault="003E108C" w:rsidP="00CC18AA">
            <w:pPr>
              <w:spacing w:before="60" w:after="60"/>
              <w:rPr>
                <w:rFonts w:cs="Arial"/>
                <w:szCs w:val="20"/>
                <w:lang w:val="en-US"/>
              </w:rPr>
            </w:pPr>
            <w:r w:rsidRPr="00CC18AA">
              <w:rPr>
                <w:rFonts w:cs="Arial"/>
                <w:szCs w:val="20"/>
                <w:lang w:val="en-US"/>
              </w:rPr>
              <w:t>Pacific black duck</w:t>
            </w:r>
          </w:p>
        </w:tc>
        <w:tc>
          <w:tcPr>
            <w:tcW w:w="924" w:type="pct"/>
            <w:shd w:val="clear" w:color="auto" w:fill="auto"/>
            <w:noWrap/>
            <w:vAlign w:val="center"/>
            <w:hideMark/>
          </w:tcPr>
          <w:p w:rsidR="003E108C" w:rsidRPr="00CC18AA" w:rsidRDefault="003E108C" w:rsidP="00CC18AA">
            <w:pPr>
              <w:spacing w:before="60" w:after="60"/>
              <w:jc w:val="center"/>
              <w:rPr>
                <w:rFonts w:cs="Arial"/>
                <w:szCs w:val="20"/>
                <w:lang w:val="en-US"/>
              </w:rPr>
            </w:pPr>
            <w:r w:rsidRPr="00CC18AA">
              <w:rPr>
                <w:rFonts w:cs="Arial"/>
                <w:szCs w:val="20"/>
                <w:lang w:val="en-US"/>
              </w:rPr>
              <w:t>1</w:t>
            </w:r>
          </w:p>
        </w:tc>
        <w:tc>
          <w:tcPr>
            <w:tcW w:w="1151" w:type="pct"/>
            <w:shd w:val="clear" w:color="auto" w:fill="auto"/>
            <w:noWrap/>
            <w:hideMark/>
          </w:tcPr>
          <w:p w:rsidR="003E108C" w:rsidRPr="00CC18AA" w:rsidRDefault="003E108C" w:rsidP="00CC18AA">
            <w:pPr>
              <w:spacing w:before="60" w:after="60"/>
              <w:rPr>
                <w:rFonts w:cs="Arial"/>
                <w:szCs w:val="20"/>
                <w:lang w:val="en-US"/>
              </w:rPr>
            </w:pPr>
            <w:r w:rsidRPr="00CC18AA">
              <w:rPr>
                <w:rFonts w:cs="Arial"/>
                <w:szCs w:val="20"/>
                <w:lang w:val="en-US"/>
              </w:rPr>
              <w:t>4 ducklings</w:t>
            </w:r>
          </w:p>
        </w:tc>
      </w:tr>
      <w:tr w:rsidR="005F23F1" w:rsidRPr="00E23B8D" w:rsidTr="00CC18AA">
        <w:trPr>
          <w:trHeight w:val="240"/>
        </w:trPr>
        <w:tc>
          <w:tcPr>
            <w:tcW w:w="613" w:type="pct"/>
            <w:vMerge/>
            <w:shd w:val="clear" w:color="auto" w:fill="auto"/>
            <w:noWrap/>
            <w:hideMark/>
          </w:tcPr>
          <w:p w:rsidR="003E108C" w:rsidRPr="00CC18AA" w:rsidRDefault="003E108C" w:rsidP="00CC18AA">
            <w:pPr>
              <w:spacing w:before="60" w:after="60"/>
              <w:rPr>
                <w:rFonts w:cs="Arial"/>
                <w:bCs/>
                <w:szCs w:val="20"/>
                <w:lang w:val="en-US"/>
              </w:rPr>
            </w:pPr>
          </w:p>
        </w:tc>
        <w:tc>
          <w:tcPr>
            <w:tcW w:w="1082" w:type="pct"/>
            <w:vMerge/>
            <w:shd w:val="clear" w:color="auto" w:fill="auto"/>
            <w:noWrap/>
            <w:hideMark/>
          </w:tcPr>
          <w:p w:rsidR="003E108C" w:rsidRPr="00CC18AA" w:rsidRDefault="003E108C" w:rsidP="00CC18AA">
            <w:pPr>
              <w:spacing w:before="60" w:after="60"/>
              <w:rPr>
                <w:rFonts w:cs="Arial"/>
                <w:szCs w:val="20"/>
                <w:lang w:val="en-US"/>
              </w:rPr>
            </w:pPr>
          </w:p>
        </w:tc>
        <w:tc>
          <w:tcPr>
            <w:tcW w:w="1230" w:type="pct"/>
            <w:shd w:val="clear" w:color="auto" w:fill="auto"/>
            <w:noWrap/>
            <w:hideMark/>
          </w:tcPr>
          <w:p w:rsidR="003E108C" w:rsidRPr="00CC18AA" w:rsidRDefault="003E108C" w:rsidP="00CC18AA">
            <w:pPr>
              <w:spacing w:before="60" w:after="60"/>
              <w:rPr>
                <w:rFonts w:cs="Arial"/>
                <w:szCs w:val="20"/>
                <w:lang w:val="en-US"/>
              </w:rPr>
            </w:pPr>
            <w:r w:rsidRPr="00CC18AA">
              <w:rPr>
                <w:rFonts w:cs="Arial"/>
                <w:szCs w:val="20"/>
                <w:lang w:val="en-US"/>
              </w:rPr>
              <w:t>masked lapwing</w:t>
            </w:r>
          </w:p>
        </w:tc>
        <w:tc>
          <w:tcPr>
            <w:tcW w:w="924" w:type="pct"/>
            <w:shd w:val="clear" w:color="auto" w:fill="auto"/>
            <w:noWrap/>
            <w:vAlign w:val="center"/>
            <w:hideMark/>
          </w:tcPr>
          <w:p w:rsidR="003E108C" w:rsidRPr="00CC18AA" w:rsidRDefault="003E108C" w:rsidP="00CC18AA">
            <w:pPr>
              <w:spacing w:before="60" w:after="60"/>
              <w:jc w:val="center"/>
              <w:rPr>
                <w:rFonts w:cs="Arial"/>
                <w:szCs w:val="20"/>
                <w:lang w:val="en-US"/>
              </w:rPr>
            </w:pPr>
            <w:r w:rsidRPr="00CC18AA">
              <w:rPr>
                <w:rFonts w:cs="Arial"/>
                <w:szCs w:val="20"/>
                <w:lang w:val="en-US"/>
              </w:rPr>
              <w:t>1</w:t>
            </w:r>
          </w:p>
        </w:tc>
        <w:tc>
          <w:tcPr>
            <w:tcW w:w="1151" w:type="pct"/>
            <w:shd w:val="clear" w:color="auto" w:fill="auto"/>
            <w:noWrap/>
            <w:hideMark/>
          </w:tcPr>
          <w:p w:rsidR="003E108C" w:rsidRPr="00CC18AA" w:rsidRDefault="003E108C" w:rsidP="00CC18AA">
            <w:pPr>
              <w:spacing w:before="60" w:after="60"/>
              <w:rPr>
                <w:rFonts w:cs="Arial"/>
                <w:szCs w:val="20"/>
                <w:lang w:val="en-US"/>
              </w:rPr>
            </w:pPr>
            <w:r w:rsidRPr="00CC18AA">
              <w:rPr>
                <w:rFonts w:cs="Arial"/>
                <w:szCs w:val="20"/>
                <w:lang w:val="en-US"/>
              </w:rPr>
              <w:t>juvenile</w:t>
            </w:r>
          </w:p>
        </w:tc>
      </w:tr>
      <w:tr w:rsidR="005F23F1" w:rsidRPr="00E23B8D" w:rsidTr="00CC18AA">
        <w:trPr>
          <w:trHeight w:val="240"/>
        </w:trPr>
        <w:tc>
          <w:tcPr>
            <w:tcW w:w="613" w:type="pct"/>
            <w:vMerge/>
            <w:shd w:val="clear" w:color="auto" w:fill="auto"/>
            <w:noWrap/>
            <w:hideMark/>
          </w:tcPr>
          <w:p w:rsidR="003E108C" w:rsidRPr="00CC18AA" w:rsidRDefault="003E108C" w:rsidP="00CC18AA">
            <w:pPr>
              <w:spacing w:before="60" w:after="60"/>
              <w:rPr>
                <w:rFonts w:cs="Arial"/>
                <w:bCs/>
                <w:szCs w:val="20"/>
                <w:lang w:val="en-US"/>
              </w:rPr>
            </w:pPr>
          </w:p>
        </w:tc>
        <w:tc>
          <w:tcPr>
            <w:tcW w:w="1082"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Gingham Waterhole</w:t>
            </w:r>
          </w:p>
        </w:tc>
        <w:tc>
          <w:tcPr>
            <w:tcW w:w="1230"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black swan</w:t>
            </w:r>
          </w:p>
        </w:tc>
        <w:tc>
          <w:tcPr>
            <w:tcW w:w="924" w:type="pct"/>
            <w:shd w:val="clear" w:color="auto" w:fill="auto"/>
            <w:noWrap/>
            <w:vAlign w:val="center"/>
            <w:hideMark/>
          </w:tcPr>
          <w:p w:rsidR="003E108C" w:rsidRPr="00CC18AA" w:rsidRDefault="003E108C" w:rsidP="00CC18AA">
            <w:pPr>
              <w:spacing w:before="60" w:after="60"/>
              <w:jc w:val="center"/>
              <w:rPr>
                <w:rFonts w:cs="Arial"/>
                <w:szCs w:val="20"/>
                <w:lang w:val="en-US"/>
              </w:rPr>
            </w:pPr>
            <w:r w:rsidRPr="00CC18AA">
              <w:rPr>
                <w:rFonts w:cs="Arial"/>
                <w:szCs w:val="20"/>
                <w:lang w:val="en-US"/>
              </w:rPr>
              <w:t>1</w:t>
            </w:r>
          </w:p>
        </w:tc>
        <w:tc>
          <w:tcPr>
            <w:tcW w:w="1151"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Too young to fly</w:t>
            </w:r>
          </w:p>
        </w:tc>
      </w:tr>
      <w:tr w:rsidR="005F23F1" w:rsidRPr="00E23B8D" w:rsidTr="00CC18AA">
        <w:trPr>
          <w:trHeight w:val="240"/>
        </w:trPr>
        <w:tc>
          <w:tcPr>
            <w:tcW w:w="613" w:type="pct"/>
            <w:vMerge/>
            <w:shd w:val="clear" w:color="auto" w:fill="auto"/>
            <w:noWrap/>
            <w:hideMark/>
          </w:tcPr>
          <w:p w:rsidR="003E108C" w:rsidRPr="00CC18AA" w:rsidRDefault="003E108C" w:rsidP="00CC18AA">
            <w:pPr>
              <w:spacing w:before="60" w:after="60"/>
              <w:rPr>
                <w:rFonts w:cs="Arial"/>
                <w:bCs/>
                <w:szCs w:val="20"/>
                <w:lang w:val="en-US"/>
              </w:rPr>
            </w:pPr>
          </w:p>
        </w:tc>
        <w:tc>
          <w:tcPr>
            <w:tcW w:w="1082" w:type="pct"/>
            <w:vMerge w:val="restar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 xml:space="preserve">Goddard's Lease </w:t>
            </w:r>
          </w:p>
        </w:tc>
        <w:tc>
          <w:tcPr>
            <w:tcW w:w="1230"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red-kneed dotterel</w:t>
            </w:r>
          </w:p>
        </w:tc>
        <w:tc>
          <w:tcPr>
            <w:tcW w:w="924" w:type="pct"/>
            <w:shd w:val="clear" w:color="auto" w:fill="auto"/>
            <w:noWrap/>
            <w:vAlign w:val="center"/>
            <w:hideMark/>
          </w:tcPr>
          <w:p w:rsidR="003E108C" w:rsidRPr="00CC18AA" w:rsidRDefault="003E108C" w:rsidP="00CC18AA">
            <w:pPr>
              <w:spacing w:before="60" w:after="60"/>
              <w:jc w:val="center"/>
              <w:rPr>
                <w:rFonts w:cs="Arial"/>
                <w:szCs w:val="20"/>
                <w:lang w:val="en-US"/>
              </w:rPr>
            </w:pPr>
            <w:r w:rsidRPr="00CC18AA">
              <w:rPr>
                <w:rFonts w:cs="Arial"/>
                <w:szCs w:val="20"/>
                <w:lang w:val="en-US"/>
              </w:rPr>
              <w:t>1</w:t>
            </w:r>
          </w:p>
        </w:tc>
        <w:tc>
          <w:tcPr>
            <w:tcW w:w="1151"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including young</w:t>
            </w:r>
          </w:p>
        </w:tc>
      </w:tr>
      <w:tr w:rsidR="005F23F1" w:rsidRPr="00E23B8D" w:rsidTr="00CC18AA">
        <w:trPr>
          <w:trHeight w:val="240"/>
        </w:trPr>
        <w:tc>
          <w:tcPr>
            <w:tcW w:w="613" w:type="pct"/>
            <w:vMerge/>
            <w:shd w:val="clear" w:color="auto" w:fill="auto"/>
            <w:noWrap/>
            <w:hideMark/>
          </w:tcPr>
          <w:p w:rsidR="003E108C" w:rsidRPr="00CC18AA" w:rsidRDefault="003E108C" w:rsidP="00CC18AA">
            <w:pPr>
              <w:spacing w:before="60" w:after="60"/>
              <w:rPr>
                <w:rFonts w:cs="Arial"/>
                <w:bCs/>
                <w:szCs w:val="20"/>
                <w:lang w:val="en-US"/>
              </w:rPr>
            </w:pPr>
          </w:p>
        </w:tc>
        <w:tc>
          <w:tcPr>
            <w:tcW w:w="1082" w:type="pct"/>
            <w:vMerge/>
            <w:shd w:val="clear" w:color="auto" w:fill="auto"/>
            <w:noWrap/>
            <w:vAlign w:val="center"/>
            <w:hideMark/>
          </w:tcPr>
          <w:p w:rsidR="003E108C" w:rsidRPr="00CC18AA" w:rsidRDefault="003E108C" w:rsidP="00CC18AA">
            <w:pPr>
              <w:spacing w:before="60" w:after="60"/>
              <w:jc w:val="left"/>
              <w:rPr>
                <w:rFonts w:cs="Arial"/>
                <w:szCs w:val="20"/>
                <w:lang w:val="en-US"/>
              </w:rPr>
            </w:pPr>
          </w:p>
        </w:tc>
        <w:tc>
          <w:tcPr>
            <w:tcW w:w="1230"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whistling kite</w:t>
            </w:r>
          </w:p>
        </w:tc>
        <w:tc>
          <w:tcPr>
            <w:tcW w:w="924" w:type="pct"/>
            <w:shd w:val="clear" w:color="auto" w:fill="auto"/>
            <w:noWrap/>
            <w:vAlign w:val="center"/>
            <w:hideMark/>
          </w:tcPr>
          <w:p w:rsidR="003E108C" w:rsidRPr="00CC18AA" w:rsidRDefault="003E108C" w:rsidP="00CC18AA">
            <w:pPr>
              <w:spacing w:before="60" w:after="60"/>
              <w:jc w:val="center"/>
              <w:rPr>
                <w:rFonts w:cs="Arial"/>
                <w:szCs w:val="20"/>
                <w:lang w:val="en-US"/>
              </w:rPr>
            </w:pPr>
            <w:r w:rsidRPr="00CC18AA">
              <w:rPr>
                <w:rFonts w:cs="Arial"/>
                <w:szCs w:val="20"/>
                <w:lang w:val="en-US"/>
              </w:rPr>
              <w:t>1</w:t>
            </w:r>
          </w:p>
        </w:tc>
        <w:tc>
          <w:tcPr>
            <w:tcW w:w="1151"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Nest, bird flew from it</w:t>
            </w:r>
          </w:p>
        </w:tc>
      </w:tr>
      <w:tr w:rsidR="005F23F1" w:rsidRPr="00E23B8D" w:rsidTr="00CC18AA">
        <w:trPr>
          <w:trHeight w:val="240"/>
        </w:trPr>
        <w:tc>
          <w:tcPr>
            <w:tcW w:w="613" w:type="pct"/>
            <w:vMerge/>
            <w:shd w:val="clear" w:color="auto" w:fill="auto"/>
            <w:noWrap/>
            <w:hideMark/>
          </w:tcPr>
          <w:p w:rsidR="003E108C" w:rsidRPr="00CC18AA" w:rsidRDefault="003E108C" w:rsidP="00CC18AA">
            <w:pPr>
              <w:spacing w:before="60" w:after="60"/>
              <w:rPr>
                <w:rFonts w:cs="Arial"/>
                <w:bCs/>
                <w:szCs w:val="20"/>
                <w:lang w:val="en-US"/>
              </w:rPr>
            </w:pPr>
          </w:p>
        </w:tc>
        <w:tc>
          <w:tcPr>
            <w:tcW w:w="1082"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Incidental-Gwydir Wetlands</w:t>
            </w:r>
          </w:p>
        </w:tc>
        <w:tc>
          <w:tcPr>
            <w:tcW w:w="1230"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Australasian grebe</w:t>
            </w:r>
          </w:p>
        </w:tc>
        <w:tc>
          <w:tcPr>
            <w:tcW w:w="924" w:type="pct"/>
            <w:shd w:val="clear" w:color="auto" w:fill="auto"/>
            <w:noWrap/>
            <w:vAlign w:val="center"/>
            <w:hideMark/>
          </w:tcPr>
          <w:p w:rsidR="003E108C" w:rsidRPr="00CC18AA" w:rsidRDefault="003E108C" w:rsidP="00CC18AA">
            <w:pPr>
              <w:spacing w:before="60" w:after="60"/>
              <w:jc w:val="center"/>
              <w:rPr>
                <w:rFonts w:cs="Arial"/>
                <w:szCs w:val="20"/>
                <w:lang w:val="en-US"/>
              </w:rPr>
            </w:pPr>
            <w:r w:rsidRPr="00CC18AA">
              <w:rPr>
                <w:rFonts w:cs="Arial"/>
                <w:szCs w:val="20"/>
                <w:lang w:val="en-US"/>
              </w:rPr>
              <w:t>1</w:t>
            </w:r>
          </w:p>
        </w:tc>
        <w:tc>
          <w:tcPr>
            <w:tcW w:w="1151"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nesting</w:t>
            </w:r>
          </w:p>
        </w:tc>
      </w:tr>
      <w:tr w:rsidR="005F23F1" w:rsidRPr="00E23B8D" w:rsidTr="00CC18AA">
        <w:trPr>
          <w:trHeight w:val="240"/>
        </w:trPr>
        <w:tc>
          <w:tcPr>
            <w:tcW w:w="613" w:type="pct"/>
            <w:vMerge/>
            <w:shd w:val="clear" w:color="auto" w:fill="auto"/>
            <w:noWrap/>
            <w:hideMark/>
          </w:tcPr>
          <w:p w:rsidR="003E108C" w:rsidRPr="00CC18AA" w:rsidRDefault="003E108C" w:rsidP="00CC18AA">
            <w:pPr>
              <w:spacing w:before="60" w:after="60"/>
              <w:rPr>
                <w:rFonts w:cs="Arial"/>
                <w:bCs/>
                <w:szCs w:val="20"/>
                <w:lang w:val="en-US"/>
              </w:rPr>
            </w:pPr>
          </w:p>
        </w:tc>
        <w:tc>
          <w:tcPr>
            <w:tcW w:w="1082"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Jackson Paddock</w:t>
            </w:r>
          </w:p>
        </w:tc>
        <w:tc>
          <w:tcPr>
            <w:tcW w:w="1230"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red-kneed dotterel</w:t>
            </w:r>
          </w:p>
        </w:tc>
        <w:tc>
          <w:tcPr>
            <w:tcW w:w="924" w:type="pct"/>
            <w:shd w:val="clear" w:color="auto" w:fill="auto"/>
            <w:noWrap/>
            <w:vAlign w:val="center"/>
            <w:hideMark/>
          </w:tcPr>
          <w:p w:rsidR="003E108C" w:rsidRPr="00CC18AA" w:rsidRDefault="003E108C" w:rsidP="00CC18AA">
            <w:pPr>
              <w:spacing w:before="60" w:after="60"/>
              <w:jc w:val="center"/>
              <w:rPr>
                <w:rFonts w:cs="Arial"/>
                <w:szCs w:val="20"/>
                <w:lang w:val="en-US"/>
              </w:rPr>
            </w:pPr>
            <w:r w:rsidRPr="00CC18AA">
              <w:rPr>
                <w:rFonts w:cs="Arial"/>
                <w:szCs w:val="20"/>
                <w:lang w:val="en-US"/>
              </w:rPr>
              <w:t>1</w:t>
            </w:r>
          </w:p>
        </w:tc>
        <w:tc>
          <w:tcPr>
            <w:tcW w:w="1151"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2 were juveniles</w:t>
            </w:r>
          </w:p>
        </w:tc>
      </w:tr>
      <w:tr w:rsidR="005F23F1" w:rsidRPr="00E23B8D" w:rsidTr="00CC18AA">
        <w:trPr>
          <w:trHeight w:val="240"/>
        </w:trPr>
        <w:tc>
          <w:tcPr>
            <w:tcW w:w="613" w:type="pct"/>
            <w:vMerge/>
            <w:shd w:val="clear" w:color="auto" w:fill="auto"/>
            <w:noWrap/>
            <w:hideMark/>
          </w:tcPr>
          <w:p w:rsidR="003E108C" w:rsidRPr="00CC18AA" w:rsidRDefault="003E108C" w:rsidP="00CC18AA">
            <w:pPr>
              <w:spacing w:before="60" w:after="60"/>
              <w:rPr>
                <w:rFonts w:cs="Arial"/>
                <w:bCs/>
                <w:szCs w:val="20"/>
                <w:lang w:val="en-US"/>
              </w:rPr>
            </w:pPr>
          </w:p>
        </w:tc>
        <w:tc>
          <w:tcPr>
            <w:tcW w:w="1082"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Old Dromana Dam</w:t>
            </w:r>
          </w:p>
        </w:tc>
        <w:tc>
          <w:tcPr>
            <w:tcW w:w="1230"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Australian reed-warbler</w:t>
            </w:r>
          </w:p>
        </w:tc>
        <w:tc>
          <w:tcPr>
            <w:tcW w:w="924" w:type="pct"/>
            <w:shd w:val="clear" w:color="auto" w:fill="auto"/>
            <w:noWrap/>
            <w:vAlign w:val="center"/>
            <w:hideMark/>
          </w:tcPr>
          <w:p w:rsidR="003E108C" w:rsidRPr="00CC18AA" w:rsidRDefault="003E108C" w:rsidP="00CC18AA">
            <w:pPr>
              <w:spacing w:before="60" w:after="60"/>
              <w:jc w:val="center"/>
              <w:rPr>
                <w:rFonts w:cs="Arial"/>
                <w:szCs w:val="20"/>
                <w:lang w:val="en-US"/>
              </w:rPr>
            </w:pPr>
            <w:r w:rsidRPr="00CC18AA">
              <w:rPr>
                <w:rFonts w:cs="Arial"/>
                <w:szCs w:val="20"/>
                <w:lang w:val="en-US"/>
              </w:rPr>
              <w:t>1</w:t>
            </w:r>
          </w:p>
        </w:tc>
        <w:tc>
          <w:tcPr>
            <w:tcW w:w="1151"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Incl juvenile</w:t>
            </w:r>
          </w:p>
        </w:tc>
      </w:tr>
      <w:tr w:rsidR="005F23F1" w:rsidRPr="00E23B8D" w:rsidTr="00CC18AA">
        <w:trPr>
          <w:trHeight w:val="240"/>
        </w:trPr>
        <w:tc>
          <w:tcPr>
            <w:tcW w:w="613" w:type="pct"/>
            <w:vMerge/>
            <w:shd w:val="clear" w:color="auto" w:fill="auto"/>
            <w:noWrap/>
            <w:hideMark/>
          </w:tcPr>
          <w:p w:rsidR="003E108C" w:rsidRPr="00CC18AA" w:rsidRDefault="003E108C" w:rsidP="00CC18AA">
            <w:pPr>
              <w:spacing w:before="60" w:after="60"/>
              <w:rPr>
                <w:rFonts w:cs="Arial"/>
                <w:bCs/>
                <w:szCs w:val="20"/>
                <w:lang w:val="en-US"/>
              </w:rPr>
            </w:pPr>
          </w:p>
        </w:tc>
        <w:tc>
          <w:tcPr>
            <w:tcW w:w="1082" w:type="pct"/>
            <w:vMerge w:val="restar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Racecourse Lagoon</w:t>
            </w:r>
          </w:p>
        </w:tc>
        <w:tc>
          <w:tcPr>
            <w:tcW w:w="1230"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masked lapwing</w:t>
            </w:r>
          </w:p>
        </w:tc>
        <w:tc>
          <w:tcPr>
            <w:tcW w:w="924" w:type="pct"/>
            <w:shd w:val="clear" w:color="auto" w:fill="auto"/>
            <w:noWrap/>
            <w:vAlign w:val="center"/>
            <w:hideMark/>
          </w:tcPr>
          <w:p w:rsidR="003E108C" w:rsidRPr="00CC18AA" w:rsidRDefault="003E108C" w:rsidP="00CC18AA">
            <w:pPr>
              <w:spacing w:before="60" w:after="60"/>
              <w:jc w:val="center"/>
              <w:rPr>
                <w:rFonts w:cs="Arial"/>
                <w:szCs w:val="20"/>
                <w:lang w:val="en-US"/>
              </w:rPr>
            </w:pPr>
            <w:r w:rsidRPr="00CC18AA">
              <w:rPr>
                <w:rFonts w:cs="Arial"/>
                <w:szCs w:val="20"/>
                <w:lang w:val="en-US"/>
              </w:rPr>
              <w:t>1</w:t>
            </w:r>
          </w:p>
        </w:tc>
        <w:tc>
          <w:tcPr>
            <w:tcW w:w="1151"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2 juveniles</w:t>
            </w:r>
          </w:p>
        </w:tc>
      </w:tr>
      <w:tr w:rsidR="005F23F1" w:rsidRPr="00E23B8D" w:rsidTr="00CC18AA">
        <w:trPr>
          <w:trHeight w:val="240"/>
        </w:trPr>
        <w:tc>
          <w:tcPr>
            <w:tcW w:w="613" w:type="pct"/>
            <w:vMerge/>
            <w:shd w:val="clear" w:color="auto" w:fill="auto"/>
            <w:noWrap/>
            <w:hideMark/>
          </w:tcPr>
          <w:p w:rsidR="003E108C" w:rsidRPr="00CC18AA" w:rsidRDefault="003E108C" w:rsidP="00CC18AA">
            <w:pPr>
              <w:spacing w:before="60" w:after="60"/>
              <w:rPr>
                <w:rFonts w:cs="Arial"/>
                <w:bCs/>
                <w:szCs w:val="20"/>
                <w:lang w:val="en-US"/>
              </w:rPr>
            </w:pPr>
          </w:p>
        </w:tc>
        <w:tc>
          <w:tcPr>
            <w:tcW w:w="1082" w:type="pct"/>
            <w:vMerge/>
            <w:shd w:val="clear" w:color="auto" w:fill="auto"/>
            <w:noWrap/>
            <w:vAlign w:val="center"/>
            <w:hideMark/>
          </w:tcPr>
          <w:p w:rsidR="003E108C" w:rsidRPr="00CC18AA" w:rsidRDefault="003E108C" w:rsidP="00CC18AA">
            <w:pPr>
              <w:spacing w:before="60" w:after="60"/>
              <w:jc w:val="left"/>
              <w:rPr>
                <w:rFonts w:cs="Arial"/>
                <w:szCs w:val="20"/>
                <w:lang w:val="en-US"/>
              </w:rPr>
            </w:pPr>
          </w:p>
        </w:tc>
        <w:tc>
          <w:tcPr>
            <w:tcW w:w="1230"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masked lapwing</w:t>
            </w:r>
          </w:p>
        </w:tc>
        <w:tc>
          <w:tcPr>
            <w:tcW w:w="924" w:type="pct"/>
            <w:shd w:val="clear" w:color="auto" w:fill="auto"/>
            <w:noWrap/>
            <w:vAlign w:val="center"/>
            <w:hideMark/>
          </w:tcPr>
          <w:p w:rsidR="003E108C" w:rsidRPr="00CC18AA" w:rsidRDefault="003E108C" w:rsidP="00CC18AA">
            <w:pPr>
              <w:spacing w:before="60" w:after="60"/>
              <w:jc w:val="center"/>
              <w:rPr>
                <w:rFonts w:cs="Arial"/>
                <w:szCs w:val="20"/>
                <w:lang w:val="en-US"/>
              </w:rPr>
            </w:pPr>
            <w:r w:rsidRPr="00CC18AA">
              <w:rPr>
                <w:rFonts w:cs="Arial"/>
                <w:szCs w:val="20"/>
                <w:lang w:val="en-US"/>
              </w:rPr>
              <w:t>1</w:t>
            </w:r>
          </w:p>
        </w:tc>
        <w:tc>
          <w:tcPr>
            <w:tcW w:w="1151"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2 juveniles</w:t>
            </w:r>
          </w:p>
        </w:tc>
      </w:tr>
      <w:tr w:rsidR="005F23F1" w:rsidRPr="00E23B8D" w:rsidTr="00CC18AA">
        <w:trPr>
          <w:trHeight w:val="240"/>
        </w:trPr>
        <w:tc>
          <w:tcPr>
            <w:tcW w:w="613" w:type="pct"/>
            <w:vMerge/>
            <w:shd w:val="clear" w:color="auto" w:fill="auto"/>
            <w:noWrap/>
            <w:hideMark/>
          </w:tcPr>
          <w:p w:rsidR="003E108C" w:rsidRPr="00CC18AA" w:rsidRDefault="003E108C" w:rsidP="00CC18AA">
            <w:pPr>
              <w:spacing w:before="60" w:after="60"/>
              <w:rPr>
                <w:rFonts w:cs="Arial"/>
                <w:bCs/>
                <w:szCs w:val="20"/>
                <w:lang w:val="en-US"/>
              </w:rPr>
            </w:pPr>
          </w:p>
        </w:tc>
        <w:tc>
          <w:tcPr>
            <w:tcW w:w="1082" w:type="pct"/>
            <w:vMerge/>
            <w:shd w:val="clear" w:color="auto" w:fill="auto"/>
            <w:noWrap/>
            <w:vAlign w:val="center"/>
            <w:hideMark/>
          </w:tcPr>
          <w:p w:rsidR="003E108C" w:rsidRPr="00CC18AA" w:rsidRDefault="003E108C" w:rsidP="00CC18AA">
            <w:pPr>
              <w:spacing w:before="60" w:after="60"/>
              <w:jc w:val="left"/>
              <w:rPr>
                <w:rFonts w:cs="Arial"/>
                <w:szCs w:val="20"/>
                <w:lang w:val="en-US"/>
              </w:rPr>
            </w:pPr>
          </w:p>
        </w:tc>
        <w:tc>
          <w:tcPr>
            <w:tcW w:w="1230"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Australian reed-warbler</w:t>
            </w:r>
          </w:p>
        </w:tc>
        <w:tc>
          <w:tcPr>
            <w:tcW w:w="924" w:type="pct"/>
            <w:shd w:val="clear" w:color="auto" w:fill="auto"/>
            <w:noWrap/>
            <w:vAlign w:val="center"/>
            <w:hideMark/>
          </w:tcPr>
          <w:p w:rsidR="003E108C" w:rsidRPr="00CC18AA" w:rsidRDefault="003E108C" w:rsidP="00CC18AA">
            <w:pPr>
              <w:spacing w:before="60" w:after="60"/>
              <w:jc w:val="center"/>
              <w:rPr>
                <w:rFonts w:cs="Arial"/>
                <w:szCs w:val="20"/>
                <w:lang w:val="en-US"/>
              </w:rPr>
            </w:pPr>
            <w:r w:rsidRPr="00CC18AA">
              <w:rPr>
                <w:rFonts w:cs="Arial"/>
                <w:szCs w:val="20"/>
                <w:lang w:val="en-US"/>
              </w:rPr>
              <w:t>1</w:t>
            </w:r>
          </w:p>
        </w:tc>
        <w:tc>
          <w:tcPr>
            <w:tcW w:w="1151"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Heard young</w:t>
            </w:r>
          </w:p>
        </w:tc>
      </w:tr>
      <w:tr w:rsidR="005F23F1" w:rsidRPr="00E23B8D" w:rsidTr="00CC18AA">
        <w:trPr>
          <w:trHeight w:val="240"/>
        </w:trPr>
        <w:tc>
          <w:tcPr>
            <w:tcW w:w="613" w:type="pct"/>
            <w:vMerge/>
            <w:shd w:val="clear" w:color="auto" w:fill="auto"/>
            <w:noWrap/>
            <w:hideMark/>
          </w:tcPr>
          <w:p w:rsidR="003E108C" w:rsidRPr="00CC18AA" w:rsidRDefault="003E108C" w:rsidP="00CC18AA">
            <w:pPr>
              <w:spacing w:before="60" w:after="60"/>
              <w:rPr>
                <w:rFonts w:cs="Arial"/>
                <w:bCs/>
                <w:szCs w:val="20"/>
                <w:lang w:val="en-US"/>
              </w:rPr>
            </w:pPr>
          </w:p>
        </w:tc>
        <w:tc>
          <w:tcPr>
            <w:tcW w:w="1082" w:type="pct"/>
            <w:vMerge/>
            <w:shd w:val="clear" w:color="auto" w:fill="auto"/>
            <w:noWrap/>
            <w:vAlign w:val="center"/>
            <w:hideMark/>
          </w:tcPr>
          <w:p w:rsidR="003E108C" w:rsidRPr="00CC18AA" w:rsidRDefault="003E108C" w:rsidP="00CC18AA">
            <w:pPr>
              <w:spacing w:before="60" w:after="60"/>
              <w:jc w:val="left"/>
              <w:rPr>
                <w:rFonts w:cs="Arial"/>
                <w:szCs w:val="20"/>
                <w:lang w:val="en-US"/>
              </w:rPr>
            </w:pPr>
          </w:p>
        </w:tc>
        <w:tc>
          <w:tcPr>
            <w:tcW w:w="1230"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whistling kite</w:t>
            </w:r>
          </w:p>
        </w:tc>
        <w:tc>
          <w:tcPr>
            <w:tcW w:w="924" w:type="pct"/>
            <w:shd w:val="clear" w:color="auto" w:fill="auto"/>
            <w:noWrap/>
            <w:vAlign w:val="center"/>
            <w:hideMark/>
          </w:tcPr>
          <w:p w:rsidR="003E108C" w:rsidRPr="00CC18AA" w:rsidRDefault="003E108C" w:rsidP="00CC18AA">
            <w:pPr>
              <w:spacing w:before="60" w:after="60"/>
              <w:jc w:val="center"/>
              <w:rPr>
                <w:rFonts w:cs="Arial"/>
                <w:szCs w:val="20"/>
                <w:lang w:val="en-US"/>
              </w:rPr>
            </w:pPr>
            <w:r w:rsidRPr="00CC18AA">
              <w:rPr>
                <w:rFonts w:cs="Arial"/>
                <w:szCs w:val="20"/>
                <w:lang w:val="en-US"/>
              </w:rPr>
              <w:t>1</w:t>
            </w:r>
          </w:p>
        </w:tc>
        <w:tc>
          <w:tcPr>
            <w:tcW w:w="1151"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Nest on edge of site</w:t>
            </w:r>
          </w:p>
        </w:tc>
      </w:tr>
      <w:tr w:rsidR="005F23F1" w:rsidRPr="00E23B8D" w:rsidTr="00CC18AA">
        <w:trPr>
          <w:trHeight w:val="240"/>
        </w:trPr>
        <w:tc>
          <w:tcPr>
            <w:tcW w:w="613" w:type="pct"/>
            <w:vMerge/>
            <w:shd w:val="clear" w:color="auto" w:fill="auto"/>
            <w:noWrap/>
            <w:hideMark/>
          </w:tcPr>
          <w:p w:rsidR="003E108C" w:rsidRPr="00CC18AA" w:rsidRDefault="003E108C" w:rsidP="00CC18AA">
            <w:pPr>
              <w:spacing w:before="60" w:after="60"/>
              <w:rPr>
                <w:rFonts w:cs="Arial"/>
                <w:bCs/>
                <w:szCs w:val="20"/>
                <w:lang w:val="en-US"/>
              </w:rPr>
            </w:pPr>
          </w:p>
        </w:tc>
        <w:tc>
          <w:tcPr>
            <w:tcW w:w="1082" w:type="pct"/>
            <w:vMerge w:val="restar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Three Corners Wetland</w:t>
            </w:r>
          </w:p>
        </w:tc>
        <w:tc>
          <w:tcPr>
            <w:tcW w:w="1230"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black-winged stilt</w:t>
            </w:r>
          </w:p>
        </w:tc>
        <w:tc>
          <w:tcPr>
            <w:tcW w:w="924" w:type="pct"/>
            <w:shd w:val="clear" w:color="auto" w:fill="auto"/>
            <w:noWrap/>
            <w:vAlign w:val="center"/>
            <w:hideMark/>
          </w:tcPr>
          <w:p w:rsidR="003E108C" w:rsidRPr="00CC18AA" w:rsidRDefault="003E108C" w:rsidP="00CC18AA">
            <w:pPr>
              <w:spacing w:before="60" w:after="60"/>
              <w:jc w:val="center"/>
              <w:rPr>
                <w:rFonts w:cs="Arial"/>
                <w:szCs w:val="20"/>
                <w:lang w:val="en-US"/>
              </w:rPr>
            </w:pPr>
            <w:r w:rsidRPr="00CC18AA">
              <w:rPr>
                <w:rFonts w:cs="Arial"/>
                <w:szCs w:val="20"/>
                <w:lang w:val="en-US"/>
              </w:rPr>
              <w:t>1</w:t>
            </w:r>
          </w:p>
        </w:tc>
        <w:tc>
          <w:tcPr>
            <w:tcW w:w="1151"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incl 1 immature</w:t>
            </w:r>
          </w:p>
        </w:tc>
      </w:tr>
      <w:tr w:rsidR="005F23F1" w:rsidRPr="00E23B8D" w:rsidTr="00CC18AA">
        <w:trPr>
          <w:trHeight w:val="240"/>
        </w:trPr>
        <w:tc>
          <w:tcPr>
            <w:tcW w:w="613" w:type="pct"/>
            <w:vMerge/>
            <w:shd w:val="clear" w:color="auto" w:fill="auto"/>
            <w:noWrap/>
            <w:hideMark/>
          </w:tcPr>
          <w:p w:rsidR="003E108C" w:rsidRPr="00CC18AA" w:rsidRDefault="003E108C" w:rsidP="00CC18AA">
            <w:pPr>
              <w:spacing w:before="60" w:after="60"/>
              <w:rPr>
                <w:rFonts w:cs="Arial"/>
                <w:bCs/>
                <w:szCs w:val="20"/>
                <w:lang w:val="en-US"/>
              </w:rPr>
            </w:pPr>
          </w:p>
        </w:tc>
        <w:tc>
          <w:tcPr>
            <w:tcW w:w="1082" w:type="pct"/>
            <w:vMerge/>
            <w:shd w:val="clear" w:color="auto" w:fill="auto"/>
            <w:noWrap/>
            <w:vAlign w:val="center"/>
            <w:hideMark/>
          </w:tcPr>
          <w:p w:rsidR="003E108C" w:rsidRPr="00CC18AA" w:rsidRDefault="003E108C" w:rsidP="00CC18AA">
            <w:pPr>
              <w:spacing w:before="60" w:after="60"/>
              <w:jc w:val="left"/>
              <w:rPr>
                <w:rFonts w:cs="Arial"/>
                <w:szCs w:val="20"/>
                <w:lang w:val="en-US"/>
              </w:rPr>
            </w:pPr>
          </w:p>
        </w:tc>
        <w:tc>
          <w:tcPr>
            <w:tcW w:w="1230"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Australasian grebe</w:t>
            </w:r>
          </w:p>
        </w:tc>
        <w:tc>
          <w:tcPr>
            <w:tcW w:w="924" w:type="pct"/>
            <w:shd w:val="clear" w:color="auto" w:fill="auto"/>
            <w:noWrap/>
            <w:vAlign w:val="center"/>
            <w:hideMark/>
          </w:tcPr>
          <w:p w:rsidR="003E108C" w:rsidRPr="00CC18AA" w:rsidRDefault="003E108C" w:rsidP="00CC18AA">
            <w:pPr>
              <w:spacing w:before="60" w:after="60"/>
              <w:jc w:val="center"/>
              <w:rPr>
                <w:rFonts w:cs="Arial"/>
                <w:szCs w:val="20"/>
                <w:lang w:val="en-US"/>
              </w:rPr>
            </w:pPr>
            <w:r w:rsidRPr="00CC18AA">
              <w:rPr>
                <w:rFonts w:cs="Arial"/>
                <w:szCs w:val="20"/>
                <w:lang w:val="en-US"/>
              </w:rPr>
              <w:t>1</w:t>
            </w:r>
          </w:p>
        </w:tc>
        <w:tc>
          <w:tcPr>
            <w:tcW w:w="1151"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Incl 2 juvenile</w:t>
            </w:r>
          </w:p>
        </w:tc>
      </w:tr>
      <w:tr w:rsidR="005F23F1" w:rsidRPr="00E23B8D" w:rsidTr="00CC18AA">
        <w:trPr>
          <w:trHeight w:val="240"/>
        </w:trPr>
        <w:tc>
          <w:tcPr>
            <w:tcW w:w="613" w:type="pct"/>
            <w:vMerge/>
            <w:shd w:val="clear" w:color="auto" w:fill="auto"/>
            <w:noWrap/>
            <w:hideMark/>
          </w:tcPr>
          <w:p w:rsidR="003E108C" w:rsidRPr="00CC18AA" w:rsidRDefault="003E108C" w:rsidP="00CC18AA">
            <w:pPr>
              <w:spacing w:before="60" w:after="60"/>
              <w:rPr>
                <w:rFonts w:cs="Arial"/>
                <w:bCs/>
                <w:szCs w:val="20"/>
                <w:lang w:val="en-US"/>
              </w:rPr>
            </w:pPr>
          </w:p>
        </w:tc>
        <w:tc>
          <w:tcPr>
            <w:tcW w:w="1082" w:type="pct"/>
            <w:vMerge w:val="restar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Wandoona Waterhole</w:t>
            </w:r>
          </w:p>
        </w:tc>
        <w:tc>
          <w:tcPr>
            <w:tcW w:w="1230"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purple swamphen</w:t>
            </w:r>
          </w:p>
        </w:tc>
        <w:tc>
          <w:tcPr>
            <w:tcW w:w="924" w:type="pct"/>
            <w:shd w:val="clear" w:color="auto" w:fill="auto"/>
            <w:noWrap/>
            <w:vAlign w:val="center"/>
            <w:hideMark/>
          </w:tcPr>
          <w:p w:rsidR="003E108C" w:rsidRPr="00CC18AA" w:rsidRDefault="003E108C" w:rsidP="00CC18AA">
            <w:pPr>
              <w:spacing w:before="60" w:after="60"/>
              <w:jc w:val="center"/>
              <w:rPr>
                <w:rFonts w:cs="Arial"/>
                <w:szCs w:val="20"/>
                <w:lang w:val="en-US"/>
              </w:rPr>
            </w:pPr>
            <w:r w:rsidRPr="00CC18AA">
              <w:rPr>
                <w:rFonts w:cs="Arial"/>
                <w:szCs w:val="20"/>
                <w:lang w:val="en-US"/>
              </w:rPr>
              <w:t>1</w:t>
            </w:r>
          </w:p>
        </w:tc>
        <w:tc>
          <w:tcPr>
            <w:tcW w:w="1151"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 </w:t>
            </w:r>
          </w:p>
        </w:tc>
      </w:tr>
      <w:tr w:rsidR="005F23F1" w:rsidRPr="00E23B8D" w:rsidTr="00CC18AA">
        <w:trPr>
          <w:trHeight w:val="240"/>
        </w:trPr>
        <w:tc>
          <w:tcPr>
            <w:tcW w:w="613" w:type="pct"/>
            <w:vMerge/>
            <w:shd w:val="clear" w:color="auto" w:fill="auto"/>
            <w:noWrap/>
            <w:hideMark/>
          </w:tcPr>
          <w:p w:rsidR="003E108C" w:rsidRPr="00CC18AA" w:rsidRDefault="003E108C" w:rsidP="00CC18AA">
            <w:pPr>
              <w:spacing w:before="60" w:after="60"/>
              <w:rPr>
                <w:rFonts w:cs="Arial"/>
                <w:bCs/>
                <w:szCs w:val="20"/>
                <w:lang w:val="en-US"/>
              </w:rPr>
            </w:pPr>
          </w:p>
        </w:tc>
        <w:tc>
          <w:tcPr>
            <w:tcW w:w="1082" w:type="pct"/>
            <w:vMerge/>
            <w:shd w:val="clear" w:color="auto" w:fill="auto"/>
            <w:noWrap/>
            <w:vAlign w:val="center"/>
            <w:hideMark/>
          </w:tcPr>
          <w:p w:rsidR="003E108C" w:rsidRPr="00CC18AA" w:rsidRDefault="003E108C" w:rsidP="00CC18AA">
            <w:pPr>
              <w:spacing w:before="60" w:after="60"/>
              <w:jc w:val="left"/>
              <w:rPr>
                <w:rFonts w:cs="Arial"/>
                <w:szCs w:val="20"/>
                <w:lang w:val="en-US"/>
              </w:rPr>
            </w:pPr>
          </w:p>
        </w:tc>
        <w:tc>
          <w:tcPr>
            <w:tcW w:w="1230"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red-kneed dotterel</w:t>
            </w:r>
          </w:p>
        </w:tc>
        <w:tc>
          <w:tcPr>
            <w:tcW w:w="924" w:type="pct"/>
            <w:shd w:val="clear" w:color="auto" w:fill="auto"/>
            <w:noWrap/>
            <w:vAlign w:val="center"/>
            <w:hideMark/>
          </w:tcPr>
          <w:p w:rsidR="003E108C" w:rsidRPr="00CC18AA" w:rsidRDefault="003E108C" w:rsidP="00CC18AA">
            <w:pPr>
              <w:spacing w:before="60" w:after="60"/>
              <w:jc w:val="center"/>
              <w:rPr>
                <w:rFonts w:cs="Arial"/>
                <w:szCs w:val="20"/>
                <w:lang w:val="en-US"/>
              </w:rPr>
            </w:pPr>
            <w:r w:rsidRPr="00CC18AA">
              <w:rPr>
                <w:rFonts w:cs="Arial"/>
                <w:szCs w:val="20"/>
                <w:lang w:val="en-US"/>
              </w:rPr>
              <w:t>1</w:t>
            </w:r>
          </w:p>
        </w:tc>
        <w:tc>
          <w:tcPr>
            <w:tcW w:w="1151"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1 juvenile</w:t>
            </w:r>
          </w:p>
        </w:tc>
      </w:tr>
      <w:tr w:rsidR="005F23F1" w:rsidRPr="00E23B8D" w:rsidTr="00CC18AA">
        <w:trPr>
          <w:trHeight w:val="300"/>
        </w:trPr>
        <w:tc>
          <w:tcPr>
            <w:tcW w:w="613" w:type="pct"/>
            <w:vMerge/>
            <w:shd w:val="clear" w:color="auto" w:fill="auto"/>
            <w:noWrap/>
            <w:hideMark/>
          </w:tcPr>
          <w:p w:rsidR="003E108C" w:rsidRPr="00CC18AA" w:rsidRDefault="003E108C" w:rsidP="00CC18AA">
            <w:pPr>
              <w:spacing w:before="60" w:after="60"/>
              <w:rPr>
                <w:rFonts w:cs="Arial"/>
                <w:bCs/>
                <w:szCs w:val="20"/>
                <w:lang w:val="en-US"/>
              </w:rPr>
            </w:pPr>
          </w:p>
        </w:tc>
        <w:tc>
          <w:tcPr>
            <w:tcW w:w="1082" w:type="pct"/>
            <w:vMerge w:val="restar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Whittaker's Lagoon</w:t>
            </w:r>
          </w:p>
        </w:tc>
        <w:tc>
          <w:tcPr>
            <w:tcW w:w="1230"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black-shouldered kite</w:t>
            </w:r>
          </w:p>
        </w:tc>
        <w:tc>
          <w:tcPr>
            <w:tcW w:w="924" w:type="pct"/>
            <w:shd w:val="clear" w:color="auto" w:fill="auto"/>
            <w:noWrap/>
            <w:vAlign w:val="center"/>
            <w:hideMark/>
          </w:tcPr>
          <w:p w:rsidR="003E108C" w:rsidRPr="00CC18AA" w:rsidRDefault="003E108C" w:rsidP="00CC18AA">
            <w:pPr>
              <w:spacing w:before="60" w:after="60"/>
              <w:jc w:val="center"/>
              <w:rPr>
                <w:rFonts w:cs="Arial"/>
                <w:szCs w:val="20"/>
                <w:lang w:val="en-US"/>
              </w:rPr>
            </w:pPr>
            <w:r w:rsidRPr="00CC18AA">
              <w:rPr>
                <w:rFonts w:cs="Arial"/>
                <w:szCs w:val="20"/>
                <w:lang w:val="en-US"/>
              </w:rPr>
              <w:t>1</w:t>
            </w:r>
          </w:p>
        </w:tc>
        <w:tc>
          <w:tcPr>
            <w:tcW w:w="1151"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 </w:t>
            </w:r>
          </w:p>
        </w:tc>
      </w:tr>
      <w:tr w:rsidR="005F23F1" w:rsidRPr="00E23B8D" w:rsidTr="00CC18AA">
        <w:trPr>
          <w:trHeight w:val="300"/>
        </w:trPr>
        <w:tc>
          <w:tcPr>
            <w:tcW w:w="613" w:type="pct"/>
            <w:vMerge/>
            <w:shd w:val="clear" w:color="auto" w:fill="auto"/>
            <w:noWrap/>
            <w:hideMark/>
          </w:tcPr>
          <w:p w:rsidR="003E108C" w:rsidRPr="00CC18AA" w:rsidRDefault="003E108C" w:rsidP="00CC18AA">
            <w:pPr>
              <w:spacing w:before="60" w:after="60"/>
              <w:rPr>
                <w:rFonts w:cs="Arial"/>
                <w:bCs/>
                <w:szCs w:val="20"/>
                <w:lang w:val="en-US"/>
              </w:rPr>
            </w:pPr>
          </w:p>
        </w:tc>
        <w:tc>
          <w:tcPr>
            <w:tcW w:w="1082" w:type="pct"/>
            <w:vMerge/>
            <w:shd w:val="clear" w:color="auto" w:fill="auto"/>
            <w:noWrap/>
            <w:vAlign w:val="center"/>
            <w:hideMark/>
          </w:tcPr>
          <w:p w:rsidR="003E108C" w:rsidRPr="00CC18AA" w:rsidRDefault="003E108C" w:rsidP="00CC18AA">
            <w:pPr>
              <w:spacing w:before="60" w:after="60"/>
              <w:jc w:val="left"/>
              <w:rPr>
                <w:rFonts w:cs="Arial"/>
                <w:szCs w:val="20"/>
                <w:lang w:val="en-US"/>
              </w:rPr>
            </w:pPr>
          </w:p>
        </w:tc>
        <w:tc>
          <w:tcPr>
            <w:tcW w:w="1230"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Australasian grebe</w:t>
            </w:r>
          </w:p>
        </w:tc>
        <w:tc>
          <w:tcPr>
            <w:tcW w:w="924" w:type="pct"/>
            <w:shd w:val="clear" w:color="auto" w:fill="auto"/>
            <w:noWrap/>
            <w:vAlign w:val="center"/>
            <w:hideMark/>
          </w:tcPr>
          <w:p w:rsidR="003E108C" w:rsidRPr="00CC18AA" w:rsidRDefault="003E108C" w:rsidP="00CC18AA">
            <w:pPr>
              <w:spacing w:before="60" w:after="60"/>
              <w:jc w:val="center"/>
              <w:rPr>
                <w:rFonts w:cs="Arial"/>
                <w:szCs w:val="20"/>
                <w:lang w:val="en-US"/>
              </w:rPr>
            </w:pPr>
            <w:r w:rsidRPr="00CC18AA">
              <w:rPr>
                <w:rFonts w:cs="Arial"/>
                <w:szCs w:val="20"/>
                <w:lang w:val="en-US"/>
              </w:rPr>
              <w:t>1</w:t>
            </w:r>
          </w:p>
        </w:tc>
        <w:tc>
          <w:tcPr>
            <w:tcW w:w="1151"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Breeding plumage; full size young</w:t>
            </w:r>
          </w:p>
        </w:tc>
      </w:tr>
      <w:tr w:rsidR="005F23F1" w:rsidRPr="00E23B8D" w:rsidTr="00CC18AA">
        <w:trPr>
          <w:trHeight w:val="300"/>
        </w:trPr>
        <w:tc>
          <w:tcPr>
            <w:tcW w:w="613" w:type="pct"/>
            <w:vMerge/>
            <w:shd w:val="clear" w:color="auto" w:fill="auto"/>
            <w:noWrap/>
            <w:hideMark/>
          </w:tcPr>
          <w:p w:rsidR="003E108C" w:rsidRPr="00CC18AA" w:rsidRDefault="003E108C" w:rsidP="00CC18AA">
            <w:pPr>
              <w:spacing w:before="60" w:after="60"/>
              <w:rPr>
                <w:rFonts w:cs="Arial"/>
                <w:bCs/>
                <w:szCs w:val="20"/>
                <w:lang w:val="en-US"/>
              </w:rPr>
            </w:pPr>
          </w:p>
        </w:tc>
        <w:tc>
          <w:tcPr>
            <w:tcW w:w="1082" w:type="pct"/>
            <w:vMerge/>
            <w:shd w:val="clear" w:color="auto" w:fill="auto"/>
            <w:noWrap/>
            <w:vAlign w:val="center"/>
            <w:hideMark/>
          </w:tcPr>
          <w:p w:rsidR="003E108C" w:rsidRPr="00CC18AA" w:rsidRDefault="003E108C" w:rsidP="00CC18AA">
            <w:pPr>
              <w:spacing w:before="60" w:after="60"/>
              <w:jc w:val="left"/>
              <w:rPr>
                <w:rFonts w:cs="Arial"/>
                <w:szCs w:val="20"/>
                <w:lang w:val="en-US"/>
              </w:rPr>
            </w:pPr>
          </w:p>
        </w:tc>
        <w:tc>
          <w:tcPr>
            <w:tcW w:w="1230"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Australian wood duck</w:t>
            </w:r>
          </w:p>
        </w:tc>
        <w:tc>
          <w:tcPr>
            <w:tcW w:w="924" w:type="pct"/>
            <w:shd w:val="clear" w:color="auto" w:fill="auto"/>
            <w:noWrap/>
            <w:vAlign w:val="center"/>
            <w:hideMark/>
          </w:tcPr>
          <w:p w:rsidR="003E108C" w:rsidRPr="00CC18AA" w:rsidRDefault="003E108C" w:rsidP="00CC18AA">
            <w:pPr>
              <w:spacing w:before="60" w:after="60"/>
              <w:jc w:val="center"/>
              <w:rPr>
                <w:rFonts w:cs="Arial"/>
                <w:szCs w:val="20"/>
                <w:lang w:val="en-US"/>
              </w:rPr>
            </w:pPr>
            <w:r w:rsidRPr="00CC18AA">
              <w:rPr>
                <w:rFonts w:cs="Arial"/>
                <w:szCs w:val="20"/>
                <w:lang w:val="en-US"/>
              </w:rPr>
              <w:t>1</w:t>
            </w:r>
          </w:p>
        </w:tc>
        <w:tc>
          <w:tcPr>
            <w:tcW w:w="1151"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incl 2 juveniles</w:t>
            </w:r>
          </w:p>
        </w:tc>
      </w:tr>
      <w:tr w:rsidR="005F23F1" w:rsidRPr="00E23B8D" w:rsidTr="00CC18AA">
        <w:trPr>
          <w:trHeight w:val="300"/>
        </w:trPr>
        <w:tc>
          <w:tcPr>
            <w:tcW w:w="613" w:type="pct"/>
            <w:vMerge/>
            <w:shd w:val="clear" w:color="auto" w:fill="auto"/>
            <w:noWrap/>
            <w:hideMark/>
          </w:tcPr>
          <w:p w:rsidR="003E108C" w:rsidRPr="00CC18AA" w:rsidRDefault="003E108C" w:rsidP="00CC18AA">
            <w:pPr>
              <w:spacing w:before="60" w:after="60"/>
              <w:rPr>
                <w:rFonts w:cs="Arial"/>
                <w:bCs/>
                <w:szCs w:val="20"/>
                <w:lang w:val="en-US"/>
              </w:rPr>
            </w:pPr>
          </w:p>
        </w:tc>
        <w:tc>
          <w:tcPr>
            <w:tcW w:w="1082" w:type="pct"/>
            <w:vMerge/>
            <w:shd w:val="clear" w:color="auto" w:fill="auto"/>
            <w:noWrap/>
            <w:vAlign w:val="center"/>
            <w:hideMark/>
          </w:tcPr>
          <w:p w:rsidR="003E108C" w:rsidRPr="00CC18AA" w:rsidRDefault="003E108C" w:rsidP="00CC18AA">
            <w:pPr>
              <w:spacing w:before="60" w:after="60"/>
              <w:jc w:val="left"/>
              <w:rPr>
                <w:rFonts w:cs="Arial"/>
                <w:szCs w:val="20"/>
                <w:lang w:val="en-US"/>
              </w:rPr>
            </w:pPr>
          </w:p>
        </w:tc>
        <w:tc>
          <w:tcPr>
            <w:tcW w:w="1230"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grey teal</w:t>
            </w:r>
          </w:p>
        </w:tc>
        <w:tc>
          <w:tcPr>
            <w:tcW w:w="924" w:type="pct"/>
            <w:shd w:val="clear" w:color="auto" w:fill="auto"/>
            <w:noWrap/>
            <w:vAlign w:val="center"/>
            <w:hideMark/>
          </w:tcPr>
          <w:p w:rsidR="003E108C" w:rsidRPr="00CC18AA" w:rsidRDefault="003E108C" w:rsidP="00CC18AA">
            <w:pPr>
              <w:spacing w:before="60" w:after="60"/>
              <w:jc w:val="center"/>
              <w:rPr>
                <w:rFonts w:cs="Arial"/>
                <w:szCs w:val="20"/>
                <w:lang w:val="en-US"/>
              </w:rPr>
            </w:pPr>
            <w:r w:rsidRPr="00CC18AA">
              <w:rPr>
                <w:rFonts w:cs="Arial"/>
                <w:szCs w:val="20"/>
                <w:lang w:val="en-US"/>
              </w:rPr>
              <w:t>1</w:t>
            </w:r>
          </w:p>
        </w:tc>
        <w:tc>
          <w:tcPr>
            <w:tcW w:w="1151"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incl juvenile</w:t>
            </w:r>
          </w:p>
        </w:tc>
      </w:tr>
      <w:tr w:rsidR="005F23F1" w:rsidRPr="00E23B8D" w:rsidTr="00CC18AA">
        <w:trPr>
          <w:trHeight w:val="300"/>
        </w:trPr>
        <w:tc>
          <w:tcPr>
            <w:tcW w:w="613" w:type="pct"/>
            <w:vMerge/>
            <w:shd w:val="clear" w:color="auto" w:fill="auto"/>
            <w:noWrap/>
            <w:hideMark/>
          </w:tcPr>
          <w:p w:rsidR="003E108C" w:rsidRPr="00CC18AA" w:rsidRDefault="003E108C" w:rsidP="00CC18AA">
            <w:pPr>
              <w:spacing w:before="60" w:after="60"/>
              <w:rPr>
                <w:rFonts w:cs="Arial"/>
                <w:bCs/>
                <w:szCs w:val="20"/>
                <w:lang w:val="en-US"/>
              </w:rPr>
            </w:pPr>
          </w:p>
        </w:tc>
        <w:tc>
          <w:tcPr>
            <w:tcW w:w="1082" w:type="pct"/>
            <w:vMerge/>
            <w:shd w:val="clear" w:color="auto" w:fill="auto"/>
            <w:noWrap/>
            <w:vAlign w:val="center"/>
            <w:hideMark/>
          </w:tcPr>
          <w:p w:rsidR="003E108C" w:rsidRPr="00CC18AA" w:rsidRDefault="003E108C" w:rsidP="00CC18AA">
            <w:pPr>
              <w:spacing w:before="60" w:after="60"/>
              <w:jc w:val="left"/>
              <w:rPr>
                <w:rFonts w:cs="Arial"/>
                <w:szCs w:val="20"/>
                <w:lang w:val="en-US"/>
              </w:rPr>
            </w:pPr>
          </w:p>
        </w:tc>
        <w:tc>
          <w:tcPr>
            <w:tcW w:w="1230"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sacred kingfisher</w:t>
            </w:r>
          </w:p>
        </w:tc>
        <w:tc>
          <w:tcPr>
            <w:tcW w:w="924" w:type="pct"/>
            <w:shd w:val="clear" w:color="auto" w:fill="auto"/>
            <w:noWrap/>
            <w:vAlign w:val="center"/>
            <w:hideMark/>
          </w:tcPr>
          <w:p w:rsidR="003E108C" w:rsidRPr="00CC18AA" w:rsidRDefault="003E108C" w:rsidP="00CC18AA">
            <w:pPr>
              <w:spacing w:before="60" w:after="60"/>
              <w:jc w:val="center"/>
              <w:rPr>
                <w:rFonts w:cs="Arial"/>
                <w:szCs w:val="20"/>
                <w:lang w:val="en-US"/>
              </w:rPr>
            </w:pPr>
            <w:r w:rsidRPr="00CC18AA">
              <w:rPr>
                <w:rFonts w:cs="Arial"/>
                <w:szCs w:val="20"/>
                <w:lang w:val="en-US"/>
              </w:rPr>
              <w:t>1</w:t>
            </w:r>
          </w:p>
        </w:tc>
        <w:tc>
          <w:tcPr>
            <w:tcW w:w="1151"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Nesting in tree hollow</w:t>
            </w:r>
          </w:p>
        </w:tc>
      </w:tr>
      <w:tr w:rsidR="005F23F1" w:rsidRPr="00E23B8D" w:rsidTr="00CC18AA">
        <w:trPr>
          <w:trHeight w:val="300"/>
        </w:trPr>
        <w:tc>
          <w:tcPr>
            <w:tcW w:w="613" w:type="pct"/>
            <w:vMerge/>
            <w:shd w:val="clear" w:color="auto" w:fill="auto"/>
            <w:noWrap/>
            <w:hideMark/>
          </w:tcPr>
          <w:p w:rsidR="003E108C" w:rsidRPr="00CC18AA" w:rsidRDefault="003E108C" w:rsidP="00CC18AA">
            <w:pPr>
              <w:spacing w:before="60" w:after="60"/>
              <w:rPr>
                <w:rFonts w:cs="Arial"/>
                <w:bCs/>
                <w:szCs w:val="20"/>
                <w:lang w:val="en-US"/>
              </w:rPr>
            </w:pPr>
          </w:p>
        </w:tc>
        <w:tc>
          <w:tcPr>
            <w:tcW w:w="1082"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Bunnor Bird Hide</w:t>
            </w:r>
          </w:p>
        </w:tc>
        <w:tc>
          <w:tcPr>
            <w:tcW w:w="1230"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Australian reed-warbler</w:t>
            </w:r>
          </w:p>
        </w:tc>
        <w:tc>
          <w:tcPr>
            <w:tcW w:w="924" w:type="pct"/>
            <w:shd w:val="clear" w:color="auto" w:fill="auto"/>
            <w:noWrap/>
            <w:vAlign w:val="center"/>
            <w:hideMark/>
          </w:tcPr>
          <w:p w:rsidR="003E108C" w:rsidRPr="00CC18AA" w:rsidRDefault="003E108C" w:rsidP="00CC18AA">
            <w:pPr>
              <w:spacing w:before="60" w:after="60"/>
              <w:jc w:val="center"/>
              <w:rPr>
                <w:rFonts w:cs="Arial"/>
                <w:szCs w:val="20"/>
                <w:lang w:val="en-US"/>
              </w:rPr>
            </w:pPr>
            <w:r w:rsidRPr="00CC18AA">
              <w:rPr>
                <w:rFonts w:cs="Arial"/>
                <w:szCs w:val="20"/>
                <w:lang w:val="en-US"/>
              </w:rPr>
              <w:t>1</w:t>
            </w:r>
          </w:p>
        </w:tc>
        <w:tc>
          <w:tcPr>
            <w:tcW w:w="1151"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heard young too</w:t>
            </w:r>
          </w:p>
        </w:tc>
      </w:tr>
      <w:tr w:rsidR="005F23F1" w:rsidRPr="00E23B8D" w:rsidTr="00CC18AA">
        <w:trPr>
          <w:trHeight w:val="300"/>
        </w:trPr>
        <w:tc>
          <w:tcPr>
            <w:tcW w:w="613" w:type="pct"/>
            <w:vMerge w:val="restart"/>
            <w:shd w:val="clear" w:color="auto" w:fill="auto"/>
            <w:noWrap/>
            <w:textDirection w:val="btLr"/>
            <w:hideMark/>
          </w:tcPr>
          <w:p w:rsidR="003E108C" w:rsidRPr="00CC18AA" w:rsidRDefault="003E108C" w:rsidP="00CC18AA">
            <w:pPr>
              <w:spacing w:before="60" w:after="60"/>
              <w:ind w:left="113" w:right="113"/>
              <w:jc w:val="center"/>
              <w:rPr>
                <w:rFonts w:cs="Arial"/>
                <w:bCs/>
                <w:szCs w:val="20"/>
                <w:lang w:val="en-US"/>
              </w:rPr>
            </w:pPr>
            <w:r w:rsidRPr="00CC18AA">
              <w:rPr>
                <w:rFonts w:cs="Arial"/>
                <w:bCs/>
                <w:szCs w:val="20"/>
                <w:lang w:val="en-US"/>
              </w:rPr>
              <w:t>March 2016</w:t>
            </w:r>
          </w:p>
        </w:tc>
        <w:tc>
          <w:tcPr>
            <w:tcW w:w="1082"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 xml:space="preserve">Gundare Weir  </w:t>
            </w:r>
          </w:p>
        </w:tc>
        <w:tc>
          <w:tcPr>
            <w:tcW w:w="1230"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Pacific black duck</w:t>
            </w:r>
          </w:p>
        </w:tc>
        <w:tc>
          <w:tcPr>
            <w:tcW w:w="924" w:type="pct"/>
            <w:shd w:val="clear" w:color="auto" w:fill="auto"/>
            <w:noWrap/>
            <w:vAlign w:val="center"/>
            <w:hideMark/>
          </w:tcPr>
          <w:p w:rsidR="003E108C" w:rsidRPr="00CC18AA" w:rsidRDefault="003E108C" w:rsidP="00CC18AA">
            <w:pPr>
              <w:spacing w:before="60" w:after="60"/>
              <w:jc w:val="center"/>
              <w:rPr>
                <w:rFonts w:cs="Arial"/>
                <w:szCs w:val="20"/>
                <w:lang w:val="en-US"/>
              </w:rPr>
            </w:pPr>
            <w:r w:rsidRPr="00CC18AA">
              <w:rPr>
                <w:rFonts w:cs="Arial"/>
                <w:szCs w:val="20"/>
                <w:lang w:val="en-US"/>
              </w:rPr>
              <w:t>1</w:t>
            </w:r>
          </w:p>
        </w:tc>
        <w:tc>
          <w:tcPr>
            <w:tcW w:w="1151"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3 ducklings</w:t>
            </w:r>
          </w:p>
        </w:tc>
      </w:tr>
      <w:tr w:rsidR="005F23F1" w:rsidRPr="00E23B8D" w:rsidTr="00CC18AA">
        <w:trPr>
          <w:trHeight w:val="300"/>
        </w:trPr>
        <w:tc>
          <w:tcPr>
            <w:tcW w:w="613" w:type="pct"/>
            <w:vMerge/>
            <w:shd w:val="clear" w:color="auto" w:fill="auto"/>
            <w:noWrap/>
            <w:hideMark/>
          </w:tcPr>
          <w:p w:rsidR="003E108C" w:rsidRPr="00CC18AA" w:rsidRDefault="003E108C" w:rsidP="00CC18AA">
            <w:pPr>
              <w:spacing w:before="60" w:after="60"/>
              <w:rPr>
                <w:rFonts w:cs="Arial"/>
                <w:bCs/>
                <w:szCs w:val="20"/>
                <w:lang w:val="en-US"/>
              </w:rPr>
            </w:pPr>
          </w:p>
        </w:tc>
        <w:tc>
          <w:tcPr>
            <w:tcW w:w="1082"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Lynworth</w:t>
            </w:r>
          </w:p>
        </w:tc>
        <w:tc>
          <w:tcPr>
            <w:tcW w:w="1230"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whistling kite</w:t>
            </w:r>
          </w:p>
        </w:tc>
        <w:tc>
          <w:tcPr>
            <w:tcW w:w="924" w:type="pct"/>
            <w:shd w:val="clear" w:color="auto" w:fill="auto"/>
            <w:noWrap/>
            <w:vAlign w:val="center"/>
            <w:hideMark/>
          </w:tcPr>
          <w:p w:rsidR="003E108C" w:rsidRPr="00CC18AA" w:rsidRDefault="003E108C" w:rsidP="00CC18AA">
            <w:pPr>
              <w:spacing w:before="60" w:after="60"/>
              <w:jc w:val="center"/>
              <w:rPr>
                <w:rFonts w:cs="Arial"/>
                <w:szCs w:val="20"/>
                <w:lang w:val="en-US"/>
              </w:rPr>
            </w:pPr>
            <w:r w:rsidRPr="00CC18AA">
              <w:rPr>
                <w:rFonts w:cs="Arial"/>
                <w:szCs w:val="20"/>
                <w:lang w:val="en-US"/>
              </w:rPr>
              <w:t>1</w:t>
            </w:r>
          </w:p>
        </w:tc>
        <w:tc>
          <w:tcPr>
            <w:tcW w:w="1151"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 </w:t>
            </w:r>
          </w:p>
        </w:tc>
      </w:tr>
      <w:tr w:rsidR="005F23F1" w:rsidRPr="00E23B8D" w:rsidTr="00CC18AA">
        <w:trPr>
          <w:trHeight w:val="300"/>
        </w:trPr>
        <w:tc>
          <w:tcPr>
            <w:tcW w:w="613" w:type="pct"/>
            <w:vMerge/>
            <w:shd w:val="clear" w:color="auto" w:fill="auto"/>
            <w:noWrap/>
            <w:hideMark/>
          </w:tcPr>
          <w:p w:rsidR="003E108C" w:rsidRPr="00CC18AA" w:rsidRDefault="003E108C" w:rsidP="00CC18AA">
            <w:pPr>
              <w:spacing w:before="60" w:after="60"/>
              <w:rPr>
                <w:rFonts w:cs="Arial"/>
                <w:bCs/>
                <w:szCs w:val="20"/>
                <w:lang w:val="en-US"/>
              </w:rPr>
            </w:pPr>
          </w:p>
        </w:tc>
        <w:tc>
          <w:tcPr>
            <w:tcW w:w="1082" w:type="pct"/>
            <w:vMerge w:val="restar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Whittaker's Lagoon</w:t>
            </w:r>
          </w:p>
        </w:tc>
        <w:tc>
          <w:tcPr>
            <w:tcW w:w="1230"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grey teal</w:t>
            </w:r>
          </w:p>
        </w:tc>
        <w:tc>
          <w:tcPr>
            <w:tcW w:w="924" w:type="pct"/>
            <w:shd w:val="clear" w:color="auto" w:fill="auto"/>
            <w:noWrap/>
            <w:vAlign w:val="center"/>
            <w:hideMark/>
          </w:tcPr>
          <w:p w:rsidR="003E108C" w:rsidRPr="00CC18AA" w:rsidRDefault="003E108C" w:rsidP="00CC18AA">
            <w:pPr>
              <w:spacing w:before="60" w:after="60"/>
              <w:jc w:val="center"/>
              <w:rPr>
                <w:rFonts w:cs="Arial"/>
                <w:szCs w:val="20"/>
                <w:lang w:val="en-US"/>
              </w:rPr>
            </w:pPr>
            <w:r w:rsidRPr="00CC18AA">
              <w:rPr>
                <w:rFonts w:cs="Arial"/>
                <w:szCs w:val="20"/>
                <w:lang w:val="en-US"/>
              </w:rPr>
              <w:t>1</w:t>
            </w:r>
          </w:p>
        </w:tc>
        <w:tc>
          <w:tcPr>
            <w:tcW w:w="1151"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6 ducklings</w:t>
            </w:r>
          </w:p>
        </w:tc>
      </w:tr>
      <w:tr w:rsidR="005F23F1" w:rsidRPr="00E23B8D" w:rsidTr="00CC18AA">
        <w:trPr>
          <w:trHeight w:val="300"/>
        </w:trPr>
        <w:tc>
          <w:tcPr>
            <w:tcW w:w="613" w:type="pct"/>
            <w:vMerge/>
            <w:shd w:val="clear" w:color="auto" w:fill="auto"/>
            <w:noWrap/>
            <w:hideMark/>
          </w:tcPr>
          <w:p w:rsidR="003E108C" w:rsidRPr="00CC18AA" w:rsidRDefault="003E108C" w:rsidP="00CC18AA">
            <w:pPr>
              <w:spacing w:before="60" w:after="60"/>
              <w:rPr>
                <w:rFonts w:cs="Arial"/>
                <w:bCs/>
                <w:szCs w:val="20"/>
                <w:lang w:val="en-US"/>
              </w:rPr>
            </w:pPr>
          </w:p>
        </w:tc>
        <w:tc>
          <w:tcPr>
            <w:tcW w:w="1082" w:type="pct"/>
            <w:vMerge/>
            <w:shd w:val="clear" w:color="auto" w:fill="auto"/>
            <w:noWrap/>
            <w:vAlign w:val="center"/>
            <w:hideMark/>
          </w:tcPr>
          <w:p w:rsidR="003E108C" w:rsidRPr="00CC18AA" w:rsidRDefault="003E108C" w:rsidP="00CC18AA">
            <w:pPr>
              <w:spacing w:before="60" w:after="60"/>
              <w:jc w:val="left"/>
              <w:rPr>
                <w:rFonts w:cs="Arial"/>
                <w:szCs w:val="20"/>
                <w:lang w:val="en-US"/>
              </w:rPr>
            </w:pPr>
          </w:p>
        </w:tc>
        <w:tc>
          <w:tcPr>
            <w:tcW w:w="1230"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white-faced heron</w:t>
            </w:r>
          </w:p>
        </w:tc>
        <w:tc>
          <w:tcPr>
            <w:tcW w:w="924" w:type="pct"/>
            <w:shd w:val="clear" w:color="auto" w:fill="auto"/>
            <w:noWrap/>
            <w:vAlign w:val="center"/>
            <w:hideMark/>
          </w:tcPr>
          <w:p w:rsidR="003E108C" w:rsidRPr="00CC18AA" w:rsidRDefault="003E108C" w:rsidP="00CC18AA">
            <w:pPr>
              <w:spacing w:before="60" w:after="60"/>
              <w:jc w:val="center"/>
              <w:rPr>
                <w:rFonts w:cs="Arial"/>
                <w:szCs w:val="20"/>
                <w:lang w:val="en-US"/>
              </w:rPr>
            </w:pPr>
            <w:r w:rsidRPr="00CC18AA">
              <w:rPr>
                <w:rFonts w:cs="Arial"/>
                <w:szCs w:val="20"/>
                <w:lang w:val="en-US"/>
              </w:rPr>
              <w:t>1</w:t>
            </w:r>
          </w:p>
        </w:tc>
        <w:tc>
          <w:tcPr>
            <w:tcW w:w="1151"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nest</w:t>
            </w:r>
          </w:p>
        </w:tc>
      </w:tr>
      <w:tr w:rsidR="005F23F1" w:rsidRPr="00E23B8D" w:rsidTr="00CC18AA">
        <w:trPr>
          <w:trHeight w:val="300"/>
        </w:trPr>
        <w:tc>
          <w:tcPr>
            <w:tcW w:w="613" w:type="pct"/>
            <w:vMerge/>
            <w:shd w:val="clear" w:color="auto" w:fill="auto"/>
            <w:noWrap/>
            <w:hideMark/>
          </w:tcPr>
          <w:p w:rsidR="003E108C" w:rsidRPr="00CC18AA" w:rsidRDefault="003E108C" w:rsidP="00CC18AA">
            <w:pPr>
              <w:spacing w:before="60" w:after="60"/>
              <w:rPr>
                <w:rFonts w:cs="Arial"/>
                <w:bCs/>
                <w:szCs w:val="20"/>
                <w:lang w:val="en-US"/>
              </w:rPr>
            </w:pPr>
          </w:p>
        </w:tc>
        <w:tc>
          <w:tcPr>
            <w:tcW w:w="1082" w:type="pct"/>
            <w:vMerge/>
            <w:shd w:val="clear" w:color="auto" w:fill="auto"/>
            <w:noWrap/>
            <w:vAlign w:val="center"/>
            <w:hideMark/>
          </w:tcPr>
          <w:p w:rsidR="003E108C" w:rsidRPr="00CC18AA" w:rsidRDefault="003E108C" w:rsidP="00CC18AA">
            <w:pPr>
              <w:spacing w:before="60" w:after="60"/>
              <w:jc w:val="left"/>
              <w:rPr>
                <w:rFonts w:cs="Arial"/>
                <w:szCs w:val="20"/>
                <w:lang w:val="en-US"/>
              </w:rPr>
            </w:pPr>
          </w:p>
        </w:tc>
        <w:tc>
          <w:tcPr>
            <w:tcW w:w="1230"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white-necked heron</w:t>
            </w:r>
          </w:p>
        </w:tc>
        <w:tc>
          <w:tcPr>
            <w:tcW w:w="924" w:type="pct"/>
            <w:shd w:val="clear" w:color="auto" w:fill="auto"/>
            <w:noWrap/>
            <w:vAlign w:val="center"/>
            <w:hideMark/>
          </w:tcPr>
          <w:p w:rsidR="003E108C" w:rsidRPr="00CC18AA" w:rsidRDefault="003E108C" w:rsidP="00CC18AA">
            <w:pPr>
              <w:spacing w:before="60" w:after="60"/>
              <w:jc w:val="center"/>
              <w:rPr>
                <w:rFonts w:cs="Arial"/>
                <w:szCs w:val="20"/>
                <w:lang w:val="en-US"/>
              </w:rPr>
            </w:pPr>
            <w:r w:rsidRPr="00CC18AA">
              <w:rPr>
                <w:rFonts w:cs="Arial"/>
                <w:szCs w:val="20"/>
                <w:lang w:val="en-US"/>
              </w:rPr>
              <w:t>2</w:t>
            </w:r>
          </w:p>
        </w:tc>
        <w:tc>
          <w:tcPr>
            <w:tcW w:w="1151" w:type="pct"/>
            <w:shd w:val="clear" w:color="auto" w:fill="auto"/>
            <w:noWrap/>
            <w:vAlign w:val="center"/>
            <w:hideMark/>
          </w:tcPr>
          <w:p w:rsidR="003E108C" w:rsidRPr="00CC18AA" w:rsidRDefault="003E108C" w:rsidP="00CC18AA">
            <w:pPr>
              <w:spacing w:before="60" w:after="60"/>
              <w:jc w:val="left"/>
              <w:rPr>
                <w:rFonts w:cs="Arial"/>
                <w:szCs w:val="20"/>
                <w:lang w:val="en-US"/>
              </w:rPr>
            </w:pPr>
            <w:r w:rsidRPr="00CC18AA">
              <w:rPr>
                <w:rFonts w:cs="Arial"/>
                <w:szCs w:val="20"/>
                <w:lang w:val="en-US"/>
              </w:rPr>
              <w:t>2 nests 1 with chicks</w:t>
            </w:r>
          </w:p>
        </w:tc>
      </w:tr>
    </w:tbl>
    <w:p w:rsidR="0056539E" w:rsidRDefault="00E23B8D" w:rsidP="00673DAF">
      <w:pPr>
        <w:pStyle w:val="Heading9"/>
      </w:pPr>
      <w:r>
        <w:br w:type="page"/>
      </w:r>
      <w:r w:rsidR="0056539E">
        <w:t>Functional guilds</w:t>
      </w:r>
    </w:p>
    <w:p w:rsidR="0056539E" w:rsidRDefault="0049092F" w:rsidP="00E23B8D">
      <w:r>
        <w:t>All 10</w:t>
      </w:r>
      <w:r w:rsidR="0056539E">
        <w:t xml:space="preserve"> functional guilds were represented across the sites surveyed in both November 2015 and March 2016 (</w:t>
      </w:r>
      <w:r w:rsidR="004A25A2">
        <w:fldChar w:fldCharType="begin"/>
      </w:r>
      <w:r w:rsidR="004A25A2">
        <w:instrText xml:space="preserve"> REF _Ref457996536 \h </w:instrText>
      </w:r>
      <w:r w:rsidR="004A25A2">
        <w:fldChar w:fldCharType="separate"/>
      </w:r>
      <w:r w:rsidR="005D5925">
        <w:t xml:space="preserve">Figure </w:t>
      </w:r>
      <w:r w:rsidR="005D5925">
        <w:rPr>
          <w:noProof/>
        </w:rPr>
        <w:t>K</w:t>
      </w:r>
      <w:r w:rsidR="005D5925">
        <w:noBreakHyphen/>
        <w:t>8</w:t>
      </w:r>
      <w:r w:rsidR="004A25A2">
        <w:fldChar w:fldCharType="end"/>
      </w:r>
      <w:r w:rsidR="0056539E">
        <w:t>).  The average number of functional guilds recorded per site was 4</w:t>
      </w:r>
      <w:r>
        <w:t>.0</w:t>
      </w:r>
      <w:r w:rsidR="0056539E">
        <w:t xml:space="preserve"> in November 2015 and 2.9 in March 2016 with this difference being non-significant (P=0.111).  The average number of functional guilds represented at inundated sites (4.7) was significantly higher than at dry sites (2.3; p&lt;0.005). </w:t>
      </w:r>
      <w:r w:rsidR="006004AC">
        <w:t xml:space="preserve"> </w:t>
      </w:r>
      <w:r w:rsidR="0056539E">
        <w:t xml:space="preserve">Pairwise comparisons between </w:t>
      </w:r>
      <w:r w:rsidR="00605C43">
        <w:t>system</w:t>
      </w:r>
      <w:r w:rsidR="0056539E">
        <w:t xml:space="preserve">s showed no significant difference in the number of functional guilds represented during the 2015-16 water year although there was a significant difference in the mean number of guilds represented between creek (2.3) and floodplain wetland (4.3) sites (P&lt;0.05).  </w:t>
      </w:r>
    </w:p>
    <w:p w:rsidR="0056539E" w:rsidRDefault="0056539E" w:rsidP="00E23B8D">
      <w:r>
        <w:t xml:space="preserve">Waterhole sites did not differ significantly from either creek or floodplain wetland sites.  Reed-inhabiting passerines, migratory charadriiform shorebirds and rails and shoreline gallinules were absent from creek sites in both November 2015 and March 2016 and diving ducks, aquatic gallinules and swans were absent from creek sites in March 2016. </w:t>
      </w:r>
      <w:r w:rsidR="006004AC">
        <w:t xml:space="preserve"> </w:t>
      </w:r>
      <w:r>
        <w:t xml:space="preserve">All </w:t>
      </w:r>
      <w:r w:rsidR="00121321">
        <w:t>10</w:t>
      </w:r>
      <w:r>
        <w:t xml:space="preserve"> functional guilds were represented at both floodplain wetland and waterhole sites in both sampling periods.</w:t>
      </w:r>
    </w:p>
    <w:p w:rsidR="0056539E" w:rsidRDefault="0056539E" w:rsidP="00E23B8D">
      <w:r>
        <w:t>Three of the functional guilds increased in abundance from November 2015 to March 2016 (grazing ducks and geese, piscivores and raptors) while all others showed a decline.  Raptors showed the largest increase in abundance between sampling periods, from 7 birds/ha in November 2015 to 23 birds</w:t>
      </w:r>
      <w:r w:rsidR="00121321">
        <w:t xml:space="preserve"> per ha</w:t>
      </w:r>
      <w:r>
        <w:t xml:space="preserve"> in March 2016.  The largest decline was in dabbling and filter-feeding ducks which dropped from 112 birds</w:t>
      </w:r>
      <w:r w:rsidR="00121321">
        <w:t xml:space="preserve"> per ha</w:t>
      </w:r>
      <w:r>
        <w:t xml:space="preserve"> in November 2015 to 27 birds</w:t>
      </w:r>
      <w:r w:rsidR="00121321">
        <w:t xml:space="preserve"> per </w:t>
      </w:r>
      <w:r>
        <w:t>ha in March 2016.</w:t>
      </w:r>
    </w:p>
    <w:p w:rsidR="00AE2431" w:rsidRDefault="0056539E" w:rsidP="00E23B8D">
      <w:r>
        <w:t>Dabbling and filter-feeding ducks and piscivores were dominant in November 2015 and piscivores and grazing ducks and geese were dominant in March 2016.  Overall, piscivores and dabbling and filter-feeding ducks dominated the waterbird community in the 2015-16 water year.  Piscivores included little pied cormorants, and cattle egrets; large wading birds included glossy ibis and dabbling and filter-feeding ducks include magpie geese which were all seen in flocks of 100 or more during surveys.  Grey teal and Pacific black duck which are dabbling and filter-feeding ducks were also seen in large flocks throughout the surveys.</w:t>
      </w:r>
    </w:p>
    <w:p w:rsidR="00862795" w:rsidRDefault="0056539E" w:rsidP="00E23B8D">
      <w:r>
        <w:t xml:space="preserve">  </w:t>
      </w:r>
      <w:r w:rsidR="00862795">
        <w:br w:type="page"/>
      </w:r>
    </w:p>
    <w:p w:rsidR="00265A6B" w:rsidRDefault="004176FF" w:rsidP="00265A6B">
      <w:pPr>
        <w:keepNext/>
        <w:spacing w:line="240" w:lineRule="auto"/>
      </w:pPr>
      <w:r w:rsidRPr="008F5E11">
        <w:rPr>
          <w:noProof/>
          <w:lang w:eastAsia="en-AU"/>
        </w:rPr>
        <w:drawing>
          <wp:inline distT="0" distB="0" distL="0" distR="0">
            <wp:extent cx="5844540" cy="4683760"/>
            <wp:effectExtent l="0" t="0" r="3810" b="2540"/>
            <wp:docPr id="111" name="Chart 10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rsidR="00614391" w:rsidRPr="00862795" w:rsidRDefault="00265A6B" w:rsidP="00862795">
      <w:pPr>
        <w:pStyle w:val="Caption"/>
      </w:pPr>
      <w:bookmarkStart w:id="183" w:name="_Ref457996536"/>
      <w:r>
        <w:t xml:space="preserve">Figure </w:t>
      </w:r>
      <w:fldSimple w:instr=" STYLEREF 6 \s ">
        <w:r w:rsidR="005D5925">
          <w:rPr>
            <w:noProof/>
          </w:rPr>
          <w:t>K</w:t>
        </w:r>
      </w:fldSimple>
      <w:r w:rsidR="00A97349">
        <w:noBreakHyphen/>
      </w:r>
      <w:r w:rsidR="006004AC">
        <w:t>8</w:t>
      </w:r>
      <w:bookmarkEnd w:id="183"/>
      <w:r>
        <w:t xml:space="preserve"> </w:t>
      </w:r>
      <w:r w:rsidRPr="00C238AE">
        <w:t>Waterbird count</w:t>
      </w:r>
      <w:r w:rsidR="00121321">
        <w:t xml:space="preserve"> per </w:t>
      </w:r>
      <w:r w:rsidRPr="00C238AE">
        <w:t>ha by functional group across all sites in 2015-16 water year.</w:t>
      </w:r>
    </w:p>
    <w:p w:rsidR="0056539E" w:rsidRDefault="0056539E" w:rsidP="00265A6B">
      <w:pPr>
        <w:pStyle w:val="Heading8"/>
      </w:pPr>
      <w:r>
        <w:t>Multi-year comparison</w:t>
      </w:r>
    </w:p>
    <w:p w:rsidR="0056539E" w:rsidRDefault="00614391" w:rsidP="00265A6B">
      <w:pPr>
        <w:pStyle w:val="Heading9"/>
      </w:pPr>
      <w:r>
        <w:t>S</w:t>
      </w:r>
      <w:r w:rsidR="0056539E">
        <w:t>pecies richness and abundance</w:t>
      </w:r>
    </w:p>
    <w:p w:rsidR="0056539E" w:rsidRDefault="0056539E" w:rsidP="00E23B8D">
      <w:r>
        <w:t>Species richness and abundance did not differ between sampling periods across year 1 and year 2 (p= 0.11 and p=0.19 respectively).  However</w:t>
      </w:r>
      <w:r w:rsidR="00121321">
        <w:t>,</w:t>
      </w:r>
      <w:r>
        <w:t xml:space="preserve"> both abundance and richness differed consistently in response to the presence of water (p&lt;0.05).  Twelve of the 16 possible wet/dry comparisons differed significantly in abundance (p&lt;0.05) and only December 2014 showed no within sampling period variation between wet and dry sites.  This is likely due to the even spread of wet vs dry sites in the December 2014 sampling period (12 wet and 12 dry) and the fact that those sites nominated as wet had a generally low estimated inundation compared to other sampling periods.  There was no significant interaction between sampling period and the presence of water for either abundance or species richness (p=0.50 and p=0.11 respectively).  Richness showed a similar pattern of within sampling period difference, although both November 2015 and December 2014 showed no within period difference.  Again, the spread of wet vs dry sites is more even in the November 2015 sampling period (12 dry and 17 wet) which likely explains the similarity in results.</w:t>
      </w:r>
    </w:p>
    <w:p w:rsidR="00AE2431" w:rsidRDefault="0056539E" w:rsidP="00E23B8D">
      <w:r>
        <w:t xml:space="preserve">No differences in abundance or richness were accounted for by wet/wet or dry/dry pairs and summer and autumn sampling periods differed between years based on the presence of water.  This suggests that seasonality has </w:t>
      </w:r>
      <w:r w:rsidR="00121321">
        <w:t>shown minimal</w:t>
      </w:r>
      <w:r>
        <w:t xml:space="preserve"> influence on abundance and richness and that all observed differences are driven by inun</w:t>
      </w:r>
      <w:r w:rsidR="00121321">
        <w:t>dation for the sampling to date.</w:t>
      </w:r>
    </w:p>
    <w:p w:rsidR="0056539E" w:rsidRDefault="009524AD" w:rsidP="00AE2431">
      <w:pPr>
        <w:pStyle w:val="Heading9"/>
      </w:pPr>
      <w:r>
        <w:br w:type="page"/>
      </w:r>
      <w:r w:rsidR="0056539E">
        <w:t>Community composition</w:t>
      </w:r>
    </w:p>
    <w:p w:rsidR="0056539E" w:rsidRPr="00E66FE1" w:rsidRDefault="0056539E" w:rsidP="00E23B8D">
      <w:r>
        <w:t>Considering data collected over both year 1 and 2 of the project, nMDS plots show that there was some separation in community composition based on sampling times and the presence of water (</w:t>
      </w:r>
      <w:r>
        <w:fldChar w:fldCharType="begin"/>
      </w:r>
      <w:r>
        <w:instrText xml:space="preserve"> REF _Ref453096147 \h </w:instrText>
      </w:r>
      <w:r w:rsidR="00E23B8D">
        <w:instrText xml:space="preserve"> \* MERGEFORMAT </w:instrText>
      </w:r>
      <w:r>
        <w:fldChar w:fldCharType="separate"/>
      </w:r>
      <w:r w:rsidR="005D5925">
        <w:t xml:space="preserve">Figure </w:t>
      </w:r>
      <w:r w:rsidR="005D5925">
        <w:rPr>
          <w:noProof/>
        </w:rPr>
        <w:t>K</w:t>
      </w:r>
      <w:r w:rsidR="005D5925">
        <w:rPr>
          <w:noProof/>
        </w:rPr>
        <w:noBreakHyphen/>
      </w:r>
      <w:r>
        <w:fldChar w:fldCharType="end"/>
      </w:r>
      <w:r w:rsidR="006004AC">
        <w:t>9</w:t>
      </w:r>
      <w:r>
        <w:t xml:space="preserve">). </w:t>
      </w:r>
      <w:r w:rsidR="006004AC">
        <w:t xml:space="preserve"> </w:t>
      </w:r>
      <w:r>
        <w:t>PERMANOVA pairwise comparison tests show that these differences were not consistent between survey periods or whether sites were wet or not (</w:t>
      </w:r>
      <w:r>
        <w:fldChar w:fldCharType="begin"/>
      </w:r>
      <w:r>
        <w:instrText xml:space="preserve"> REF _Ref453096169 \h </w:instrText>
      </w:r>
      <w:r w:rsidR="00E23B8D">
        <w:instrText xml:space="preserve"> \* MERGEFORMAT </w:instrText>
      </w:r>
      <w:r>
        <w:fldChar w:fldCharType="separate"/>
      </w:r>
      <w:r w:rsidR="005D5925">
        <w:t xml:space="preserve">Table </w:t>
      </w:r>
      <w:r w:rsidR="005D5925">
        <w:rPr>
          <w:noProof/>
        </w:rPr>
        <w:t>K</w:t>
      </w:r>
      <w:r w:rsidR="005D5925">
        <w:rPr>
          <w:noProof/>
        </w:rPr>
        <w:noBreakHyphen/>
      </w:r>
      <w:r>
        <w:fldChar w:fldCharType="end"/>
      </w:r>
      <w:r>
        <w:t xml:space="preserve">). </w:t>
      </w:r>
      <w:r w:rsidR="006004AC">
        <w:t xml:space="preserve"> </w:t>
      </w:r>
      <w:r>
        <w:t xml:space="preserve">Wet and dry sites were significantly different within survey periods, except in March 2015 where no differences were detected. </w:t>
      </w:r>
      <w:r w:rsidR="006004AC">
        <w:t xml:space="preserve"> </w:t>
      </w:r>
      <w:r>
        <w:t xml:space="preserve">Wet sites sampled in March 15 were significantly different from both wet and dry sites in December 14, and wet and dry sites in November 15. </w:t>
      </w:r>
      <w:r w:rsidR="006004AC">
        <w:t xml:space="preserve"> </w:t>
      </w:r>
      <w:r>
        <w:t>Similarly, dry sites sampled in March 2016, were significantly different to both wet and dry sites in November 2015.</w:t>
      </w:r>
    </w:p>
    <w:p w:rsidR="0056539E" w:rsidRDefault="004176FF" w:rsidP="0056539E">
      <w:pPr>
        <w:keepNext/>
        <w:spacing w:line="240" w:lineRule="auto"/>
      </w:pPr>
      <w:r w:rsidRPr="008F5E11">
        <w:rPr>
          <w:noProof/>
          <w:lang w:eastAsia="en-AU"/>
        </w:rPr>
        <w:drawing>
          <wp:inline distT="0" distB="0" distL="0" distR="0">
            <wp:extent cx="5000625" cy="3162300"/>
            <wp:effectExtent l="0" t="0" r="0" b="0"/>
            <wp:docPr id="112" name="Chart 2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rsidR="00862795" w:rsidRDefault="0056539E" w:rsidP="009524AD">
      <w:pPr>
        <w:pStyle w:val="Caption"/>
        <w:spacing w:after="360"/>
        <w:ind w:right="-6"/>
      </w:pPr>
      <w:bookmarkStart w:id="184" w:name="_Ref453096147"/>
      <w:r>
        <w:t xml:space="preserve">Figure </w:t>
      </w:r>
      <w:fldSimple w:instr=" STYLEREF 6 \s ">
        <w:r w:rsidR="005D5925">
          <w:rPr>
            <w:noProof/>
          </w:rPr>
          <w:t>K</w:t>
        </w:r>
      </w:fldSimple>
      <w:r w:rsidR="00A97349">
        <w:noBreakHyphen/>
      </w:r>
      <w:bookmarkEnd w:id="184"/>
      <w:r w:rsidR="006004AC">
        <w:t>9</w:t>
      </w:r>
      <w:r>
        <w:t xml:space="preserve"> </w:t>
      </w:r>
      <w:r w:rsidRPr="0033729F">
        <w:t xml:space="preserve">nMDS plot of waterbird species abundance data in year 1 and 2 of the project grouped by </w:t>
      </w:r>
      <w:r>
        <w:t>survey period</w:t>
      </w:r>
      <w:r w:rsidRPr="0033729F">
        <w:t xml:space="preserve"> and the presence of water (wet) or not (dry).</w:t>
      </w:r>
      <w:r>
        <w:t xml:space="preserve"> Note samples from Gingham waterhole in December 2014 and March 15 were removed from this analysis as they were considered outliers due to highly elevated species counts. </w:t>
      </w:r>
    </w:p>
    <w:p w:rsidR="0056539E" w:rsidRDefault="0056539E" w:rsidP="00E23B8D">
      <w:pPr>
        <w:pStyle w:val="Caption"/>
        <w:keepNext/>
        <w:ind w:right="-6"/>
      </w:pPr>
      <w:bookmarkStart w:id="185" w:name="_Ref453096169"/>
      <w:r>
        <w:t xml:space="preserve">Table </w:t>
      </w:r>
      <w:fldSimple w:instr=" STYLEREF 6 \s ">
        <w:r w:rsidR="005D5925">
          <w:rPr>
            <w:noProof/>
          </w:rPr>
          <w:t>K</w:t>
        </w:r>
      </w:fldSimple>
      <w:r w:rsidR="005D4453">
        <w:noBreakHyphen/>
      </w:r>
      <w:bookmarkEnd w:id="185"/>
      <w:r w:rsidR="006004AC">
        <w:t>6</w:t>
      </w:r>
      <w:r>
        <w:t xml:space="preserve"> </w:t>
      </w:r>
      <w:proofErr w:type="gramStart"/>
      <w:r w:rsidR="00AE2431">
        <w:t>S</w:t>
      </w:r>
      <w:r w:rsidR="00AE2431" w:rsidRPr="00BD507F">
        <w:t>ignificant</w:t>
      </w:r>
      <w:proofErr w:type="gramEnd"/>
      <w:r w:rsidRPr="00BD507F">
        <w:t xml:space="preserve"> results for PERMANOVA pairwise tests based on </w:t>
      </w:r>
      <w:r>
        <w:t>survey period</w:t>
      </w:r>
      <w:r w:rsidRPr="00BD507F">
        <w:t xml:space="preserve"> and the presence of water.</w:t>
      </w:r>
    </w:p>
    <w:tbl>
      <w:tblPr>
        <w:tblW w:w="0" w:type="auto"/>
        <w:tblBorders>
          <w:top w:val="single" w:sz="2" w:space="0" w:color="000000"/>
          <w:bottom w:val="single" w:sz="2" w:space="0" w:color="000000"/>
          <w:insideH w:val="single" w:sz="2" w:space="0" w:color="000000"/>
          <w:insideV w:val="single" w:sz="2" w:space="0" w:color="000000"/>
        </w:tblBorders>
        <w:tblLayout w:type="fixed"/>
        <w:tblLook w:val="04A0" w:firstRow="1" w:lastRow="0" w:firstColumn="1" w:lastColumn="0" w:noHBand="0" w:noVBand="1"/>
      </w:tblPr>
      <w:tblGrid>
        <w:gridCol w:w="1560"/>
        <w:gridCol w:w="1559"/>
        <w:gridCol w:w="761"/>
        <w:gridCol w:w="761"/>
        <w:gridCol w:w="761"/>
        <w:gridCol w:w="761"/>
        <w:gridCol w:w="761"/>
        <w:gridCol w:w="761"/>
        <w:gridCol w:w="761"/>
        <w:gridCol w:w="762"/>
      </w:tblGrid>
      <w:tr w:rsidR="005F23F1" w:rsidRPr="00862795" w:rsidTr="00CC18AA">
        <w:tc>
          <w:tcPr>
            <w:tcW w:w="1560" w:type="dxa"/>
            <w:shd w:val="clear" w:color="auto" w:fill="D9D9D9"/>
            <w:noWrap/>
            <w:vAlign w:val="center"/>
          </w:tcPr>
          <w:p w:rsidR="00E23B8D" w:rsidRPr="00CC18AA" w:rsidRDefault="00E23B8D" w:rsidP="00CC18AA">
            <w:pPr>
              <w:spacing w:before="60" w:after="60"/>
              <w:jc w:val="center"/>
              <w:rPr>
                <w:szCs w:val="20"/>
              </w:rPr>
            </w:pPr>
            <w:r w:rsidRPr="00CC18AA">
              <w:rPr>
                <w:szCs w:val="20"/>
              </w:rPr>
              <w:t>Sampling time</w:t>
            </w:r>
          </w:p>
        </w:tc>
        <w:tc>
          <w:tcPr>
            <w:tcW w:w="1559" w:type="dxa"/>
            <w:shd w:val="clear" w:color="auto" w:fill="D9D9D9"/>
            <w:noWrap/>
            <w:vAlign w:val="center"/>
          </w:tcPr>
          <w:p w:rsidR="00E23B8D" w:rsidRPr="00CC18AA" w:rsidRDefault="00E23B8D" w:rsidP="00CC18AA">
            <w:pPr>
              <w:spacing w:before="60" w:after="60"/>
              <w:jc w:val="center"/>
              <w:rPr>
                <w:szCs w:val="20"/>
              </w:rPr>
            </w:pPr>
          </w:p>
        </w:tc>
        <w:tc>
          <w:tcPr>
            <w:tcW w:w="1522" w:type="dxa"/>
            <w:gridSpan w:val="2"/>
            <w:shd w:val="clear" w:color="auto" w:fill="D9D9D9"/>
            <w:noWrap/>
            <w:vAlign w:val="center"/>
          </w:tcPr>
          <w:p w:rsidR="00E23B8D" w:rsidRPr="00CC18AA" w:rsidRDefault="00E23B8D" w:rsidP="00CC18AA">
            <w:pPr>
              <w:spacing w:before="60" w:after="60"/>
              <w:jc w:val="center"/>
              <w:rPr>
                <w:szCs w:val="20"/>
              </w:rPr>
            </w:pPr>
            <w:r w:rsidRPr="00CC18AA">
              <w:rPr>
                <w:szCs w:val="20"/>
              </w:rPr>
              <w:t>Dec-14</w:t>
            </w:r>
          </w:p>
        </w:tc>
        <w:tc>
          <w:tcPr>
            <w:tcW w:w="1522" w:type="dxa"/>
            <w:gridSpan w:val="2"/>
            <w:shd w:val="clear" w:color="auto" w:fill="D9D9D9"/>
            <w:noWrap/>
            <w:vAlign w:val="center"/>
          </w:tcPr>
          <w:p w:rsidR="00E23B8D" w:rsidRPr="00CC18AA" w:rsidRDefault="00E23B8D" w:rsidP="00CC18AA">
            <w:pPr>
              <w:spacing w:before="60" w:after="60"/>
              <w:jc w:val="center"/>
              <w:rPr>
                <w:szCs w:val="20"/>
              </w:rPr>
            </w:pPr>
            <w:r w:rsidRPr="00CC18AA">
              <w:rPr>
                <w:szCs w:val="20"/>
              </w:rPr>
              <w:t>Mar-15</w:t>
            </w:r>
          </w:p>
        </w:tc>
        <w:tc>
          <w:tcPr>
            <w:tcW w:w="1522" w:type="dxa"/>
            <w:gridSpan w:val="2"/>
            <w:shd w:val="clear" w:color="auto" w:fill="D9D9D9"/>
            <w:noWrap/>
            <w:vAlign w:val="center"/>
          </w:tcPr>
          <w:p w:rsidR="00E23B8D" w:rsidRPr="00CC18AA" w:rsidRDefault="00E23B8D" w:rsidP="00CC18AA">
            <w:pPr>
              <w:spacing w:before="60" w:after="60"/>
              <w:jc w:val="center"/>
              <w:rPr>
                <w:szCs w:val="20"/>
              </w:rPr>
            </w:pPr>
            <w:r w:rsidRPr="00CC18AA">
              <w:rPr>
                <w:szCs w:val="20"/>
              </w:rPr>
              <w:t>No-15</w:t>
            </w:r>
          </w:p>
        </w:tc>
        <w:tc>
          <w:tcPr>
            <w:tcW w:w="1523" w:type="dxa"/>
            <w:gridSpan w:val="2"/>
            <w:shd w:val="clear" w:color="auto" w:fill="D9D9D9"/>
            <w:noWrap/>
            <w:vAlign w:val="center"/>
          </w:tcPr>
          <w:p w:rsidR="00E23B8D" w:rsidRPr="00CC18AA" w:rsidRDefault="00E23B8D" w:rsidP="00CC18AA">
            <w:pPr>
              <w:spacing w:before="60" w:after="60"/>
              <w:jc w:val="center"/>
              <w:rPr>
                <w:szCs w:val="20"/>
              </w:rPr>
            </w:pPr>
            <w:r w:rsidRPr="00CC18AA">
              <w:rPr>
                <w:szCs w:val="20"/>
              </w:rPr>
              <w:t>Mar-16</w:t>
            </w:r>
          </w:p>
        </w:tc>
      </w:tr>
      <w:tr w:rsidR="005F23F1" w:rsidRPr="00862795" w:rsidTr="00CC18AA">
        <w:tc>
          <w:tcPr>
            <w:tcW w:w="1560" w:type="dxa"/>
            <w:shd w:val="clear" w:color="auto" w:fill="D9D9D9"/>
            <w:noWrap/>
            <w:vAlign w:val="center"/>
          </w:tcPr>
          <w:p w:rsidR="00E23B8D" w:rsidRPr="00CC18AA" w:rsidRDefault="00E23B8D" w:rsidP="00CC18AA">
            <w:pPr>
              <w:spacing w:before="60" w:after="60"/>
              <w:jc w:val="center"/>
              <w:rPr>
                <w:szCs w:val="20"/>
              </w:rPr>
            </w:pPr>
          </w:p>
        </w:tc>
        <w:tc>
          <w:tcPr>
            <w:tcW w:w="1559" w:type="dxa"/>
            <w:shd w:val="clear" w:color="auto" w:fill="D9D9D9"/>
            <w:noWrap/>
            <w:vAlign w:val="center"/>
          </w:tcPr>
          <w:p w:rsidR="00E23B8D" w:rsidRPr="00CC18AA" w:rsidRDefault="00E23B8D" w:rsidP="00CC18AA">
            <w:pPr>
              <w:spacing w:before="60" w:after="60"/>
              <w:jc w:val="center"/>
              <w:rPr>
                <w:szCs w:val="20"/>
              </w:rPr>
            </w:pPr>
            <w:r w:rsidRPr="00CC18AA">
              <w:rPr>
                <w:szCs w:val="20"/>
              </w:rPr>
              <w:t>Water presence</w:t>
            </w:r>
          </w:p>
        </w:tc>
        <w:tc>
          <w:tcPr>
            <w:tcW w:w="761" w:type="dxa"/>
            <w:shd w:val="clear" w:color="auto" w:fill="D9D9D9"/>
            <w:noWrap/>
            <w:vAlign w:val="center"/>
          </w:tcPr>
          <w:p w:rsidR="00E23B8D" w:rsidRPr="00CC18AA" w:rsidRDefault="00E23B8D" w:rsidP="00CC18AA">
            <w:pPr>
              <w:spacing w:before="60" w:after="60"/>
              <w:jc w:val="center"/>
              <w:rPr>
                <w:szCs w:val="20"/>
              </w:rPr>
            </w:pPr>
            <w:r w:rsidRPr="00CC18AA">
              <w:rPr>
                <w:szCs w:val="20"/>
              </w:rPr>
              <w:t>Wet</w:t>
            </w:r>
          </w:p>
        </w:tc>
        <w:tc>
          <w:tcPr>
            <w:tcW w:w="761" w:type="dxa"/>
            <w:shd w:val="clear" w:color="auto" w:fill="D9D9D9"/>
            <w:noWrap/>
            <w:vAlign w:val="center"/>
          </w:tcPr>
          <w:p w:rsidR="00E23B8D" w:rsidRPr="00CC18AA" w:rsidRDefault="00E23B8D" w:rsidP="00CC18AA">
            <w:pPr>
              <w:spacing w:before="60" w:after="60"/>
              <w:jc w:val="center"/>
              <w:rPr>
                <w:szCs w:val="20"/>
              </w:rPr>
            </w:pPr>
            <w:r w:rsidRPr="00CC18AA">
              <w:rPr>
                <w:szCs w:val="20"/>
              </w:rPr>
              <w:t>Dry</w:t>
            </w:r>
          </w:p>
        </w:tc>
        <w:tc>
          <w:tcPr>
            <w:tcW w:w="761" w:type="dxa"/>
            <w:shd w:val="clear" w:color="auto" w:fill="D9D9D9"/>
            <w:noWrap/>
            <w:vAlign w:val="center"/>
          </w:tcPr>
          <w:p w:rsidR="00E23B8D" w:rsidRPr="00CC18AA" w:rsidRDefault="00E23B8D" w:rsidP="00CC18AA">
            <w:pPr>
              <w:spacing w:before="60" w:after="60"/>
              <w:jc w:val="center"/>
              <w:rPr>
                <w:szCs w:val="20"/>
              </w:rPr>
            </w:pPr>
            <w:r w:rsidRPr="00CC18AA">
              <w:rPr>
                <w:szCs w:val="20"/>
              </w:rPr>
              <w:t>Wet</w:t>
            </w:r>
          </w:p>
        </w:tc>
        <w:tc>
          <w:tcPr>
            <w:tcW w:w="761" w:type="dxa"/>
            <w:shd w:val="clear" w:color="auto" w:fill="D9D9D9"/>
            <w:noWrap/>
            <w:vAlign w:val="center"/>
          </w:tcPr>
          <w:p w:rsidR="00E23B8D" w:rsidRPr="00CC18AA" w:rsidRDefault="00E23B8D" w:rsidP="00CC18AA">
            <w:pPr>
              <w:spacing w:before="60" w:after="60"/>
              <w:jc w:val="center"/>
              <w:rPr>
                <w:szCs w:val="20"/>
              </w:rPr>
            </w:pPr>
            <w:r w:rsidRPr="00CC18AA">
              <w:rPr>
                <w:szCs w:val="20"/>
              </w:rPr>
              <w:t>Dry</w:t>
            </w:r>
          </w:p>
        </w:tc>
        <w:tc>
          <w:tcPr>
            <w:tcW w:w="761" w:type="dxa"/>
            <w:shd w:val="clear" w:color="auto" w:fill="D9D9D9"/>
            <w:noWrap/>
            <w:vAlign w:val="center"/>
          </w:tcPr>
          <w:p w:rsidR="00E23B8D" w:rsidRPr="00CC18AA" w:rsidRDefault="00E23B8D" w:rsidP="00CC18AA">
            <w:pPr>
              <w:spacing w:before="60" w:after="60"/>
              <w:jc w:val="center"/>
              <w:rPr>
                <w:szCs w:val="20"/>
              </w:rPr>
            </w:pPr>
            <w:r w:rsidRPr="00CC18AA">
              <w:rPr>
                <w:szCs w:val="20"/>
              </w:rPr>
              <w:t>Wet</w:t>
            </w:r>
          </w:p>
        </w:tc>
        <w:tc>
          <w:tcPr>
            <w:tcW w:w="761" w:type="dxa"/>
            <w:shd w:val="clear" w:color="auto" w:fill="D9D9D9"/>
            <w:noWrap/>
            <w:vAlign w:val="center"/>
          </w:tcPr>
          <w:p w:rsidR="00E23B8D" w:rsidRPr="00CC18AA" w:rsidRDefault="00E23B8D" w:rsidP="00CC18AA">
            <w:pPr>
              <w:spacing w:before="60" w:after="60"/>
              <w:jc w:val="center"/>
              <w:rPr>
                <w:szCs w:val="20"/>
              </w:rPr>
            </w:pPr>
            <w:r w:rsidRPr="00CC18AA">
              <w:rPr>
                <w:szCs w:val="20"/>
              </w:rPr>
              <w:t>Dry</w:t>
            </w:r>
          </w:p>
        </w:tc>
        <w:tc>
          <w:tcPr>
            <w:tcW w:w="761" w:type="dxa"/>
            <w:shd w:val="clear" w:color="auto" w:fill="D9D9D9"/>
            <w:noWrap/>
            <w:vAlign w:val="center"/>
          </w:tcPr>
          <w:p w:rsidR="00E23B8D" w:rsidRPr="00CC18AA" w:rsidRDefault="00E23B8D" w:rsidP="00CC18AA">
            <w:pPr>
              <w:spacing w:before="60" w:after="60"/>
              <w:jc w:val="center"/>
              <w:rPr>
                <w:szCs w:val="20"/>
              </w:rPr>
            </w:pPr>
            <w:r w:rsidRPr="00CC18AA">
              <w:rPr>
                <w:szCs w:val="20"/>
              </w:rPr>
              <w:t>Wet</w:t>
            </w:r>
          </w:p>
        </w:tc>
        <w:tc>
          <w:tcPr>
            <w:tcW w:w="762" w:type="dxa"/>
            <w:shd w:val="clear" w:color="auto" w:fill="D9D9D9"/>
            <w:noWrap/>
            <w:vAlign w:val="center"/>
          </w:tcPr>
          <w:p w:rsidR="00E23B8D" w:rsidRPr="00CC18AA" w:rsidRDefault="00E23B8D" w:rsidP="00CC18AA">
            <w:pPr>
              <w:spacing w:before="60" w:after="60"/>
              <w:jc w:val="center"/>
              <w:rPr>
                <w:szCs w:val="20"/>
              </w:rPr>
            </w:pPr>
            <w:r w:rsidRPr="00CC18AA">
              <w:rPr>
                <w:szCs w:val="20"/>
              </w:rPr>
              <w:t>Dry</w:t>
            </w:r>
          </w:p>
        </w:tc>
      </w:tr>
      <w:tr w:rsidR="005F23F1" w:rsidRPr="00862795" w:rsidTr="00CC18AA">
        <w:tc>
          <w:tcPr>
            <w:tcW w:w="1560" w:type="dxa"/>
            <w:vMerge w:val="restart"/>
            <w:shd w:val="clear" w:color="auto" w:fill="auto"/>
            <w:noWrap/>
            <w:vAlign w:val="center"/>
          </w:tcPr>
          <w:p w:rsidR="00E23B8D" w:rsidRPr="00CC18AA" w:rsidRDefault="00E23B8D" w:rsidP="00CC18AA">
            <w:pPr>
              <w:spacing w:before="60" w:after="60"/>
              <w:rPr>
                <w:szCs w:val="20"/>
              </w:rPr>
            </w:pPr>
            <w:r w:rsidRPr="00CC18AA">
              <w:rPr>
                <w:szCs w:val="20"/>
              </w:rPr>
              <w:t>Dec- 4</w:t>
            </w:r>
          </w:p>
        </w:tc>
        <w:tc>
          <w:tcPr>
            <w:tcW w:w="1559" w:type="dxa"/>
            <w:shd w:val="clear" w:color="auto" w:fill="auto"/>
            <w:noWrap/>
            <w:vAlign w:val="center"/>
          </w:tcPr>
          <w:p w:rsidR="00E23B8D" w:rsidRPr="00CC18AA" w:rsidRDefault="00E23B8D" w:rsidP="00CC18AA">
            <w:pPr>
              <w:spacing w:before="60" w:after="60"/>
              <w:jc w:val="center"/>
              <w:rPr>
                <w:szCs w:val="20"/>
              </w:rPr>
            </w:pPr>
            <w:r w:rsidRPr="00CC18AA">
              <w:rPr>
                <w:szCs w:val="20"/>
              </w:rPr>
              <w:t>Wet</w:t>
            </w:r>
          </w:p>
        </w:tc>
        <w:tc>
          <w:tcPr>
            <w:tcW w:w="761" w:type="dxa"/>
            <w:shd w:val="clear" w:color="auto" w:fill="auto"/>
            <w:noWrap/>
            <w:vAlign w:val="center"/>
          </w:tcPr>
          <w:p w:rsidR="00E23B8D" w:rsidRPr="00CC18AA" w:rsidRDefault="00E23B8D" w:rsidP="00CC18AA">
            <w:pPr>
              <w:spacing w:before="60" w:after="60"/>
              <w:jc w:val="center"/>
              <w:rPr>
                <w:szCs w:val="20"/>
              </w:rPr>
            </w:pPr>
          </w:p>
        </w:tc>
        <w:tc>
          <w:tcPr>
            <w:tcW w:w="761" w:type="dxa"/>
            <w:shd w:val="clear" w:color="auto" w:fill="auto"/>
            <w:noWrap/>
            <w:vAlign w:val="center"/>
          </w:tcPr>
          <w:p w:rsidR="00E23B8D" w:rsidRPr="00CC18AA" w:rsidRDefault="00E23B8D" w:rsidP="00CC18AA">
            <w:pPr>
              <w:spacing w:before="60" w:after="60"/>
              <w:jc w:val="center"/>
              <w:rPr>
                <w:szCs w:val="20"/>
              </w:rPr>
            </w:pPr>
          </w:p>
        </w:tc>
        <w:tc>
          <w:tcPr>
            <w:tcW w:w="761" w:type="dxa"/>
            <w:shd w:val="clear" w:color="auto" w:fill="auto"/>
            <w:noWrap/>
            <w:vAlign w:val="center"/>
          </w:tcPr>
          <w:p w:rsidR="00E23B8D" w:rsidRPr="00CC18AA" w:rsidRDefault="00E23B8D" w:rsidP="00CC18AA">
            <w:pPr>
              <w:spacing w:before="60" w:after="60"/>
              <w:jc w:val="center"/>
              <w:rPr>
                <w:szCs w:val="20"/>
              </w:rPr>
            </w:pPr>
          </w:p>
        </w:tc>
        <w:tc>
          <w:tcPr>
            <w:tcW w:w="761" w:type="dxa"/>
            <w:shd w:val="clear" w:color="auto" w:fill="auto"/>
            <w:noWrap/>
            <w:vAlign w:val="center"/>
          </w:tcPr>
          <w:p w:rsidR="00E23B8D" w:rsidRPr="00CC18AA" w:rsidRDefault="00E23B8D" w:rsidP="00CC18AA">
            <w:pPr>
              <w:spacing w:before="60" w:after="60"/>
              <w:jc w:val="center"/>
              <w:rPr>
                <w:szCs w:val="20"/>
              </w:rPr>
            </w:pPr>
          </w:p>
        </w:tc>
        <w:tc>
          <w:tcPr>
            <w:tcW w:w="761" w:type="dxa"/>
            <w:shd w:val="clear" w:color="auto" w:fill="auto"/>
            <w:noWrap/>
            <w:vAlign w:val="center"/>
          </w:tcPr>
          <w:p w:rsidR="00E23B8D" w:rsidRPr="00CC18AA" w:rsidRDefault="00E23B8D" w:rsidP="00CC18AA">
            <w:pPr>
              <w:spacing w:before="60" w:after="60"/>
              <w:jc w:val="center"/>
              <w:rPr>
                <w:szCs w:val="20"/>
              </w:rPr>
            </w:pPr>
          </w:p>
        </w:tc>
        <w:tc>
          <w:tcPr>
            <w:tcW w:w="761" w:type="dxa"/>
            <w:shd w:val="clear" w:color="auto" w:fill="auto"/>
            <w:noWrap/>
            <w:vAlign w:val="center"/>
          </w:tcPr>
          <w:p w:rsidR="00E23B8D" w:rsidRPr="00CC18AA" w:rsidRDefault="00E23B8D" w:rsidP="00CC18AA">
            <w:pPr>
              <w:spacing w:before="60" w:after="60"/>
              <w:jc w:val="center"/>
              <w:rPr>
                <w:szCs w:val="20"/>
              </w:rPr>
            </w:pPr>
          </w:p>
        </w:tc>
        <w:tc>
          <w:tcPr>
            <w:tcW w:w="761" w:type="dxa"/>
            <w:shd w:val="clear" w:color="auto" w:fill="auto"/>
            <w:noWrap/>
            <w:vAlign w:val="center"/>
          </w:tcPr>
          <w:p w:rsidR="00E23B8D" w:rsidRPr="00CC18AA" w:rsidRDefault="00E23B8D" w:rsidP="00CC18AA">
            <w:pPr>
              <w:spacing w:before="60" w:after="60"/>
              <w:jc w:val="center"/>
              <w:rPr>
                <w:szCs w:val="20"/>
              </w:rPr>
            </w:pPr>
          </w:p>
        </w:tc>
        <w:tc>
          <w:tcPr>
            <w:tcW w:w="762" w:type="dxa"/>
            <w:shd w:val="clear" w:color="auto" w:fill="auto"/>
            <w:noWrap/>
            <w:vAlign w:val="center"/>
          </w:tcPr>
          <w:p w:rsidR="00E23B8D" w:rsidRPr="00CC18AA" w:rsidRDefault="00E23B8D" w:rsidP="00CC18AA">
            <w:pPr>
              <w:spacing w:before="60" w:after="60"/>
              <w:jc w:val="center"/>
              <w:rPr>
                <w:szCs w:val="20"/>
              </w:rPr>
            </w:pPr>
          </w:p>
        </w:tc>
      </w:tr>
      <w:tr w:rsidR="005F23F1" w:rsidRPr="00862795" w:rsidTr="00CC18AA">
        <w:tc>
          <w:tcPr>
            <w:tcW w:w="1560" w:type="dxa"/>
            <w:vMerge/>
            <w:shd w:val="clear" w:color="auto" w:fill="auto"/>
            <w:noWrap/>
            <w:vAlign w:val="center"/>
          </w:tcPr>
          <w:p w:rsidR="00E23B8D" w:rsidRPr="00CC18AA" w:rsidRDefault="00E23B8D" w:rsidP="00CC18AA">
            <w:pPr>
              <w:spacing w:before="60" w:after="60"/>
              <w:rPr>
                <w:szCs w:val="20"/>
              </w:rPr>
            </w:pPr>
          </w:p>
        </w:tc>
        <w:tc>
          <w:tcPr>
            <w:tcW w:w="1559" w:type="dxa"/>
            <w:shd w:val="clear" w:color="auto" w:fill="auto"/>
            <w:noWrap/>
            <w:vAlign w:val="center"/>
          </w:tcPr>
          <w:p w:rsidR="00E23B8D" w:rsidRPr="00CC18AA" w:rsidRDefault="00E23B8D" w:rsidP="00CC18AA">
            <w:pPr>
              <w:spacing w:before="60" w:after="60"/>
              <w:jc w:val="center"/>
              <w:rPr>
                <w:szCs w:val="20"/>
              </w:rPr>
            </w:pPr>
            <w:r w:rsidRPr="00CC18AA">
              <w:rPr>
                <w:szCs w:val="20"/>
              </w:rPr>
              <w:t>Dry</w:t>
            </w:r>
          </w:p>
        </w:tc>
        <w:tc>
          <w:tcPr>
            <w:tcW w:w="761" w:type="dxa"/>
            <w:shd w:val="clear" w:color="auto" w:fill="auto"/>
            <w:noWrap/>
            <w:vAlign w:val="center"/>
          </w:tcPr>
          <w:p w:rsidR="00E23B8D" w:rsidRPr="00CC18AA" w:rsidRDefault="00E23B8D" w:rsidP="00CC18AA">
            <w:pPr>
              <w:spacing w:before="60" w:after="60"/>
              <w:jc w:val="center"/>
              <w:rPr>
                <w:szCs w:val="20"/>
              </w:rPr>
            </w:pPr>
            <w:r w:rsidRPr="00CC18AA">
              <w:rPr>
                <w:szCs w:val="20"/>
              </w:rPr>
              <w:t>0.05</w:t>
            </w:r>
          </w:p>
        </w:tc>
        <w:tc>
          <w:tcPr>
            <w:tcW w:w="761" w:type="dxa"/>
            <w:shd w:val="clear" w:color="auto" w:fill="auto"/>
            <w:noWrap/>
            <w:vAlign w:val="center"/>
          </w:tcPr>
          <w:p w:rsidR="00E23B8D" w:rsidRPr="00CC18AA" w:rsidRDefault="00E23B8D" w:rsidP="00CC18AA">
            <w:pPr>
              <w:spacing w:before="60" w:after="60"/>
              <w:jc w:val="center"/>
              <w:rPr>
                <w:szCs w:val="20"/>
              </w:rPr>
            </w:pPr>
          </w:p>
        </w:tc>
        <w:tc>
          <w:tcPr>
            <w:tcW w:w="761" w:type="dxa"/>
            <w:shd w:val="clear" w:color="auto" w:fill="auto"/>
            <w:noWrap/>
            <w:vAlign w:val="center"/>
          </w:tcPr>
          <w:p w:rsidR="00E23B8D" w:rsidRPr="00CC18AA" w:rsidRDefault="00E23B8D" w:rsidP="00CC18AA">
            <w:pPr>
              <w:spacing w:before="60" w:after="60"/>
              <w:jc w:val="center"/>
              <w:rPr>
                <w:szCs w:val="20"/>
              </w:rPr>
            </w:pPr>
          </w:p>
        </w:tc>
        <w:tc>
          <w:tcPr>
            <w:tcW w:w="761" w:type="dxa"/>
            <w:shd w:val="clear" w:color="auto" w:fill="auto"/>
            <w:noWrap/>
            <w:vAlign w:val="center"/>
          </w:tcPr>
          <w:p w:rsidR="00E23B8D" w:rsidRPr="00CC18AA" w:rsidRDefault="00E23B8D" w:rsidP="00CC18AA">
            <w:pPr>
              <w:spacing w:before="60" w:after="60"/>
              <w:jc w:val="center"/>
              <w:rPr>
                <w:szCs w:val="20"/>
              </w:rPr>
            </w:pPr>
          </w:p>
        </w:tc>
        <w:tc>
          <w:tcPr>
            <w:tcW w:w="761" w:type="dxa"/>
            <w:shd w:val="clear" w:color="auto" w:fill="auto"/>
            <w:noWrap/>
            <w:vAlign w:val="center"/>
          </w:tcPr>
          <w:p w:rsidR="00E23B8D" w:rsidRPr="00CC18AA" w:rsidRDefault="00E23B8D" w:rsidP="00CC18AA">
            <w:pPr>
              <w:spacing w:before="60" w:after="60"/>
              <w:jc w:val="center"/>
              <w:rPr>
                <w:szCs w:val="20"/>
              </w:rPr>
            </w:pPr>
          </w:p>
        </w:tc>
        <w:tc>
          <w:tcPr>
            <w:tcW w:w="761" w:type="dxa"/>
            <w:shd w:val="clear" w:color="auto" w:fill="auto"/>
            <w:noWrap/>
            <w:vAlign w:val="center"/>
          </w:tcPr>
          <w:p w:rsidR="00E23B8D" w:rsidRPr="00CC18AA" w:rsidRDefault="00E23B8D" w:rsidP="00CC18AA">
            <w:pPr>
              <w:spacing w:before="60" w:after="60"/>
              <w:jc w:val="center"/>
              <w:rPr>
                <w:szCs w:val="20"/>
              </w:rPr>
            </w:pPr>
          </w:p>
        </w:tc>
        <w:tc>
          <w:tcPr>
            <w:tcW w:w="761" w:type="dxa"/>
            <w:shd w:val="clear" w:color="auto" w:fill="auto"/>
            <w:noWrap/>
            <w:vAlign w:val="center"/>
          </w:tcPr>
          <w:p w:rsidR="00E23B8D" w:rsidRPr="00CC18AA" w:rsidRDefault="00E23B8D" w:rsidP="00CC18AA">
            <w:pPr>
              <w:spacing w:before="60" w:after="60"/>
              <w:jc w:val="center"/>
              <w:rPr>
                <w:szCs w:val="20"/>
              </w:rPr>
            </w:pPr>
          </w:p>
        </w:tc>
        <w:tc>
          <w:tcPr>
            <w:tcW w:w="762" w:type="dxa"/>
            <w:shd w:val="clear" w:color="auto" w:fill="auto"/>
            <w:noWrap/>
            <w:vAlign w:val="center"/>
          </w:tcPr>
          <w:p w:rsidR="00E23B8D" w:rsidRPr="00CC18AA" w:rsidRDefault="00E23B8D" w:rsidP="00CC18AA">
            <w:pPr>
              <w:spacing w:before="60" w:after="60"/>
              <w:jc w:val="center"/>
              <w:rPr>
                <w:szCs w:val="20"/>
              </w:rPr>
            </w:pPr>
          </w:p>
        </w:tc>
      </w:tr>
      <w:tr w:rsidR="005F23F1" w:rsidRPr="00862795" w:rsidTr="00CC18AA">
        <w:tc>
          <w:tcPr>
            <w:tcW w:w="1560" w:type="dxa"/>
            <w:vMerge w:val="restart"/>
            <w:shd w:val="clear" w:color="auto" w:fill="auto"/>
            <w:noWrap/>
            <w:vAlign w:val="center"/>
          </w:tcPr>
          <w:p w:rsidR="00E23B8D" w:rsidRPr="00CC18AA" w:rsidRDefault="00E23B8D" w:rsidP="00CC18AA">
            <w:pPr>
              <w:spacing w:before="60" w:after="60"/>
              <w:rPr>
                <w:szCs w:val="20"/>
              </w:rPr>
            </w:pPr>
            <w:r w:rsidRPr="00CC18AA">
              <w:rPr>
                <w:szCs w:val="20"/>
              </w:rPr>
              <w:t>Mar-15</w:t>
            </w:r>
          </w:p>
        </w:tc>
        <w:tc>
          <w:tcPr>
            <w:tcW w:w="1559" w:type="dxa"/>
            <w:shd w:val="clear" w:color="auto" w:fill="auto"/>
            <w:noWrap/>
            <w:vAlign w:val="center"/>
          </w:tcPr>
          <w:p w:rsidR="00E23B8D" w:rsidRPr="00CC18AA" w:rsidRDefault="00E23B8D" w:rsidP="00CC18AA">
            <w:pPr>
              <w:spacing w:before="60" w:after="60"/>
              <w:jc w:val="center"/>
              <w:rPr>
                <w:szCs w:val="20"/>
              </w:rPr>
            </w:pPr>
            <w:r w:rsidRPr="00CC18AA">
              <w:rPr>
                <w:szCs w:val="20"/>
              </w:rPr>
              <w:t>Wet</w:t>
            </w:r>
          </w:p>
        </w:tc>
        <w:tc>
          <w:tcPr>
            <w:tcW w:w="761" w:type="dxa"/>
            <w:shd w:val="clear" w:color="auto" w:fill="auto"/>
            <w:noWrap/>
            <w:vAlign w:val="center"/>
          </w:tcPr>
          <w:p w:rsidR="00E23B8D" w:rsidRPr="00CC18AA" w:rsidRDefault="00E23B8D" w:rsidP="00CC18AA">
            <w:pPr>
              <w:spacing w:before="60" w:after="60"/>
              <w:jc w:val="center"/>
              <w:rPr>
                <w:szCs w:val="20"/>
              </w:rPr>
            </w:pPr>
            <w:r w:rsidRPr="00CC18AA">
              <w:rPr>
                <w:szCs w:val="20"/>
              </w:rPr>
              <w:t>0.05</w:t>
            </w:r>
          </w:p>
        </w:tc>
        <w:tc>
          <w:tcPr>
            <w:tcW w:w="761" w:type="dxa"/>
            <w:shd w:val="clear" w:color="auto" w:fill="auto"/>
            <w:noWrap/>
            <w:vAlign w:val="center"/>
          </w:tcPr>
          <w:p w:rsidR="00E23B8D" w:rsidRPr="00CC18AA" w:rsidRDefault="00E23B8D" w:rsidP="00CC18AA">
            <w:pPr>
              <w:spacing w:before="60" w:after="60"/>
              <w:jc w:val="center"/>
              <w:rPr>
                <w:szCs w:val="20"/>
              </w:rPr>
            </w:pPr>
            <w:r w:rsidRPr="00CC18AA">
              <w:rPr>
                <w:szCs w:val="20"/>
              </w:rPr>
              <w:t>0.05</w:t>
            </w:r>
          </w:p>
        </w:tc>
        <w:tc>
          <w:tcPr>
            <w:tcW w:w="761" w:type="dxa"/>
            <w:shd w:val="clear" w:color="auto" w:fill="auto"/>
            <w:noWrap/>
            <w:vAlign w:val="center"/>
          </w:tcPr>
          <w:p w:rsidR="00E23B8D" w:rsidRPr="00CC18AA" w:rsidRDefault="00E23B8D" w:rsidP="00CC18AA">
            <w:pPr>
              <w:spacing w:before="60" w:after="60"/>
              <w:jc w:val="center"/>
              <w:rPr>
                <w:szCs w:val="20"/>
              </w:rPr>
            </w:pPr>
          </w:p>
        </w:tc>
        <w:tc>
          <w:tcPr>
            <w:tcW w:w="761" w:type="dxa"/>
            <w:shd w:val="clear" w:color="auto" w:fill="auto"/>
            <w:noWrap/>
            <w:vAlign w:val="center"/>
          </w:tcPr>
          <w:p w:rsidR="00E23B8D" w:rsidRPr="00CC18AA" w:rsidRDefault="00E23B8D" w:rsidP="00CC18AA">
            <w:pPr>
              <w:spacing w:before="60" w:after="60"/>
              <w:jc w:val="center"/>
              <w:rPr>
                <w:szCs w:val="20"/>
              </w:rPr>
            </w:pPr>
          </w:p>
        </w:tc>
        <w:tc>
          <w:tcPr>
            <w:tcW w:w="761" w:type="dxa"/>
            <w:shd w:val="clear" w:color="auto" w:fill="auto"/>
            <w:noWrap/>
            <w:vAlign w:val="center"/>
          </w:tcPr>
          <w:p w:rsidR="00E23B8D" w:rsidRPr="00CC18AA" w:rsidRDefault="00E23B8D" w:rsidP="00CC18AA">
            <w:pPr>
              <w:spacing w:before="60" w:after="60"/>
              <w:jc w:val="center"/>
              <w:rPr>
                <w:szCs w:val="20"/>
              </w:rPr>
            </w:pPr>
          </w:p>
        </w:tc>
        <w:tc>
          <w:tcPr>
            <w:tcW w:w="761" w:type="dxa"/>
            <w:shd w:val="clear" w:color="auto" w:fill="auto"/>
            <w:noWrap/>
            <w:vAlign w:val="center"/>
          </w:tcPr>
          <w:p w:rsidR="00E23B8D" w:rsidRPr="00CC18AA" w:rsidRDefault="00E23B8D" w:rsidP="00CC18AA">
            <w:pPr>
              <w:spacing w:before="60" w:after="60"/>
              <w:jc w:val="center"/>
              <w:rPr>
                <w:szCs w:val="20"/>
              </w:rPr>
            </w:pPr>
          </w:p>
        </w:tc>
        <w:tc>
          <w:tcPr>
            <w:tcW w:w="761" w:type="dxa"/>
            <w:shd w:val="clear" w:color="auto" w:fill="auto"/>
            <w:noWrap/>
            <w:vAlign w:val="center"/>
          </w:tcPr>
          <w:p w:rsidR="00E23B8D" w:rsidRPr="00CC18AA" w:rsidRDefault="00E23B8D" w:rsidP="00CC18AA">
            <w:pPr>
              <w:spacing w:before="60" w:after="60"/>
              <w:jc w:val="center"/>
              <w:rPr>
                <w:szCs w:val="20"/>
              </w:rPr>
            </w:pPr>
          </w:p>
        </w:tc>
        <w:tc>
          <w:tcPr>
            <w:tcW w:w="762" w:type="dxa"/>
            <w:shd w:val="clear" w:color="auto" w:fill="auto"/>
            <w:noWrap/>
            <w:vAlign w:val="center"/>
          </w:tcPr>
          <w:p w:rsidR="00E23B8D" w:rsidRPr="00CC18AA" w:rsidRDefault="00E23B8D" w:rsidP="00CC18AA">
            <w:pPr>
              <w:spacing w:before="60" w:after="60"/>
              <w:jc w:val="center"/>
              <w:rPr>
                <w:szCs w:val="20"/>
              </w:rPr>
            </w:pPr>
          </w:p>
        </w:tc>
      </w:tr>
      <w:tr w:rsidR="005F23F1" w:rsidRPr="00862795" w:rsidTr="00CC18AA">
        <w:tc>
          <w:tcPr>
            <w:tcW w:w="1560" w:type="dxa"/>
            <w:vMerge/>
            <w:shd w:val="clear" w:color="auto" w:fill="auto"/>
            <w:noWrap/>
            <w:vAlign w:val="center"/>
          </w:tcPr>
          <w:p w:rsidR="00E23B8D" w:rsidRPr="00CC18AA" w:rsidRDefault="00E23B8D" w:rsidP="00CC18AA">
            <w:pPr>
              <w:spacing w:before="60" w:after="60"/>
              <w:rPr>
                <w:szCs w:val="20"/>
              </w:rPr>
            </w:pPr>
          </w:p>
        </w:tc>
        <w:tc>
          <w:tcPr>
            <w:tcW w:w="1559" w:type="dxa"/>
            <w:shd w:val="clear" w:color="auto" w:fill="auto"/>
            <w:noWrap/>
            <w:vAlign w:val="center"/>
          </w:tcPr>
          <w:p w:rsidR="00E23B8D" w:rsidRPr="00CC18AA" w:rsidRDefault="00E23B8D" w:rsidP="00CC18AA">
            <w:pPr>
              <w:spacing w:before="60" w:after="60"/>
              <w:jc w:val="center"/>
              <w:rPr>
                <w:szCs w:val="20"/>
              </w:rPr>
            </w:pPr>
            <w:r w:rsidRPr="00CC18AA">
              <w:rPr>
                <w:szCs w:val="20"/>
              </w:rPr>
              <w:t>Dry</w:t>
            </w:r>
          </w:p>
        </w:tc>
        <w:tc>
          <w:tcPr>
            <w:tcW w:w="761" w:type="dxa"/>
            <w:shd w:val="clear" w:color="auto" w:fill="auto"/>
            <w:noWrap/>
            <w:vAlign w:val="center"/>
          </w:tcPr>
          <w:p w:rsidR="00E23B8D" w:rsidRPr="00CC18AA" w:rsidRDefault="00E23B8D" w:rsidP="00CC18AA">
            <w:pPr>
              <w:spacing w:before="60" w:after="60"/>
              <w:jc w:val="center"/>
              <w:rPr>
                <w:szCs w:val="20"/>
              </w:rPr>
            </w:pPr>
            <w:r w:rsidRPr="00CC18AA">
              <w:rPr>
                <w:szCs w:val="20"/>
              </w:rPr>
              <w:t>NS</w:t>
            </w:r>
          </w:p>
        </w:tc>
        <w:tc>
          <w:tcPr>
            <w:tcW w:w="761" w:type="dxa"/>
            <w:shd w:val="clear" w:color="auto" w:fill="auto"/>
            <w:noWrap/>
            <w:vAlign w:val="center"/>
          </w:tcPr>
          <w:p w:rsidR="00E23B8D" w:rsidRPr="00CC18AA" w:rsidRDefault="00E23B8D" w:rsidP="00CC18AA">
            <w:pPr>
              <w:spacing w:before="60" w:after="60"/>
              <w:jc w:val="center"/>
              <w:rPr>
                <w:szCs w:val="20"/>
              </w:rPr>
            </w:pPr>
            <w:r w:rsidRPr="00CC18AA">
              <w:rPr>
                <w:szCs w:val="20"/>
              </w:rPr>
              <w:t>NS</w:t>
            </w:r>
          </w:p>
        </w:tc>
        <w:tc>
          <w:tcPr>
            <w:tcW w:w="761" w:type="dxa"/>
            <w:shd w:val="clear" w:color="auto" w:fill="auto"/>
            <w:noWrap/>
            <w:vAlign w:val="center"/>
          </w:tcPr>
          <w:p w:rsidR="00E23B8D" w:rsidRPr="00CC18AA" w:rsidRDefault="00E23B8D" w:rsidP="00CC18AA">
            <w:pPr>
              <w:spacing w:before="60" w:after="60"/>
              <w:jc w:val="center"/>
              <w:rPr>
                <w:szCs w:val="20"/>
              </w:rPr>
            </w:pPr>
            <w:r w:rsidRPr="00CC18AA">
              <w:rPr>
                <w:szCs w:val="20"/>
              </w:rPr>
              <w:t>NS</w:t>
            </w:r>
          </w:p>
        </w:tc>
        <w:tc>
          <w:tcPr>
            <w:tcW w:w="761" w:type="dxa"/>
            <w:shd w:val="clear" w:color="auto" w:fill="auto"/>
            <w:noWrap/>
            <w:vAlign w:val="center"/>
          </w:tcPr>
          <w:p w:rsidR="00E23B8D" w:rsidRPr="00CC18AA" w:rsidRDefault="00E23B8D" w:rsidP="00CC18AA">
            <w:pPr>
              <w:spacing w:before="60" w:after="60"/>
              <w:jc w:val="center"/>
              <w:rPr>
                <w:szCs w:val="20"/>
              </w:rPr>
            </w:pPr>
          </w:p>
        </w:tc>
        <w:tc>
          <w:tcPr>
            <w:tcW w:w="761" w:type="dxa"/>
            <w:shd w:val="clear" w:color="auto" w:fill="auto"/>
            <w:noWrap/>
            <w:vAlign w:val="center"/>
          </w:tcPr>
          <w:p w:rsidR="00E23B8D" w:rsidRPr="00CC18AA" w:rsidRDefault="00E23B8D" w:rsidP="00CC18AA">
            <w:pPr>
              <w:spacing w:before="60" w:after="60"/>
              <w:jc w:val="center"/>
              <w:rPr>
                <w:szCs w:val="20"/>
              </w:rPr>
            </w:pPr>
          </w:p>
        </w:tc>
        <w:tc>
          <w:tcPr>
            <w:tcW w:w="761" w:type="dxa"/>
            <w:shd w:val="clear" w:color="auto" w:fill="auto"/>
            <w:noWrap/>
            <w:vAlign w:val="center"/>
          </w:tcPr>
          <w:p w:rsidR="00E23B8D" w:rsidRPr="00CC18AA" w:rsidRDefault="00E23B8D" w:rsidP="00CC18AA">
            <w:pPr>
              <w:spacing w:before="60" w:after="60"/>
              <w:jc w:val="center"/>
              <w:rPr>
                <w:szCs w:val="20"/>
              </w:rPr>
            </w:pPr>
          </w:p>
        </w:tc>
        <w:tc>
          <w:tcPr>
            <w:tcW w:w="761" w:type="dxa"/>
            <w:shd w:val="clear" w:color="auto" w:fill="auto"/>
            <w:noWrap/>
            <w:vAlign w:val="center"/>
          </w:tcPr>
          <w:p w:rsidR="00E23B8D" w:rsidRPr="00CC18AA" w:rsidRDefault="00E23B8D" w:rsidP="00CC18AA">
            <w:pPr>
              <w:spacing w:before="60" w:after="60"/>
              <w:jc w:val="center"/>
              <w:rPr>
                <w:szCs w:val="20"/>
              </w:rPr>
            </w:pPr>
          </w:p>
        </w:tc>
        <w:tc>
          <w:tcPr>
            <w:tcW w:w="762" w:type="dxa"/>
            <w:shd w:val="clear" w:color="auto" w:fill="auto"/>
            <w:noWrap/>
            <w:vAlign w:val="center"/>
          </w:tcPr>
          <w:p w:rsidR="00E23B8D" w:rsidRPr="00CC18AA" w:rsidRDefault="00E23B8D" w:rsidP="00CC18AA">
            <w:pPr>
              <w:spacing w:before="60" w:after="60"/>
              <w:jc w:val="center"/>
              <w:rPr>
                <w:szCs w:val="20"/>
              </w:rPr>
            </w:pPr>
          </w:p>
        </w:tc>
      </w:tr>
      <w:tr w:rsidR="005F23F1" w:rsidRPr="00862795" w:rsidTr="00CC18AA">
        <w:tc>
          <w:tcPr>
            <w:tcW w:w="1560" w:type="dxa"/>
            <w:vMerge w:val="restart"/>
            <w:shd w:val="clear" w:color="auto" w:fill="auto"/>
            <w:noWrap/>
            <w:vAlign w:val="center"/>
          </w:tcPr>
          <w:p w:rsidR="00E23B8D" w:rsidRPr="00CC18AA" w:rsidRDefault="00E23B8D" w:rsidP="00CC18AA">
            <w:pPr>
              <w:spacing w:before="60" w:after="60"/>
              <w:rPr>
                <w:szCs w:val="20"/>
              </w:rPr>
            </w:pPr>
            <w:r w:rsidRPr="00CC18AA">
              <w:rPr>
                <w:szCs w:val="20"/>
              </w:rPr>
              <w:t>Nov-15</w:t>
            </w:r>
          </w:p>
        </w:tc>
        <w:tc>
          <w:tcPr>
            <w:tcW w:w="1559" w:type="dxa"/>
            <w:shd w:val="clear" w:color="auto" w:fill="auto"/>
            <w:noWrap/>
            <w:vAlign w:val="center"/>
          </w:tcPr>
          <w:p w:rsidR="00E23B8D" w:rsidRPr="00CC18AA" w:rsidRDefault="00E23B8D" w:rsidP="00CC18AA">
            <w:pPr>
              <w:spacing w:before="60" w:after="60"/>
              <w:jc w:val="center"/>
              <w:rPr>
                <w:szCs w:val="20"/>
              </w:rPr>
            </w:pPr>
            <w:r w:rsidRPr="00CC18AA">
              <w:rPr>
                <w:szCs w:val="20"/>
              </w:rPr>
              <w:t>Wet</w:t>
            </w:r>
          </w:p>
        </w:tc>
        <w:tc>
          <w:tcPr>
            <w:tcW w:w="761" w:type="dxa"/>
            <w:shd w:val="clear" w:color="auto" w:fill="auto"/>
            <w:noWrap/>
            <w:vAlign w:val="center"/>
          </w:tcPr>
          <w:p w:rsidR="00E23B8D" w:rsidRPr="00CC18AA" w:rsidRDefault="00E23B8D" w:rsidP="00CC18AA">
            <w:pPr>
              <w:spacing w:before="60" w:after="60"/>
              <w:jc w:val="center"/>
              <w:rPr>
                <w:szCs w:val="20"/>
              </w:rPr>
            </w:pPr>
          </w:p>
        </w:tc>
        <w:tc>
          <w:tcPr>
            <w:tcW w:w="761" w:type="dxa"/>
            <w:shd w:val="clear" w:color="auto" w:fill="auto"/>
            <w:noWrap/>
            <w:vAlign w:val="center"/>
          </w:tcPr>
          <w:p w:rsidR="00E23B8D" w:rsidRPr="00CC18AA" w:rsidRDefault="00E23B8D" w:rsidP="00CC18AA">
            <w:pPr>
              <w:spacing w:before="60" w:after="60"/>
              <w:jc w:val="center"/>
              <w:rPr>
                <w:szCs w:val="20"/>
              </w:rPr>
            </w:pPr>
          </w:p>
        </w:tc>
        <w:tc>
          <w:tcPr>
            <w:tcW w:w="761" w:type="dxa"/>
            <w:shd w:val="clear" w:color="auto" w:fill="auto"/>
            <w:noWrap/>
            <w:vAlign w:val="center"/>
          </w:tcPr>
          <w:p w:rsidR="00E23B8D" w:rsidRPr="00CC18AA" w:rsidRDefault="00E23B8D" w:rsidP="00CC18AA">
            <w:pPr>
              <w:spacing w:before="60" w:after="60"/>
              <w:jc w:val="center"/>
              <w:rPr>
                <w:szCs w:val="20"/>
              </w:rPr>
            </w:pPr>
            <w:r w:rsidRPr="00CC18AA">
              <w:rPr>
                <w:szCs w:val="20"/>
              </w:rPr>
              <w:t>0.05</w:t>
            </w:r>
          </w:p>
        </w:tc>
        <w:tc>
          <w:tcPr>
            <w:tcW w:w="761" w:type="dxa"/>
            <w:shd w:val="clear" w:color="auto" w:fill="auto"/>
            <w:noWrap/>
            <w:vAlign w:val="center"/>
          </w:tcPr>
          <w:p w:rsidR="00E23B8D" w:rsidRPr="00CC18AA" w:rsidRDefault="00E23B8D" w:rsidP="00CC18AA">
            <w:pPr>
              <w:spacing w:before="60" w:after="60"/>
              <w:jc w:val="center"/>
              <w:rPr>
                <w:szCs w:val="20"/>
              </w:rPr>
            </w:pPr>
            <w:r w:rsidRPr="00CC18AA">
              <w:rPr>
                <w:szCs w:val="20"/>
              </w:rPr>
              <w:t>NS</w:t>
            </w:r>
          </w:p>
        </w:tc>
        <w:tc>
          <w:tcPr>
            <w:tcW w:w="761" w:type="dxa"/>
            <w:shd w:val="clear" w:color="auto" w:fill="auto"/>
            <w:noWrap/>
            <w:vAlign w:val="center"/>
          </w:tcPr>
          <w:p w:rsidR="00E23B8D" w:rsidRPr="00CC18AA" w:rsidRDefault="00E23B8D" w:rsidP="00CC18AA">
            <w:pPr>
              <w:spacing w:before="60" w:after="60"/>
              <w:jc w:val="center"/>
              <w:rPr>
                <w:szCs w:val="20"/>
              </w:rPr>
            </w:pPr>
          </w:p>
        </w:tc>
        <w:tc>
          <w:tcPr>
            <w:tcW w:w="761" w:type="dxa"/>
            <w:shd w:val="clear" w:color="auto" w:fill="auto"/>
            <w:noWrap/>
            <w:vAlign w:val="center"/>
          </w:tcPr>
          <w:p w:rsidR="00E23B8D" w:rsidRPr="00CC18AA" w:rsidRDefault="00E23B8D" w:rsidP="00CC18AA">
            <w:pPr>
              <w:spacing w:before="60" w:after="60"/>
              <w:jc w:val="center"/>
              <w:rPr>
                <w:szCs w:val="20"/>
              </w:rPr>
            </w:pPr>
          </w:p>
        </w:tc>
        <w:tc>
          <w:tcPr>
            <w:tcW w:w="761" w:type="dxa"/>
            <w:shd w:val="clear" w:color="auto" w:fill="auto"/>
            <w:noWrap/>
            <w:vAlign w:val="center"/>
          </w:tcPr>
          <w:p w:rsidR="00E23B8D" w:rsidRPr="00CC18AA" w:rsidRDefault="00E23B8D" w:rsidP="00CC18AA">
            <w:pPr>
              <w:spacing w:before="60" w:after="60"/>
              <w:jc w:val="center"/>
              <w:rPr>
                <w:szCs w:val="20"/>
              </w:rPr>
            </w:pPr>
          </w:p>
        </w:tc>
        <w:tc>
          <w:tcPr>
            <w:tcW w:w="762" w:type="dxa"/>
            <w:shd w:val="clear" w:color="auto" w:fill="auto"/>
            <w:noWrap/>
            <w:vAlign w:val="center"/>
          </w:tcPr>
          <w:p w:rsidR="00E23B8D" w:rsidRPr="00CC18AA" w:rsidRDefault="00E23B8D" w:rsidP="00CC18AA">
            <w:pPr>
              <w:spacing w:before="60" w:after="60"/>
              <w:jc w:val="center"/>
              <w:rPr>
                <w:szCs w:val="20"/>
              </w:rPr>
            </w:pPr>
          </w:p>
        </w:tc>
      </w:tr>
      <w:tr w:rsidR="005F23F1" w:rsidRPr="00862795" w:rsidTr="00CC18AA">
        <w:tc>
          <w:tcPr>
            <w:tcW w:w="1560" w:type="dxa"/>
            <w:vMerge/>
            <w:tcBorders>
              <w:bottom w:val="single" w:sz="2" w:space="0" w:color="000000"/>
            </w:tcBorders>
            <w:shd w:val="clear" w:color="auto" w:fill="auto"/>
            <w:noWrap/>
            <w:vAlign w:val="center"/>
          </w:tcPr>
          <w:p w:rsidR="00E23B8D" w:rsidRPr="00CC18AA" w:rsidRDefault="00E23B8D" w:rsidP="00CC18AA">
            <w:pPr>
              <w:spacing w:before="60" w:after="60"/>
              <w:rPr>
                <w:szCs w:val="20"/>
              </w:rPr>
            </w:pPr>
          </w:p>
        </w:tc>
        <w:tc>
          <w:tcPr>
            <w:tcW w:w="1559" w:type="dxa"/>
            <w:shd w:val="clear" w:color="auto" w:fill="auto"/>
            <w:noWrap/>
            <w:vAlign w:val="center"/>
          </w:tcPr>
          <w:p w:rsidR="00E23B8D" w:rsidRPr="00CC18AA" w:rsidRDefault="00E23B8D" w:rsidP="00CC18AA">
            <w:pPr>
              <w:spacing w:before="60" w:after="60"/>
              <w:jc w:val="center"/>
              <w:rPr>
                <w:szCs w:val="20"/>
              </w:rPr>
            </w:pPr>
            <w:r w:rsidRPr="00CC18AA">
              <w:rPr>
                <w:szCs w:val="20"/>
              </w:rPr>
              <w:t>Dry</w:t>
            </w:r>
          </w:p>
        </w:tc>
        <w:tc>
          <w:tcPr>
            <w:tcW w:w="761" w:type="dxa"/>
            <w:shd w:val="clear" w:color="auto" w:fill="auto"/>
            <w:noWrap/>
            <w:vAlign w:val="center"/>
          </w:tcPr>
          <w:p w:rsidR="00E23B8D" w:rsidRPr="00CC18AA" w:rsidRDefault="00E23B8D" w:rsidP="00CC18AA">
            <w:pPr>
              <w:spacing w:before="60" w:after="60"/>
              <w:jc w:val="center"/>
              <w:rPr>
                <w:szCs w:val="20"/>
              </w:rPr>
            </w:pPr>
          </w:p>
        </w:tc>
        <w:tc>
          <w:tcPr>
            <w:tcW w:w="761" w:type="dxa"/>
            <w:shd w:val="clear" w:color="auto" w:fill="auto"/>
            <w:noWrap/>
            <w:vAlign w:val="center"/>
          </w:tcPr>
          <w:p w:rsidR="00E23B8D" w:rsidRPr="00CC18AA" w:rsidRDefault="00E23B8D" w:rsidP="00CC18AA">
            <w:pPr>
              <w:spacing w:before="60" w:after="60"/>
              <w:jc w:val="center"/>
              <w:rPr>
                <w:szCs w:val="20"/>
              </w:rPr>
            </w:pPr>
          </w:p>
        </w:tc>
        <w:tc>
          <w:tcPr>
            <w:tcW w:w="761" w:type="dxa"/>
            <w:shd w:val="clear" w:color="auto" w:fill="auto"/>
            <w:noWrap/>
            <w:vAlign w:val="center"/>
          </w:tcPr>
          <w:p w:rsidR="00E23B8D" w:rsidRPr="00CC18AA" w:rsidRDefault="00E23B8D" w:rsidP="00CC18AA">
            <w:pPr>
              <w:spacing w:before="60" w:after="60"/>
              <w:jc w:val="center"/>
              <w:rPr>
                <w:szCs w:val="20"/>
              </w:rPr>
            </w:pPr>
            <w:r w:rsidRPr="00CC18AA">
              <w:rPr>
                <w:szCs w:val="20"/>
              </w:rPr>
              <w:t>0.05</w:t>
            </w:r>
          </w:p>
        </w:tc>
        <w:tc>
          <w:tcPr>
            <w:tcW w:w="761" w:type="dxa"/>
            <w:shd w:val="clear" w:color="auto" w:fill="auto"/>
            <w:noWrap/>
            <w:vAlign w:val="center"/>
          </w:tcPr>
          <w:p w:rsidR="00E23B8D" w:rsidRPr="00CC18AA" w:rsidRDefault="00E23B8D" w:rsidP="00CC18AA">
            <w:pPr>
              <w:spacing w:before="60" w:after="60"/>
              <w:jc w:val="center"/>
              <w:rPr>
                <w:szCs w:val="20"/>
              </w:rPr>
            </w:pPr>
            <w:r w:rsidRPr="00CC18AA">
              <w:rPr>
                <w:szCs w:val="20"/>
              </w:rPr>
              <w:t>NS</w:t>
            </w:r>
          </w:p>
        </w:tc>
        <w:tc>
          <w:tcPr>
            <w:tcW w:w="761" w:type="dxa"/>
            <w:shd w:val="clear" w:color="auto" w:fill="auto"/>
            <w:noWrap/>
            <w:vAlign w:val="center"/>
          </w:tcPr>
          <w:p w:rsidR="00E23B8D" w:rsidRPr="00CC18AA" w:rsidRDefault="00E23B8D" w:rsidP="00CC18AA">
            <w:pPr>
              <w:spacing w:before="60" w:after="60"/>
              <w:jc w:val="center"/>
              <w:rPr>
                <w:szCs w:val="20"/>
              </w:rPr>
            </w:pPr>
            <w:r w:rsidRPr="00CC18AA">
              <w:rPr>
                <w:szCs w:val="20"/>
              </w:rPr>
              <w:t>0.05</w:t>
            </w:r>
          </w:p>
        </w:tc>
        <w:tc>
          <w:tcPr>
            <w:tcW w:w="761" w:type="dxa"/>
            <w:shd w:val="clear" w:color="auto" w:fill="auto"/>
            <w:noWrap/>
            <w:vAlign w:val="center"/>
          </w:tcPr>
          <w:p w:rsidR="00E23B8D" w:rsidRPr="00CC18AA" w:rsidRDefault="00E23B8D" w:rsidP="00CC18AA">
            <w:pPr>
              <w:spacing w:before="60" w:after="60"/>
              <w:jc w:val="center"/>
              <w:rPr>
                <w:szCs w:val="20"/>
              </w:rPr>
            </w:pPr>
          </w:p>
        </w:tc>
        <w:tc>
          <w:tcPr>
            <w:tcW w:w="761" w:type="dxa"/>
            <w:shd w:val="clear" w:color="auto" w:fill="auto"/>
            <w:noWrap/>
            <w:vAlign w:val="center"/>
          </w:tcPr>
          <w:p w:rsidR="00E23B8D" w:rsidRPr="00CC18AA" w:rsidRDefault="00E23B8D" w:rsidP="00CC18AA">
            <w:pPr>
              <w:spacing w:before="60" w:after="60"/>
              <w:jc w:val="center"/>
              <w:rPr>
                <w:szCs w:val="20"/>
              </w:rPr>
            </w:pPr>
          </w:p>
        </w:tc>
        <w:tc>
          <w:tcPr>
            <w:tcW w:w="762" w:type="dxa"/>
            <w:shd w:val="clear" w:color="auto" w:fill="auto"/>
            <w:noWrap/>
            <w:vAlign w:val="center"/>
          </w:tcPr>
          <w:p w:rsidR="00E23B8D" w:rsidRPr="00CC18AA" w:rsidRDefault="00E23B8D" w:rsidP="00CC18AA">
            <w:pPr>
              <w:spacing w:before="60" w:after="60"/>
              <w:jc w:val="center"/>
              <w:rPr>
                <w:szCs w:val="20"/>
              </w:rPr>
            </w:pPr>
          </w:p>
        </w:tc>
      </w:tr>
      <w:tr w:rsidR="005F23F1" w:rsidRPr="00862795" w:rsidTr="00CC18AA">
        <w:tc>
          <w:tcPr>
            <w:tcW w:w="1560" w:type="dxa"/>
            <w:vMerge w:val="restart"/>
            <w:tcBorders>
              <w:bottom w:val="single" w:sz="4" w:space="0" w:color="auto"/>
            </w:tcBorders>
            <w:shd w:val="clear" w:color="auto" w:fill="auto"/>
            <w:noWrap/>
            <w:vAlign w:val="center"/>
          </w:tcPr>
          <w:p w:rsidR="00E23B8D" w:rsidRPr="00CC18AA" w:rsidRDefault="00E23B8D" w:rsidP="00CC18AA">
            <w:pPr>
              <w:spacing w:before="60" w:after="60"/>
              <w:rPr>
                <w:szCs w:val="20"/>
              </w:rPr>
            </w:pPr>
            <w:r w:rsidRPr="00CC18AA">
              <w:rPr>
                <w:szCs w:val="20"/>
              </w:rPr>
              <w:t>Mar-16</w:t>
            </w:r>
          </w:p>
        </w:tc>
        <w:tc>
          <w:tcPr>
            <w:tcW w:w="1559" w:type="dxa"/>
            <w:shd w:val="clear" w:color="auto" w:fill="auto"/>
            <w:noWrap/>
            <w:vAlign w:val="center"/>
          </w:tcPr>
          <w:p w:rsidR="00E23B8D" w:rsidRPr="00CC18AA" w:rsidRDefault="00E23B8D" w:rsidP="00CC18AA">
            <w:pPr>
              <w:spacing w:before="60" w:after="60"/>
              <w:jc w:val="center"/>
              <w:rPr>
                <w:szCs w:val="20"/>
              </w:rPr>
            </w:pPr>
            <w:r w:rsidRPr="00CC18AA">
              <w:rPr>
                <w:szCs w:val="20"/>
              </w:rPr>
              <w:t>Wet</w:t>
            </w:r>
          </w:p>
        </w:tc>
        <w:tc>
          <w:tcPr>
            <w:tcW w:w="761" w:type="dxa"/>
            <w:shd w:val="clear" w:color="auto" w:fill="auto"/>
            <w:noWrap/>
            <w:vAlign w:val="center"/>
          </w:tcPr>
          <w:p w:rsidR="00E23B8D" w:rsidRPr="00CC18AA" w:rsidRDefault="00E23B8D" w:rsidP="00CC18AA">
            <w:pPr>
              <w:spacing w:before="60" w:after="60"/>
              <w:jc w:val="center"/>
              <w:rPr>
                <w:szCs w:val="20"/>
              </w:rPr>
            </w:pPr>
          </w:p>
        </w:tc>
        <w:tc>
          <w:tcPr>
            <w:tcW w:w="761" w:type="dxa"/>
            <w:shd w:val="clear" w:color="auto" w:fill="auto"/>
            <w:noWrap/>
            <w:vAlign w:val="center"/>
          </w:tcPr>
          <w:p w:rsidR="00E23B8D" w:rsidRPr="00CC18AA" w:rsidRDefault="00E23B8D" w:rsidP="00CC18AA">
            <w:pPr>
              <w:spacing w:before="60" w:after="60"/>
              <w:jc w:val="center"/>
              <w:rPr>
                <w:szCs w:val="20"/>
              </w:rPr>
            </w:pPr>
          </w:p>
        </w:tc>
        <w:tc>
          <w:tcPr>
            <w:tcW w:w="761" w:type="dxa"/>
            <w:shd w:val="clear" w:color="auto" w:fill="auto"/>
            <w:noWrap/>
            <w:vAlign w:val="center"/>
          </w:tcPr>
          <w:p w:rsidR="00E23B8D" w:rsidRPr="00CC18AA" w:rsidRDefault="00E23B8D" w:rsidP="00CC18AA">
            <w:pPr>
              <w:spacing w:before="60" w:after="60"/>
              <w:jc w:val="center"/>
              <w:rPr>
                <w:szCs w:val="20"/>
              </w:rPr>
            </w:pPr>
          </w:p>
        </w:tc>
        <w:tc>
          <w:tcPr>
            <w:tcW w:w="761" w:type="dxa"/>
            <w:shd w:val="clear" w:color="auto" w:fill="auto"/>
            <w:noWrap/>
            <w:vAlign w:val="center"/>
          </w:tcPr>
          <w:p w:rsidR="00E23B8D" w:rsidRPr="00CC18AA" w:rsidRDefault="00E23B8D" w:rsidP="00CC18AA">
            <w:pPr>
              <w:spacing w:before="60" w:after="60"/>
              <w:jc w:val="center"/>
              <w:rPr>
                <w:szCs w:val="20"/>
              </w:rPr>
            </w:pPr>
          </w:p>
        </w:tc>
        <w:tc>
          <w:tcPr>
            <w:tcW w:w="761" w:type="dxa"/>
            <w:shd w:val="clear" w:color="auto" w:fill="auto"/>
            <w:noWrap/>
            <w:vAlign w:val="center"/>
          </w:tcPr>
          <w:p w:rsidR="00E23B8D" w:rsidRPr="00CC18AA" w:rsidRDefault="00E23B8D" w:rsidP="00CC18AA">
            <w:pPr>
              <w:spacing w:before="60" w:after="60"/>
              <w:jc w:val="center"/>
              <w:rPr>
                <w:szCs w:val="20"/>
              </w:rPr>
            </w:pPr>
            <w:r w:rsidRPr="00CC18AA">
              <w:rPr>
                <w:szCs w:val="20"/>
              </w:rPr>
              <w:t>NS</w:t>
            </w:r>
          </w:p>
        </w:tc>
        <w:tc>
          <w:tcPr>
            <w:tcW w:w="761" w:type="dxa"/>
            <w:shd w:val="clear" w:color="auto" w:fill="auto"/>
            <w:noWrap/>
            <w:vAlign w:val="center"/>
          </w:tcPr>
          <w:p w:rsidR="00E23B8D" w:rsidRPr="00CC18AA" w:rsidRDefault="00E23B8D" w:rsidP="00CC18AA">
            <w:pPr>
              <w:spacing w:before="60" w:after="60"/>
              <w:jc w:val="center"/>
              <w:rPr>
                <w:szCs w:val="20"/>
              </w:rPr>
            </w:pPr>
            <w:r w:rsidRPr="00CC18AA">
              <w:rPr>
                <w:szCs w:val="20"/>
              </w:rPr>
              <w:t>NS</w:t>
            </w:r>
          </w:p>
        </w:tc>
        <w:tc>
          <w:tcPr>
            <w:tcW w:w="761" w:type="dxa"/>
            <w:shd w:val="clear" w:color="auto" w:fill="auto"/>
            <w:noWrap/>
            <w:vAlign w:val="center"/>
          </w:tcPr>
          <w:p w:rsidR="00E23B8D" w:rsidRPr="00CC18AA" w:rsidRDefault="00E23B8D" w:rsidP="00CC18AA">
            <w:pPr>
              <w:spacing w:before="60" w:after="60"/>
              <w:jc w:val="center"/>
              <w:rPr>
                <w:szCs w:val="20"/>
              </w:rPr>
            </w:pPr>
          </w:p>
        </w:tc>
        <w:tc>
          <w:tcPr>
            <w:tcW w:w="762" w:type="dxa"/>
            <w:shd w:val="clear" w:color="auto" w:fill="auto"/>
            <w:noWrap/>
            <w:vAlign w:val="center"/>
          </w:tcPr>
          <w:p w:rsidR="00E23B8D" w:rsidRPr="00CC18AA" w:rsidRDefault="00E23B8D" w:rsidP="00CC18AA">
            <w:pPr>
              <w:spacing w:before="60" w:after="60"/>
              <w:jc w:val="center"/>
              <w:rPr>
                <w:szCs w:val="20"/>
              </w:rPr>
            </w:pPr>
          </w:p>
        </w:tc>
      </w:tr>
      <w:tr w:rsidR="005F23F1" w:rsidRPr="00862795" w:rsidTr="00CC18AA">
        <w:tc>
          <w:tcPr>
            <w:tcW w:w="1560" w:type="dxa"/>
            <w:vMerge/>
            <w:tcBorders>
              <w:bottom w:val="single" w:sz="4" w:space="0" w:color="auto"/>
            </w:tcBorders>
            <w:shd w:val="clear" w:color="auto" w:fill="auto"/>
            <w:noWrap/>
            <w:vAlign w:val="center"/>
          </w:tcPr>
          <w:p w:rsidR="00E23B8D" w:rsidRPr="00CC18AA" w:rsidRDefault="00E23B8D" w:rsidP="00CC18AA">
            <w:pPr>
              <w:spacing w:before="60" w:after="60"/>
              <w:rPr>
                <w:szCs w:val="20"/>
              </w:rPr>
            </w:pPr>
          </w:p>
        </w:tc>
        <w:tc>
          <w:tcPr>
            <w:tcW w:w="1559" w:type="dxa"/>
            <w:shd w:val="clear" w:color="auto" w:fill="auto"/>
            <w:noWrap/>
            <w:vAlign w:val="center"/>
          </w:tcPr>
          <w:p w:rsidR="00E23B8D" w:rsidRPr="00CC18AA" w:rsidRDefault="00E23B8D" w:rsidP="00CC18AA">
            <w:pPr>
              <w:spacing w:before="60" w:after="60"/>
              <w:jc w:val="center"/>
              <w:rPr>
                <w:szCs w:val="20"/>
              </w:rPr>
            </w:pPr>
            <w:r w:rsidRPr="00CC18AA">
              <w:rPr>
                <w:szCs w:val="20"/>
              </w:rPr>
              <w:t>Dry</w:t>
            </w:r>
          </w:p>
        </w:tc>
        <w:tc>
          <w:tcPr>
            <w:tcW w:w="761" w:type="dxa"/>
            <w:shd w:val="clear" w:color="auto" w:fill="auto"/>
            <w:noWrap/>
            <w:vAlign w:val="center"/>
          </w:tcPr>
          <w:p w:rsidR="00E23B8D" w:rsidRPr="00CC18AA" w:rsidRDefault="00E23B8D" w:rsidP="00CC18AA">
            <w:pPr>
              <w:spacing w:before="60" w:after="60"/>
              <w:jc w:val="center"/>
              <w:rPr>
                <w:szCs w:val="20"/>
              </w:rPr>
            </w:pPr>
          </w:p>
        </w:tc>
        <w:tc>
          <w:tcPr>
            <w:tcW w:w="761" w:type="dxa"/>
            <w:shd w:val="clear" w:color="auto" w:fill="auto"/>
            <w:noWrap/>
            <w:vAlign w:val="center"/>
          </w:tcPr>
          <w:p w:rsidR="00E23B8D" w:rsidRPr="00CC18AA" w:rsidRDefault="00E23B8D" w:rsidP="00CC18AA">
            <w:pPr>
              <w:spacing w:before="60" w:after="60"/>
              <w:jc w:val="center"/>
              <w:rPr>
                <w:szCs w:val="20"/>
              </w:rPr>
            </w:pPr>
          </w:p>
        </w:tc>
        <w:tc>
          <w:tcPr>
            <w:tcW w:w="761" w:type="dxa"/>
            <w:shd w:val="clear" w:color="auto" w:fill="auto"/>
            <w:noWrap/>
            <w:vAlign w:val="center"/>
          </w:tcPr>
          <w:p w:rsidR="00E23B8D" w:rsidRPr="00CC18AA" w:rsidRDefault="00E23B8D" w:rsidP="00CC18AA">
            <w:pPr>
              <w:spacing w:before="60" w:after="60"/>
              <w:jc w:val="center"/>
              <w:rPr>
                <w:szCs w:val="20"/>
              </w:rPr>
            </w:pPr>
          </w:p>
        </w:tc>
        <w:tc>
          <w:tcPr>
            <w:tcW w:w="761" w:type="dxa"/>
            <w:shd w:val="clear" w:color="auto" w:fill="auto"/>
            <w:noWrap/>
            <w:vAlign w:val="center"/>
          </w:tcPr>
          <w:p w:rsidR="00E23B8D" w:rsidRPr="00CC18AA" w:rsidRDefault="00E23B8D" w:rsidP="00CC18AA">
            <w:pPr>
              <w:spacing w:before="60" w:after="60"/>
              <w:jc w:val="center"/>
              <w:rPr>
                <w:szCs w:val="20"/>
              </w:rPr>
            </w:pPr>
          </w:p>
        </w:tc>
        <w:tc>
          <w:tcPr>
            <w:tcW w:w="761" w:type="dxa"/>
            <w:shd w:val="clear" w:color="auto" w:fill="auto"/>
            <w:noWrap/>
            <w:vAlign w:val="center"/>
          </w:tcPr>
          <w:p w:rsidR="00E23B8D" w:rsidRPr="00CC18AA" w:rsidRDefault="00E23B8D" w:rsidP="00CC18AA">
            <w:pPr>
              <w:spacing w:before="60" w:after="60"/>
              <w:jc w:val="center"/>
              <w:rPr>
                <w:szCs w:val="20"/>
              </w:rPr>
            </w:pPr>
            <w:r w:rsidRPr="00CC18AA">
              <w:rPr>
                <w:szCs w:val="20"/>
              </w:rPr>
              <w:t>0.05</w:t>
            </w:r>
          </w:p>
        </w:tc>
        <w:tc>
          <w:tcPr>
            <w:tcW w:w="761" w:type="dxa"/>
            <w:shd w:val="clear" w:color="auto" w:fill="auto"/>
            <w:noWrap/>
            <w:vAlign w:val="center"/>
          </w:tcPr>
          <w:p w:rsidR="00E23B8D" w:rsidRPr="00CC18AA" w:rsidRDefault="00E23B8D" w:rsidP="00CC18AA">
            <w:pPr>
              <w:spacing w:before="60" w:after="60"/>
              <w:jc w:val="center"/>
              <w:rPr>
                <w:szCs w:val="20"/>
              </w:rPr>
            </w:pPr>
            <w:r w:rsidRPr="00CC18AA">
              <w:rPr>
                <w:szCs w:val="20"/>
              </w:rPr>
              <w:t>0.05</w:t>
            </w:r>
          </w:p>
        </w:tc>
        <w:tc>
          <w:tcPr>
            <w:tcW w:w="761" w:type="dxa"/>
            <w:shd w:val="clear" w:color="auto" w:fill="auto"/>
            <w:noWrap/>
            <w:vAlign w:val="center"/>
          </w:tcPr>
          <w:p w:rsidR="00E23B8D" w:rsidRPr="00CC18AA" w:rsidRDefault="00E23B8D" w:rsidP="00CC18AA">
            <w:pPr>
              <w:spacing w:before="60" w:after="60"/>
              <w:jc w:val="center"/>
              <w:rPr>
                <w:szCs w:val="20"/>
              </w:rPr>
            </w:pPr>
            <w:r w:rsidRPr="00CC18AA">
              <w:rPr>
                <w:szCs w:val="20"/>
              </w:rPr>
              <w:t>0.05</w:t>
            </w:r>
          </w:p>
        </w:tc>
        <w:tc>
          <w:tcPr>
            <w:tcW w:w="762" w:type="dxa"/>
            <w:shd w:val="clear" w:color="auto" w:fill="auto"/>
            <w:noWrap/>
            <w:vAlign w:val="center"/>
          </w:tcPr>
          <w:p w:rsidR="00E23B8D" w:rsidRPr="00CC18AA" w:rsidRDefault="00E23B8D" w:rsidP="00CC18AA">
            <w:pPr>
              <w:spacing w:before="60" w:after="60"/>
              <w:jc w:val="center"/>
              <w:rPr>
                <w:szCs w:val="20"/>
              </w:rPr>
            </w:pPr>
          </w:p>
        </w:tc>
      </w:tr>
    </w:tbl>
    <w:p w:rsidR="0056539E" w:rsidRPr="0055587A" w:rsidRDefault="0056539E" w:rsidP="00265A6B">
      <w:pPr>
        <w:pStyle w:val="Heading9"/>
      </w:pPr>
      <w:r w:rsidRPr="0055587A">
        <w:t>Functional guilds</w:t>
      </w:r>
    </w:p>
    <w:p w:rsidR="0056539E" w:rsidRDefault="0056539E" w:rsidP="00E23B8D">
      <w:pPr>
        <w:ind w:right="-333"/>
      </w:pPr>
      <w:r>
        <w:t>There was no significant difference in the representation of functional guilds between year 1 and year 2 of the project. However, nMDS plots show that there was a distinct separation of creek sites from floodplain wetland and waterhole sites when community composi</w:t>
      </w:r>
      <w:r w:rsidR="00121321">
        <w:t xml:space="preserve">tion by functional guild (birds per </w:t>
      </w:r>
      <w:r>
        <w:t>ha) was considered (</w:t>
      </w:r>
      <w:r>
        <w:fldChar w:fldCharType="begin"/>
      </w:r>
      <w:r>
        <w:instrText xml:space="preserve"> REF _Ref455488760 \h </w:instrText>
      </w:r>
      <w:r>
        <w:fldChar w:fldCharType="separate"/>
      </w:r>
      <w:r w:rsidR="005D5925">
        <w:t xml:space="preserve">Figure </w:t>
      </w:r>
      <w:r w:rsidR="005D5925">
        <w:rPr>
          <w:noProof/>
        </w:rPr>
        <w:t>K</w:t>
      </w:r>
      <w:r w:rsidR="005D5925">
        <w:noBreakHyphen/>
      </w:r>
      <w:r w:rsidR="005D5925">
        <w:rPr>
          <w:noProof/>
        </w:rPr>
        <w:t>1</w:t>
      </w:r>
      <w:r>
        <w:fldChar w:fldCharType="end"/>
      </w:r>
      <w:r>
        <w:t xml:space="preserve">). </w:t>
      </w:r>
      <w:r w:rsidR="006004AC">
        <w:t xml:space="preserve"> </w:t>
      </w:r>
      <w:r>
        <w:t xml:space="preserve">Creek sites in December 2014 and March 2015 separated out strongly compared to floodplain wetland and waterhole sites for all sampling periods.  SIMPER analysis showed that this difference was driven largely by the piscivore functional group, </w:t>
      </w:r>
      <w:r w:rsidRPr="0055587A">
        <w:t>explaining 58%</w:t>
      </w:r>
      <w:r>
        <w:t xml:space="preserve"> of the similarity between creek sites, compared to less than 16% in the floodplain wetland and waterhole site types.</w:t>
      </w:r>
      <w:r w:rsidR="006004AC">
        <w:t xml:space="preserve"> </w:t>
      </w:r>
      <w:r>
        <w:t xml:space="preserve"> Piscivores showed a</w:t>
      </w:r>
      <w:r w:rsidR="00121321">
        <w:t xml:space="preserve"> marked increase from 6.4 birds per </w:t>
      </w:r>
      <w:r>
        <w:t>ha in November 2015 to 23.5 birds per h</w:t>
      </w:r>
      <w:r w:rsidR="00121321">
        <w:t>a</w:t>
      </w:r>
      <w:r>
        <w:t xml:space="preserve"> in March 2016, likely driven by an observation of 21 pelicans flying over the Tellegara Bridge site within the Gingham </w:t>
      </w:r>
      <w:r w:rsidR="001C3C04">
        <w:t>watercourse</w:t>
      </w:r>
      <w:r>
        <w:t>.</w:t>
      </w:r>
    </w:p>
    <w:p w:rsidR="0056539E" w:rsidRPr="00CC18AA" w:rsidRDefault="004176FF" w:rsidP="0056539E">
      <w:pPr>
        <w:keepNext/>
        <w:spacing w:line="240" w:lineRule="auto"/>
      </w:pPr>
      <w:r>
        <w:rPr>
          <w:noProof/>
          <w:lang w:eastAsia="en-AU"/>
        </w:rPr>
        <mc:AlternateContent>
          <mc:Choice Requires="wps">
            <w:drawing>
              <wp:anchor distT="0" distB="0" distL="114300" distR="114300" simplePos="0" relativeHeight="251661312" behindDoc="0" locked="0" layoutInCell="1" allowOverlap="1">
                <wp:simplePos x="0" y="0"/>
                <wp:positionH relativeFrom="column">
                  <wp:posOffset>2232025</wp:posOffset>
                </wp:positionH>
                <wp:positionV relativeFrom="paragraph">
                  <wp:posOffset>2471420</wp:posOffset>
                </wp:positionV>
                <wp:extent cx="1143000" cy="323850"/>
                <wp:effectExtent l="0" t="0" r="0" b="0"/>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323850"/>
                        </a:xfrm>
                        <a:prstGeom prst="rect">
                          <a:avLst/>
                        </a:prstGeom>
                        <a:noFill/>
                        <a:ln w="6350">
                          <a:noFill/>
                        </a:ln>
                      </wps:spPr>
                      <wps:txbx>
                        <w:txbxContent>
                          <w:p w:rsidR="00EA54D5" w:rsidRPr="00CC18AA" w:rsidRDefault="00EA54D5" w:rsidP="0056539E">
                            <w:pPr>
                              <w:rPr>
                                <w:color w:val="000000"/>
                              </w:rPr>
                            </w:pPr>
                            <w:r w:rsidRPr="00CC18AA">
                              <w:rPr>
                                <w:color w:val="000000"/>
                              </w:rPr>
                              <w:t>December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8" o:spid="_x0000_s1084" type="#_x0000_t202" style="position:absolute;left:0;text-align:left;margin-left:175.75pt;margin-top:194.6pt;width:90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" filled="f" stroked="f" strokeweight=".5pt">
                <v:path arrowok="t"/>
                <v:textbox>
                  <w:txbxContent>
                    <w:p w:rsidR="00EA54D5" w:rsidRPr="00CC18AA" w:rsidRDefault="00EA54D5" w:rsidP="0056539E">
                      <w:pPr>
                        <w:rPr>
                          <w:color w:val="000000"/>
                        </w:rPr>
                      </w:pPr>
                      <w:r w:rsidRPr="00CC18AA">
                        <w:rPr>
                          <w:color w:val="000000"/>
                        </w:rPr>
                        <w:t>December 2014</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simplePos x="0" y="0"/>
                <wp:positionH relativeFrom="column">
                  <wp:posOffset>1193800</wp:posOffset>
                </wp:positionH>
                <wp:positionV relativeFrom="paragraph">
                  <wp:posOffset>1415415</wp:posOffset>
                </wp:positionV>
                <wp:extent cx="552450" cy="390525"/>
                <wp:effectExtent l="0" t="0" r="57150" b="47625"/>
                <wp:wrapNone/>
                <wp:docPr id="247" name="Straight Arrow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2450" cy="3905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E14D30" id="Straight Arrow Connector 247" o:spid="_x0000_s1026" type="#_x0000_t32" style="position:absolute;margin-left:94pt;margin-top:111.45pt;width:43.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" strokecolor="#4a7ebb">
                <v:stroke endarrow="block"/>
                <o:lock v:ext="edit" shapetype="f"/>
              </v:shape>
            </w:pict>
          </mc:Fallback>
        </mc:AlternateContent>
      </w:r>
      <w:r>
        <w:rPr>
          <w:noProof/>
          <w:lang w:eastAsia="en-AU"/>
        </w:rPr>
        <w:drawing>
          <wp:anchor distT="0" distB="0" distL="114300" distR="114300" simplePos="0" relativeHeight="251662336" behindDoc="0" locked="0" layoutInCell="1" allowOverlap="1">
            <wp:simplePos x="0" y="0"/>
            <wp:positionH relativeFrom="margin">
              <wp:posOffset>339725</wp:posOffset>
            </wp:positionH>
            <wp:positionV relativeFrom="paragraph">
              <wp:posOffset>205105</wp:posOffset>
            </wp:positionV>
            <wp:extent cx="1359535" cy="1212850"/>
            <wp:effectExtent l="0" t="0" r="0" b="6350"/>
            <wp:wrapNone/>
            <wp:docPr id="224" name="Chart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58"/>
                    <pic:cNvPicPr>
                      <a:picLocks noChangeArrowheads="1"/>
                    </pic:cNvPicPr>
                  </pic:nvPicPr>
                  <pic:blipFill>
                    <a:blip r:embed="rId209">
                      <a:extLst>
                        <a:ext uri="{28A0092B-C50C-407E-A947-70E740481C1C}">
                          <a14:useLocalDpi xmlns:a14="http://schemas.microsoft.com/office/drawing/2010/main"/>
                        </a:ext>
                      </a:extLst>
                    </a:blip>
                    <a:srcRect/>
                    <a:stretch>
                      <a:fillRect/>
                    </a:stretch>
                  </pic:blipFill>
                  <pic:spPr bwMode="auto">
                    <a:xfrm>
                      <a:off x="0" y="0"/>
                      <a:ext cx="1359535" cy="121285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60288" behindDoc="0" locked="0" layoutInCell="1" allowOverlap="1">
                <wp:simplePos x="0" y="0"/>
                <wp:positionH relativeFrom="column">
                  <wp:posOffset>2965450</wp:posOffset>
                </wp:positionH>
                <wp:positionV relativeFrom="paragraph">
                  <wp:posOffset>928370</wp:posOffset>
                </wp:positionV>
                <wp:extent cx="942975" cy="323850"/>
                <wp:effectExtent l="0" t="0" r="0" b="0"/>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2975" cy="323850"/>
                        </a:xfrm>
                        <a:prstGeom prst="rect">
                          <a:avLst/>
                        </a:prstGeom>
                        <a:noFill/>
                        <a:ln w="6350">
                          <a:noFill/>
                        </a:ln>
                      </wps:spPr>
                      <wps:txbx>
                        <w:txbxContent>
                          <w:p w:rsidR="00EA54D5" w:rsidRPr="00CC18AA" w:rsidRDefault="00EA54D5" w:rsidP="0056539E">
                            <w:pPr>
                              <w:rPr>
                                <w:color w:val="000000"/>
                              </w:rPr>
                            </w:pPr>
                            <w:r w:rsidRPr="00CC18AA">
                              <w:rPr>
                                <w:color w:val="000000"/>
                              </w:rPr>
                              <w:t>March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9" o:spid="_x0000_s1085" type="#_x0000_t202" style="position:absolute;left:0;text-align:left;margin-left:233.5pt;margin-top:73.1pt;width:74.2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" filled="f" stroked="f" strokeweight=".5pt">
                <v:path arrowok="t"/>
                <v:textbox>
                  <w:txbxContent>
                    <w:p w:rsidR="00EA54D5" w:rsidRPr="00CC18AA" w:rsidRDefault="00EA54D5" w:rsidP="0056539E">
                      <w:pPr>
                        <w:rPr>
                          <w:color w:val="000000"/>
                        </w:rPr>
                      </w:pPr>
                      <w:r w:rsidRPr="00CC18AA">
                        <w:rPr>
                          <w:color w:val="000000"/>
                        </w:rPr>
                        <w:t>March 2015</w:t>
                      </w:r>
                    </w:p>
                  </w:txbxContent>
                </v:textbox>
              </v:shape>
            </w:pict>
          </mc:Fallback>
        </mc:AlternateContent>
      </w:r>
      <w:r w:rsidRPr="008F5E11">
        <w:rPr>
          <w:noProof/>
          <w:lang w:eastAsia="en-AU"/>
        </w:rPr>
        <w:drawing>
          <wp:inline distT="0" distB="0" distL="0" distR="0">
            <wp:extent cx="5131435" cy="3776980"/>
            <wp:effectExtent l="0" t="0" r="12065" b="13970"/>
            <wp:docPr id="113" name="Chart 2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rsidR="0056539E" w:rsidRDefault="0056539E" w:rsidP="0056539E">
      <w:pPr>
        <w:pStyle w:val="Caption"/>
      </w:pPr>
      <w:bookmarkStart w:id="186" w:name="_Ref455488760"/>
      <w:r>
        <w:t xml:space="preserve">Figure </w:t>
      </w:r>
      <w:fldSimple w:instr=" STYLEREF 6 \s ">
        <w:r w:rsidR="00673DAF">
          <w:rPr>
            <w:noProof/>
          </w:rPr>
          <w:t>K</w:t>
        </w:r>
      </w:fldSimple>
      <w:r w:rsidR="00673DAF">
        <w:noBreakHyphen/>
      </w:r>
      <w:fldSimple w:instr=" SEQ Figure \* ARABIC \s 6 ">
        <w:r w:rsidR="00673DAF">
          <w:rPr>
            <w:noProof/>
          </w:rPr>
          <w:t>1</w:t>
        </w:r>
      </w:fldSimple>
      <w:bookmarkEnd w:id="186"/>
      <w:r>
        <w:t xml:space="preserve"> nMDS plot of waterbird abundance grouped by site type for data from year 1 and 2 of the LTIM project</w:t>
      </w:r>
      <w:r w:rsidR="00121321">
        <w:t>.</w:t>
      </w:r>
    </w:p>
    <w:p w:rsidR="0056539E" w:rsidRDefault="0056539E" w:rsidP="0032239F">
      <w:pPr>
        <w:pStyle w:val="Heading7"/>
      </w:pPr>
      <w:r>
        <w:t>Discussion</w:t>
      </w:r>
    </w:p>
    <w:p w:rsidR="0056539E" w:rsidRDefault="0056539E" w:rsidP="00E23B8D">
      <w:pPr>
        <w:rPr>
          <w:lang w:val="en-US"/>
        </w:rPr>
      </w:pPr>
      <w:r>
        <w:rPr>
          <w:lang w:val="en-US"/>
        </w:rPr>
        <w:t>The end of the 2014-15 water year saw extensive inundation across the Selected Area with 11 of the 19 survey sites more than 60% inundated</w:t>
      </w:r>
      <w:r w:rsidR="00480CE0">
        <w:rPr>
          <w:lang w:val="en-US"/>
        </w:rPr>
        <w:t xml:space="preserve"> by area</w:t>
      </w:r>
      <w:r>
        <w:rPr>
          <w:lang w:val="en-US"/>
        </w:rPr>
        <w:t xml:space="preserve">.  This inundation resulted in a boom in productivity which attracted large numbers of waterbirds as observed in the March 2015 survey period, and left the Selected Area in generally good condition (Commonwealth of Australia 2015).  </w:t>
      </w:r>
    </w:p>
    <w:p w:rsidR="0056539E" w:rsidRDefault="0056539E" w:rsidP="00E23B8D">
      <w:pPr>
        <w:rPr>
          <w:lang w:val="en-US"/>
        </w:rPr>
      </w:pPr>
      <w:r>
        <w:rPr>
          <w:lang w:val="en-US"/>
        </w:rPr>
        <w:t>The environmental watering strategy for the Selected Area employs a multi-year wetting and drying cycle in which 2015-16 was a planned dry year, with the application of environmental water aimed largely at maintaining in-channel flow rather than wetland inundation.  Local rainfall, irrigation and stock and domestic deliveries and environmental flow ‘top-ups’ ensured that larger wetland sites retained some water, although many smaller wetlands dried almost completely and water levels at other larger sites declined markedly over the course of the water year.</w:t>
      </w:r>
    </w:p>
    <w:p w:rsidR="0056539E" w:rsidRDefault="0056539E" w:rsidP="00E23B8D">
      <w:pPr>
        <w:rPr>
          <w:lang w:val="en-US"/>
        </w:rPr>
      </w:pPr>
      <w:r>
        <w:rPr>
          <w:lang w:val="en-US"/>
        </w:rPr>
        <w:t xml:space="preserve">As expected in a drying phase, monitoring results showed a reduction in abundance of waterbirds compared to the 2014-15 water year (although not statistically significant) and a retraction of many remaining species to larger more permanent wetlands. </w:t>
      </w:r>
      <w:r w:rsidR="006004AC">
        <w:rPr>
          <w:lang w:val="en-US"/>
        </w:rPr>
        <w:t xml:space="preserve"> </w:t>
      </w:r>
      <w:r>
        <w:rPr>
          <w:lang w:val="en-US"/>
        </w:rPr>
        <w:t xml:space="preserve">While bird numbers were generally down, wet sites which were in part influenced by environmental water in 2015-16 displayed higher species richness and abundance. </w:t>
      </w:r>
      <w:r w:rsidR="006004AC">
        <w:rPr>
          <w:lang w:val="en-US"/>
        </w:rPr>
        <w:t xml:space="preserve"> </w:t>
      </w:r>
      <w:r>
        <w:rPr>
          <w:lang w:val="en-US"/>
        </w:rPr>
        <w:t xml:space="preserve">Community composition as measured by functional </w:t>
      </w:r>
      <w:r w:rsidR="00480CE0">
        <w:rPr>
          <w:lang w:val="en-US"/>
        </w:rPr>
        <w:t>guild</w:t>
      </w:r>
      <w:r>
        <w:rPr>
          <w:lang w:val="en-US"/>
        </w:rPr>
        <w:t xml:space="preserve"> representation showed some notable trends</w:t>
      </w:r>
      <w:r w:rsidR="00480CE0">
        <w:rPr>
          <w:lang w:val="en-US"/>
        </w:rPr>
        <w:t xml:space="preserve"> between wet and dry sites, habitat types and survey times</w:t>
      </w:r>
      <w:r>
        <w:rPr>
          <w:lang w:val="en-US"/>
        </w:rPr>
        <w:t xml:space="preserve">.  </w:t>
      </w:r>
    </w:p>
    <w:p w:rsidR="0056539E" w:rsidRDefault="0056539E" w:rsidP="00E23B8D">
      <w:pPr>
        <w:rPr>
          <w:lang w:val="en-US"/>
        </w:rPr>
      </w:pPr>
      <w:r>
        <w:rPr>
          <w:lang w:val="en-US"/>
        </w:rPr>
        <w:t>The dabbling and filter feeding ducks functional group, which peaked in abundance with inundation in the December 2014 surveys, showed the largest decline in abundance over 2015-16, returning to numbers similar to that seen in the dry March 2015 surveys.  This group feeds on invertebrates and zooplankton which have their peak abundance in an initial wetting phase (Kingsford et al 2010).  These waterbirds tend to move between catchments following inundation driven productivity booms (Roshier et al 2002).</w:t>
      </w:r>
    </w:p>
    <w:p w:rsidR="0056539E" w:rsidRDefault="0056539E" w:rsidP="00E23B8D">
      <w:pPr>
        <w:rPr>
          <w:lang w:val="en-US"/>
        </w:rPr>
      </w:pPr>
      <w:r>
        <w:rPr>
          <w:lang w:val="en-US"/>
        </w:rPr>
        <w:t xml:space="preserve">Conversely, piscivores and grazing ducks and geese, although lower in abundance than in December 2014, all increased in abundance over the 2015-16 water year which likely reflects the availability of stable habitat and resource bases.  Rainfall events and in-channel flows released throughout 2015-16 helped to maintain fish populations and encourage recruitment and provide an established food resource for piscivorous birds.  Drying of wetlands encourages growth of terrestrial vegetation into formerly inundated areas which can provide a foraging resource for grazing ducks and geese, as well as nesting habitat and also temporarily increase shoreline foraging habitat (Kingsford et al 2010).  </w:t>
      </w:r>
    </w:p>
    <w:p w:rsidR="0056539E" w:rsidRDefault="0056539E" w:rsidP="00E23B8D">
      <w:r>
        <w:rPr>
          <w:lang w:val="en-US"/>
        </w:rPr>
        <w:t>These changes appear to have also supported breeding in Australian-breeding charadriiform shorebirds which, along with piscivores, were observed to have the highest rate of breeding of any of the functional groups in 2015-16.  Australian-breeding charadriiform shorebirds were not observed breeding in the 2014-15 water year however juvenile black-fronted dotterel (</w:t>
      </w:r>
      <w:r w:rsidRPr="00063860">
        <w:rPr>
          <w:i/>
          <w:lang w:val="en-US"/>
        </w:rPr>
        <w:t>Elseyornis melanops</w:t>
      </w:r>
      <w:r>
        <w:rPr>
          <w:lang w:val="en-US"/>
        </w:rPr>
        <w:t>), red-kneed dotterel (</w:t>
      </w:r>
      <w:r>
        <w:rPr>
          <w:i/>
          <w:lang w:val="en-US"/>
        </w:rPr>
        <w:t>Erythrogonys conctus</w:t>
      </w:r>
      <w:r>
        <w:rPr>
          <w:lang w:val="en-US"/>
        </w:rPr>
        <w:t>) black-winged stilt (</w:t>
      </w:r>
      <w:r>
        <w:rPr>
          <w:i/>
          <w:lang w:val="en-US"/>
        </w:rPr>
        <w:t>Himantopus leucocephalus</w:t>
      </w:r>
      <w:r>
        <w:rPr>
          <w:lang w:val="en-US"/>
        </w:rPr>
        <w:t>) and masked lapwing (</w:t>
      </w:r>
      <w:r>
        <w:rPr>
          <w:i/>
          <w:lang w:val="en-US"/>
        </w:rPr>
        <w:t>Vanellus miles</w:t>
      </w:r>
      <w:r>
        <w:rPr>
          <w:lang w:val="en-US"/>
        </w:rPr>
        <w:t>) were all observed in the 2015-16 surveys.  Breeding activity was lower overall in 2015-16 than in 2014-15 as would be expected in a drying phase.</w:t>
      </w:r>
    </w:p>
    <w:p w:rsidR="0056539E" w:rsidRDefault="0056539E" w:rsidP="0032239F">
      <w:pPr>
        <w:pStyle w:val="Heading7"/>
      </w:pPr>
      <w:r>
        <w:t>Conclusion</w:t>
      </w:r>
      <w:r w:rsidRPr="00CD2E2F">
        <w:t xml:space="preserve"> </w:t>
      </w:r>
    </w:p>
    <w:p w:rsidR="0056539E" w:rsidRDefault="0056539E" w:rsidP="00E23B8D">
      <w:r>
        <w:t xml:space="preserve">Waterbird abundance and community composition generally responded as would be expected in a drying phase, with overall abundance and breeding activity markedly </w:t>
      </w:r>
      <w:r w:rsidR="001A6DD8">
        <w:t xml:space="preserve">lower </w:t>
      </w:r>
      <w:r>
        <w:t xml:space="preserve">compared to the wetter 2014-15 monitoring period. </w:t>
      </w:r>
      <w:r w:rsidR="006004AC">
        <w:t xml:space="preserve"> </w:t>
      </w:r>
      <w:r>
        <w:t>These results support the findings from previous monitoring which indicate that waterbird abundance, richness and breeding are driven by inundation patterns and that the delivery of environmental water to support a broad mosaic of habitats through a planned cycle of wetting and drying is eliciting predictable responses in waterbird community size and composition.</w:t>
      </w:r>
    </w:p>
    <w:p w:rsidR="0056539E" w:rsidRDefault="0056539E" w:rsidP="0032239F">
      <w:pPr>
        <w:pStyle w:val="Heading7"/>
      </w:pPr>
      <w:r>
        <w:t>References</w:t>
      </w:r>
    </w:p>
    <w:p w:rsidR="0056539E" w:rsidRPr="0071746D" w:rsidRDefault="0056539E" w:rsidP="00E23B8D">
      <w:r>
        <w:t xml:space="preserve">Commonwealth of Australia 2015. </w:t>
      </w:r>
      <w:r w:rsidRPr="00E23B8D">
        <w:rPr>
          <w:i/>
        </w:rPr>
        <w:t>Commonwealth Environmental Water Office Long Term intervention Monitoring Project Gwydir River System Selected Area – 2014-15 Evaluation Report.</w:t>
      </w:r>
      <w:r w:rsidR="0071746D">
        <w:t xml:space="preserve"> Commonwealth of Australia.</w:t>
      </w:r>
    </w:p>
    <w:p w:rsidR="0056539E" w:rsidRPr="00E23B8D" w:rsidRDefault="0056539E" w:rsidP="00E23B8D">
      <w:pPr>
        <w:rPr>
          <w:i/>
        </w:rPr>
      </w:pPr>
      <w:r>
        <w:t>Department of the Environment, Climate Change and Water (DECCW)</w:t>
      </w:r>
      <w:r w:rsidR="0071746D">
        <w:t>.</w:t>
      </w:r>
      <w:r>
        <w:t xml:space="preserve"> 2011. </w:t>
      </w:r>
      <w:r w:rsidRPr="00E23B8D">
        <w:rPr>
          <w:i/>
        </w:rPr>
        <w:t>Gwydir Wetlands Adaptive Environmental Management Plan.</w:t>
      </w:r>
    </w:p>
    <w:p w:rsidR="0056539E" w:rsidRDefault="0056539E" w:rsidP="00E23B8D">
      <w:r>
        <w:t>Kingsford, R.T., Roshie</w:t>
      </w:r>
      <w:r w:rsidR="00E23B8D">
        <w:t>r, D.A.</w:t>
      </w:r>
      <w:r w:rsidR="0071746D">
        <w:t xml:space="preserve"> &amp;</w:t>
      </w:r>
      <w:r w:rsidR="00E23B8D">
        <w:t xml:space="preserve"> Porter, J.L. 2010. </w:t>
      </w:r>
      <w:r w:rsidRPr="00E23B8D">
        <w:rPr>
          <w:i/>
        </w:rPr>
        <w:t>Australian waterbirds – time and space travelle</w:t>
      </w:r>
      <w:r w:rsidR="00E23B8D" w:rsidRPr="00E23B8D">
        <w:rPr>
          <w:i/>
        </w:rPr>
        <w:t>rs in dynamic desert landscapes</w:t>
      </w:r>
      <w:r>
        <w:t>.</w:t>
      </w:r>
      <w:r w:rsidR="0071746D">
        <w:t xml:space="preserve"> </w:t>
      </w:r>
      <w:r w:rsidR="0071746D" w:rsidRPr="0071746D">
        <w:rPr>
          <w:i/>
        </w:rPr>
        <w:t>Marine and Freshwater Research, 61</w:t>
      </w:r>
      <w:r>
        <w:t>(</w:t>
      </w:r>
      <w:r w:rsidR="0071746D">
        <w:t>8</w:t>
      </w:r>
      <w:r>
        <w:t>)</w:t>
      </w:r>
      <w:r w:rsidR="0071746D">
        <w:t>, 875-884.</w:t>
      </w:r>
    </w:p>
    <w:p w:rsidR="0056539E" w:rsidRPr="0071746D" w:rsidRDefault="0056539E" w:rsidP="00E23B8D">
      <w:r>
        <w:t xml:space="preserve">Roshier, D.A., Robertson, </w:t>
      </w:r>
      <w:r w:rsidR="00E23B8D">
        <w:t xml:space="preserve">A.I. </w:t>
      </w:r>
      <w:r w:rsidR="0071746D">
        <w:t>&amp;</w:t>
      </w:r>
      <w:r w:rsidR="00E23B8D">
        <w:t xml:space="preserve"> Kingsford, R.T. 2002. </w:t>
      </w:r>
      <w:r w:rsidRPr="0071746D">
        <w:t>Responses of waterbirds to flooding in an arid region of Australia an</w:t>
      </w:r>
      <w:r w:rsidR="00E23B8D" w:rsidRPr="0071746D">
        <w:t>d implications for conservation</w:t>
      </w:r>
      <w:r w:rsidRPr="00E23B8D">
        <w:rPr>
          <w:i/>
        </w:rPr>
        <w:t xml:space="preserve">. </w:t>
      </w:r>
      <w:r w:rsidR="0071746D">
        <w:rPr>
          <w:i/>
        </w:rPr>
        <w:t xml:space="preserve">Biological Conservation, </w:t>
      </w:r>
      <w:r w:rsidRPr="0071746D">
        <w:rPr>
          <w:i/>
        </w:rPr>
        <w:t>106</w:t>
      </w:r>
      <w:r w:rsidR="0071746D">
        <w:t>(3), 399-411.</w:t>
      </w:r>
    </w:p>
    <w:p w:rsidR="0056539E" w:rsidRPr="00F556E9" w:rsidRDefault="0056539E" w:rsidP="00E23B8D">
      <w:r w:rsidRPr="004335CD">
        <w:rPr>
          <w:rFonts w:cs="Arial"/>
          <w:szCs w:val="20"/>
        </w:rPr>
        <w:t>Spencer, J., Hosking, T., Ewin, P., Webster, R., Hutton, K., Allma</w:t>
      </w:r>
      <w:r w:rsidR="007A3B97">
        <w:rPr>
          <w:rFonts w:cs="Arial"/>
          <w:szCs w:val="20"/>
        </w:rPr>
        <w:t>n, R., Thoma</w:t>
      </w:r>
      <w:r w:rsidRPr="004335CD">
        <w:rPr>
          <w:rFonts w:cs="Arial"/>
          <w:szCs w:val="20"/>
        </w:rPr>
        <w:t>s, R., Humphries, J.,</w:t>
      </w:r>
      <w:r>
        <w:rPr>
          <w:rFonts w:cs="Arial"/>
          <w:szCs w:val="20"/>
        </w:rPr>
        <w:t xml:space="preserve"> Berney, P. </w:t>
      </w:r>
      <w:r w:rsidR="0071746D">
        <w:rPr>
          <w:rFonts w:cs="Arial"/>
          <w:szCs w:val="20"/>
        </w:rPr>
        <w:t>&amp;</w:t>
      </w:r>
      <w:r>
        <w:rPr>
          <w:rFonts w:cs="Arial"/>
          <w:szCs w:val="20"/>
        </w:rPr>
        <w:t xml:space="preserve"> Mulholland, M. 2014.</w:t>
      </w:r>
      <w:r w:rsidRPr="004335CD">
        <w:rPr>
          <w:rFonts w:cs="Arial"/>
          <w:szCs w:val="20"/>
        </w:rPr>
        <w:t xml:space="preserve"> </w:t>
      </w:r>
      <w:r w:rsidRPr="00E23B8D">
        <w:rPr>
          <w:rFonts w:cs="Arial"/>
          <w:i/>
          <w:szCs w:val="20"/>
        </w:rPr>
        <w:t>Waterbird Monitoring in Inland NSW: Summary Report 2012-13</w:t>
      </w:r>
      <w:r w:rsidRPr="004335CD">
        <w:rPr>
          <w:rFonts w:cs="Arial"/>
          <w:szCs w:val="20"/>
        </w:rPr>
        <w:t>. NSW Office of Environment and Heritage. Sydney.</w:t>
      </w:r>
    </w:p>
    <w:p w:rsidR="0056539E" w:rsidRPr="00F0636C" w:rsidRDefault="0056539E" w:rsidP="0056539E"/>
    <w:p w:rsidR="00E809F1" w:rsidRPr="000C43C6" w:rsidRDefault="00E809F1" w:rsidP="00E809F1"/>
    <w:sectPr w:rsidR="00E809F1" w:rsidRPr="000C43C6" w:rsidSect="009524AD">
      <w:headerReference w:type="default" r:id="rId211"/>
      <w:footerReference w:type="default" r:id="rId212"/>
      <w:type w:val="nextColumn"/>
      <w:pgSz w:w="11907" w:h="16839" w:code="9"/>
      <w:pgMar w:top="1418" w:right="1219" w:bottom="1276" w:left="1480" w:header="851" w:footer="290" w:gutter="0"/>
      <w:pgNumType w:chapStyle="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435A" w:rsidRDefault="0097435A">
      <w:r>
        <w:separator/>
      </w:r>
    </w:p>
    <w:p w:rsidR="0097435A" w:rsidRDefault="0097435A"/>
  </w:endnote>
  <w:endnote w:type="continuationSeparator" w:id="0">
    <w:p w:rsidR="0097435A" w:rsidRDefault="0097435A">
      <w:r>
        <w:continuationSeparator/>
      </w:r>
    </w:p>
    <w:p w:rsidR="0097435A" w:rsidRDefault="0097435A"/>
  </w:endnote>
  <w:endnote w:type="continuationNotice" w:id="1">
    <w:p w:rsidR="0097435A" w:rsidRDefault="009743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AdvTT182ff89e+20">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6FF" w:rsidRDefault="004176F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3302"/>
      <w:gridCol w:w="837"/>
    </w:tblGrid>
    <w:tr w:rsidR="00EA54D5" w:rsidRPr="003D0741" w:rsidTr="00DA5A29">
      <w:trPr>
        <w:trHeight w:val="300"/>
      </w:trPr>
      <w:tc>
        <w:tcPr>
          <w:tcW w:w="4704" w:type="pct"/>
          <w:shd w:val="clear" w:color="auto" w:fill="auto"/>
        </w:tcPr>
        <w:p w:rsidR="00EA54D5" w:rsidRPr="003D0741" w:rsidRDefault="00EA54D5" w:rsidP="003D0741">
          <w:pPr>
            <w:spacing w:before="80" w:after="80" w:line="240" w:lineRule="auto"/>
            <w:ind w:right="6"/>
            <w:jc w:val="left"/>
            <w:rPr>
              <w:rFonts w:ascii="Century Gothic" w:hAnsi="Century Gothic"/>
              <w:spacing w:val="20"/>
              <w:sz w:val="14"/>
              <w:szCs w:val="14"/>
            </w:rPr>
          </w:pPr>
        </w:p>
      </w:tc>
      <w:tc>
        <w:tcPr>
          <w:tcW w:w="296" w:type="pct"/>
          <w:shd w:val="clear" w:color="auto" w:fill="auto"/>
          <w:vAlign w:val="center"/>
        </w:tcPr>
        <w:p w:rsidR="00EA54D5" w:rsidRPr="003D0741" w:rsidRDefault="00EA54D5" w:rsidP="003D0741">
          <w:pPr>
            <w:spacing w:before="80" w:after="0" w:line="240" w:lineRule="auto"/>
            <w:ind w:left="-117" w:right="-140"/>
            <w:jc w:val="center"/>
            <w:rPr>
              <w:rFonts w:ascii="Century Gothic" w:hAnsi="Century Gothic"/>
              <w:spacing w:val="20"/>
              <w:sz w:val="14"/>
              <w:szCs w:val="14"/>
            </w:rPr>
          </w:pPr>
          <w:r w:rsidRPr="003D0741">
            <w:rPr>
              <w:sz w:val="14"/>
              <w:szCs w:val="14"/>
            </w:rPr>
            <w:fldChar w:fldCharType="begin"/>
          </w:r>
          <w:r w:rsidRPr="003D0741">
            <w:rPr>
              <w:sz w:val="14"/>
              <w:szCs w:val="14"/>
            </w:rPr>
            <w:instrText xml:space="preserve"> PAGE </w:instrText>
          </w:r>
          <w:r w:rsidRPr="003D0741">
            <w:rPr>
              <w:sz w:val="14"/>
              <w:szCs w:val="14"/>
            </w:rPr>
            <w:fldChar w:fldCharType="separate"/>
          </w:r>
          <w:r w:rsidR="00E90864">
            <w:rPr>
              <w:noProof/>
              <w:sz w:val="14"/>
              <w:szCs w:val="14"/>
            </w:rPr>
            <w:t>D-5</w:t>
          </w:r>
          <w:r w:rsidRPr="003D0741">
            <w:rPr>
              <w:sz w:val="14"/>
              <w:szCs w:val="14"/>
            </w:rPr>
            <w:fldChar w:fldCharType="end"/>
          </w:r>
        </w:p>
      </w:tc>
    </w:tr>
  </w:tbl>
  <w:p w:rsidR="00EA54D5" w:rsidRDefault="00EA54D5">
    <w:pPr>
      <w:pStyle w:val="Footer"/>
      <w:jc w:val="righ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654"/>
      <w:gridCol w:w="546"/>
    </w:tblGrid>
    <w:tr w:rsidR="00EA54D5" w:rsidRPr="003D0741" w:rsidTr="004F411E">
      <w:tc>
        <w:tcPr>
          <w:tcW w:w="4703" w:type="pct"/>
          <w:shd w:val="clear" w:color="auto" w:fill="auto"/>
        </w:tcPr>
        <w:p w:rsidR="00EA54D5" w:rsidRPr="003D0741" w:rsidRDefault="00EA54D5" w:rsidP="003D0741">
          <w:pPr>
            <w:spacing w:before="80" w:after="80" w:line="240" w:lineRule="auto"/>
            <w:ind w:right="6"/>
            <w:jc w:val="left"/>
            <w:rPr>
              <w:rFonts w:ascii="Century Gothic" w:hAnsi="Century Gothic"/>
              <w:spacing w:val="20"/>
              <w:sz w:val="14"/>
              <w:szCs w:val="14"/>
            </w:rPr>
          </w:pPr>
        </w:p>
      </w:tc>
      <w:tc>
        <w:tcPr>
          <w:tcW w:w="297" w:type="pct"/>
          <w:shd w:val="clear" w:color="auto" w:fill="auto"/>
          <w:vAlign w:val="center"/>
        </w:tcPr>
        <w:p w:rsidR="00EA54D5" w:rsidRPr="003D0741" w:rsidRDefault="00EA54D5" w:rsidP="003D0741">
          <w:pPr>
            <w:spacing w:before="80" w:after="0" w:line="240" w:lineRule="auto"/>
            <w:ind w:left="-117" w:right="-140"/>
            <w:jc w:val="center"/>
            <w:rPr>
              <w:rFonts w:ascii="Century Gothic" w:hAnsi="Century Gothic"/>
              <w:spacing w:val="20"/>
              <w:sz w:val="14"/>
              <w:szCs w:val="14"/>
            </w:rPr>
          </w:pPr>
          <w:r w:rsidRPr="003D0741">
            <w:rPr>
              <w:sz w:val="14"/>
              <w:szCs w:val="14"/>
            </w:rPr>
            <w:fldChar w:fldCharType="begin"/>
          </w:r>
          <w:r w:rsidRPr="003D0741">
            <w:rPr>
              <w:sz w:val="14"/>
              <w:szCs w:val="14"/>
            </w:rPr>
            <w:instrText xml:space="preserve"> PAGE </w:instrText>
          </w:r>
          <w:r w:rsidRPr="003D0741">
            <w:rPr>
              <w:sz w:val="14"/>
              <w:szCs w:val="14"/>
            </w:rPr>
            <w:fldChar w:fldCharType="separate"/>
          </w:r>
          <w:r w:rsidR="0013155A">
            <w:rPr>
              <w:noProof/>
              <w:sz w:val="14"/>
              <w:szCs w:val="14"/>
            </w:rPr>
            <w:t>E-9</w:t>
          </w:r>
          <w:r w:rsidRPr="003D0741">
            <w:rPr>
              <w:sz w:val="14"/>
              <w:szCs w:val="14"/>
            </w:rPr>
            <w:fldChar w:fldCharType="end"/>
          </w:r>
        </w:p>
      </w:tc>
    </w:tr>
  </w:tbl>
  <w:p w:rsidR="00EA54D5" w:rsidRDefault="00EA54D5">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654"/>
      <w:gridCol w:w="546"/>
    </w:tblGrid>
    <w:tr w:rsidR="00EA54D5" w:rsidRPr="009350B0" w:rsidTr="00164E48">
      <w:tc>
        <w:tcPr>
          <w:tcW w:w="4703" w:type="pct"/>
          <w:shd w:val="clear" w:color="auto" w:fill="auto"/>
        </w:tcPr>
        <w:p w:rsidR="00EA54D5" w:rsidRPr="009350B0" w:rsidRDefault="00EA54D5" w:rsidP="00B35ECC">
          <w:pPr>
            <w:spacing w:before="80" w:after="80" w:line="240" w:lineRule="auto"/>
            <w:ind w:right="6"/>
            <w:jc w:val="left"/>
            <w:rPr>
              <w:rFonts w:ascii="Century Gothic" w:hAnsi="Century Gothic"/>
              <w:spacing w:val="20"/>
              <w:sz w:val="14"/>
              <w:szCs w:val="14"/>
            </w:rPr>
          </w:pPr>
        </w:p>
      </w:tc>
      <w:tc>
        <w:tcPr>
          <w:tcW w:w="297" w:type="pct"/>
          <w:shd w:val="clear" w:color="auto" w:fill="auto"/>
          <w:vAlign w:val="center"/>
        </w:tcPr>
        <w:p w:rsidR="00EA54D5" w:rsidRPr="009350B0" w:rsidRDefault="00EA54D5" w:rsidP="00B35EC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13155A">
            <w:rPr>
              <w:noProof/>
              <w:sz w:val="14"/>
              <w:szCs w:val="14"/>
            </w:rPr>
            <w:t>F-2</w:t>
          </w:r>
          <w:r w:rsidRPr="009350B0">
            <w:rPr>
              <w:sz w:val="14"/>
              <w:szCs w:val="14"/>
            </w:rPr>
            <w:fldChar w:fldCharType="end"/>
          </w:r>
        </w:p>
      </w:tc>
    </w:tr>
  </w:tbl>
  <w:p w:rsidR="00EA54D5" w:rsidRDefault="00EA54D5">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3302"/>
      <w:gridCol w:w="837"/>
    </w:tblGrid>
    <w:tr w:rsidR="00EA54D5" w:rsidRPr="009350B0" w:rsidTr="00B35ECC">
      <w:trPr>
        <w:trHeight w:val="300"/>
      </w:trPr>
      <w:tc>
        <w:tcPr>
          <w:tcW w:w="4704" w:type="pct"/>
          <w:shd w:val="clear" w:color="auto" w:fill="auto"/>
        </w:tcPr>
        <w:p w:rsidR="00EA54D5" w:rsidRPr="009350B0" w:rsidRDefault="00EA54D5" w:rsidP="00B35ECC">
          <w:pPr>
            <w:spacing w:before="80" w:after="80" w:line="240" w:lineRule="auto"/>
            <w:ind w:right="6"/>
            <w:jc w:val="left"/>
            <w:rPr>
              <w:rFonts w:ascii="Century Gothic" w:hAnsi="Century Gothic"/>
              <w:spacing w:val="20"/>
              <w:sz w:val="14"/>
              <w:szCs w:val="14"/>
            </w:rPr>
          </w:pPr>
        </w:p>
      </w:tc>
      <w:tc>
        <w:tcPr>
          <w:tcW w:w="296" w:type="pct"/>
          <w:shd w:val="clear" w:color="auto" w:fill="auto"/>
          <w:vAlign w:val="center"/>
        </w:tcPr>
        <w:p w:rsidR="00EA54D5" w:rsidRPr="009350B0" w:rsidRDefault="00EA54D5" w:rsidP="00B35EC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13155A">
            <w:rPr>
              <w:noProof/>
              <w:sz w:val="14"/>
              <w:szCs w:val="14"/>
            </w:rPr>
            <w:t>F-3</w:t>
          </w:r>
          <w:r w:rsidRPr="009350B0">
            <w:rPr>
              <w:sz w:val="14"/>
              <w:szCs w:val="14"/>
            </w:rPr>
            <w:fldChar w:fldCharType="end"/>
          </w:r>
        </w:p>
      </w:tc>
    </w:tr>
  </w:tbl>
  <w:p w:rsidR="00EA54D5" w:rsidRDefault="00EA54D5">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655"/>
      <w:gridCol w:w="545"/>
    </w:tblGrid>
    <w:tr w:rsidR="00EA54D5" w:rsidRPr="009350B0" w:rsidTr="00B35ECC">
      <w:trPr>
        <w:trHeight w:val="300"/>
      </w:trPr>
      <w:tc>
        <w:tcPr>
          <w:tcW w:w="4704" w:type="pct"/>
          <w:shd w:val="clear" w:color="auto" w:fill="auto"/>
        </w:tcPr>
        <w:p w:rsidR="00EA54D5" w:rsidRPr="009350B0" w:rsidRDefault="00EA54D5" w:rsidP="00B35ECC">
          <w:pPr>
            <w:spacing w:before="80" w:after="80" w:line="240" w:lineRule="auto"/>
            <w:ind w:right="6"/>
            <w:jc w:val="left"/>
            <w:rPr>
              <w:rFonts w:ascii="Century Gothic" w:hAnsi="Century Gothic"/>
              <w:spacing w:val="20"/>
              <w:sz w:val="14"/>
              <w:szCs w:val="14"/>
            </w:rPr>
          </w:pPr>
        </w:p>
      </w:tc>
      <w:tc>
        <w:tcPr>
          <w:tcW w:w="296" w:type="pct"/>
          <w:shd w:val="clear" w:color="auto" w:fill="auto"/>
          <w:vAlign w:val="center"/>
        </w:tcPr>
        <w:p w:rsidR="00EA54D5" w:rsidRPr="009350B0" w:rsidRDefault="00EA54D5" w:rsidP="00B35EC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13155A">
            <w:rPr>
              <w:noProof/>
              <w:sz w:val="14"/>
              <w:szCs w:val="14"/>
            </w:rPr>
            <w:t>F-4</w:t>
          </w:r>
          <w:r w:rsidRPr="009350B0">
            <w:rPr>
              <w:sz w:val="14"/>
              <w:szCs w:val="14"/>
            </w:rPr>
            <w:fldChar w:fldCharType="end"/>
          </w:r>
        </w:p>
      </w:tc>
    </w:tr>
  </w:tbl>
  <w:p w:rsidR="00EA54D5" w:rsidRDefault="00EA54D5">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3302"/>
      <w:gridCol w:w="837"/>
    </w:tblGrid>
    <w:tr w:rsidR="00EA54D5" w:rsidRPr="009350B0" w:rsidTr="00B35ECC">
      <w:trPr>
        <w:trHeight w:val="300"/>
      </w:trPr>
      <w:tc>
        <w:tcPr>
          <w:tcW w:w="4704" w:type="pct"/>
          <w:shd w:val="clear" w:color="auto" w:fill="auto"/>
        </w:tcPr>
        <w:p w:rsidR="00EA54D5" w:rsidRPr="009350B0" w:rsidRDefault="00EA54D5" w:rsidP="00B35ECC">
          <w:pPr>
            <w:spacing w:before="80" w:after="80" w:line="240" w:lineRule="auto"/>
            <w:ind w:right="6"/>
            <w:jc w:val="left"/>
            <w:rPr>
              <w:rFonts w:ascii="Century Gothic" w:hAnsi="Century Gothic"/>
              <w:spacing w:val="20"/>
              <w:sz w:val="14"/>
              <w:szCs w:val="14"/>
            </w:rPr>
          </w:pPr>
        </w:p>
      </w:tc>
      <w:tc>
        <w:tcPr>
          <w:tcW w:w="296" w:type="pct"/>
          <w:shd w:val="clear" w:color="auto" w:fill="auto"/>
          <w:vAlign w:val="center"/>
        </w:tcPr>
        <w:p w:rsidR="00EA54D5" w:rsidRPr="009350B0" w:rsidRDefault="00EA54D5" w:rsidP="00B35EC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13155A">
            <w:rPr>
              <w:noProof/>
              <w:sz w:val="14"/>
              <w:szCs w:val="14"/>
            </w:rPr>
            <w:t>F-6</w:t>
          </w:r>
          <w:r w:rsidRPr="009350B0">
            <w:rPr>
              <w:sz w:val="14"/>
              <w:szCs w:val="14"/>
            </w:rPr>
            <w:fldChar w:fldCharType="end"/>
          </w:r>
        </w:p>
      </w:tc>
    </w:tr>
  </w:tbl>
  <w:p w:rsidR="00EA54D5" w:rsidRDefault="00EA54D5">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655"/>
      <w:gridCol w:w="545"/>
    </w:tblGrid>
    <w:tr w:rsidR="00EA54D5" w:rsidRPr="009350B0" w:rsidTr="00B35ECC">
      <w:trPr>
        <w:trHeight w:val="300"/>
      </w:trPr>
      <w:tc>
        <w:tcPr>
          <w:tcW w:w="4704" w:type="pct"/>
          <w:shd w:val="clear" w:color="auto" w:fill="auto"/>
        </w:tcPr>
        <w:p w:rsidR="00EA54D5" w:rsidRPr="009350B0" w:rsidRDefault="00EA54D5" w:rsidP="00B35ECC">
          <w:pPr>
            <w:spacing w:before="80" w:after="80" w:line="240" w:lineRule="auto"/>
            <w:ind w:right="6"/>
            <w:jc w:val="left"/>
            <w:rPr>
              <w:rFonts w:ascii="Century Gothic" w:hAnsi="Century Gothic"/>
              <w:spacing w:val="20"/>
              <w:sz w:val="14"/>
              <w:szCs w:val="14"/>
            </w:rPr>
          </w:pPr>
        </w:p>
      </w:tc>
      <w:tc>
        <w:tcPr>
          <w:tcW w:w="296" w:type="pct"/>
          <w:shd w:val="clear" w:color="auto" w:fill="auto"/>
          <w:vAlign w:val="center"/>
        </w:tcPr>
        <w:p w:rsidR="00EA54D5" w:rsidRPr="009350B0" w:rsidRDefault="00EA54D5" w:rsidP="00B35EC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A066AC">
            <w:rPr>
              <w:sz w:val="14"/>
              <w:szCs w:val="14"/>
            </w:rPr>
            <w:instrText xml:space="preserve"> PAGE </w:instrText>
          </w:r>
          <w:r w:rsidRPr="009350B0">
            <w:rPr>
              <w:sz w:val="14"/>
              <w:szCs w:val="14"/>
            </w:rPr>
            <w:fldChar w:fldCharType="separate"/>
          </w:r>
          <w:r w:rsidR="0013155A">
            <w:rPr>
              <w:noProof/>
              <w:sz w:val="14"/>
              <w:szCs w:val="14"/>
            </w:rPr>
            <w:t>F-8</w:t>
          </w:r>
          <w:r w:rsidRPr="009350B0">
            <w:rPr>
              <w:sz w:val="14"/>
              <w:szCs w:val="14"/>
            </w:rPr>
            <w:fldChar w:fldCharType="end"/>
          </w:r>
        </w:p>
      </w:tc>
    </w:tr>
  </w:tbl>
  <w:p w:rsidR="00EA54D5" w:rsidRDefault="00EA54D5">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655"/>
      <w:gridCol w:w="545"/>
    </w:tblGrid>
    <w:tr w:rsidR="00EA54D5" w:rsidRPr="009350B0" w:rsidTr="00216F84">
      <w:trPr>
        <w:trHeight w:val="300"/>
      </w:trPr>
      <w:tc>
        <w:tcPr>
          <w:tcW w:w="4704" w:type="pct"/>
          <w:shd w:val="clear" w:color="auto" w:fill="auto"/>
        </w:tcPr>
        <w:p w:rsidR="00EA54D5" w:rsidRPr="009350B0" w:rsidRDefault="00EA54D5" w:rsidP="00A066AC">
          <w:pPr>
            <w:spacing w:before="80" w:after="80" w:line="240" w:lineRule="auto"/>
            <w:ind w:right="6"/>
            <w:jc w:val="left"/>
            <w:rPr>
              <w:rFonts w:ascii="Century Gothic" w:hAnsi="Century Gothic"/>
              <w:spacing w:val="20"/>
              <w:sz w:val="14"/>
              <w:szCs w:val="14"/>
            </w:rPr>
          </w:pPr>
        </w:p>
      </w:tc>
      <w:tc>
        <w:tcPr>
          <w:tcW w:w="296" w:type="pct"/>
          <w:shd w:val="clear" w:color="auto" w:fill="auto"/>
          <w:vAlign w:val="center"/>
        </w:tcPr>
        <w:p w:rsidR="00EA54D5" w:rsidRPr="009350B0" w:rsidRDefault="00EA54D5" w:rsidP="00A066A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A066AC">
            <w:rPr>
              <w:sz w:val="14"/>
              <w:szCs w:val="14"/>
            </w:rPr>
            <w:instrText xml:space="preserve"> PAGE </w:instrText>
          </w:r>
          <w:r w:rsidRPr="009350B0">
            <w:rPr>
              <w:sz w:val="14"/>
              <w:szCs w:val="14"/>
            </w:rPr>
            <w:fldChar w:fldCharType="separate"/>
          </w:r>
          <w:r w:rsidR="0013155A">
            <w:rPr>
              <w:noProof/>
              <w:sz w:val="14"/>
              <w:szCs w:val="14"/>
            </w:rPr>
            <w:t>G-3</w:t>
          </w:r>
          <w:r w:rsidRPr="009350B0">
            <w:rPr>
              <w:sz w:val="14"/>
              <w:szCs w:val="14"/>
            </w:rPr>
            <w:fldChar w:fldCharType="end"/>
          </w:r>
        </w:p>
      </w:tc>
    </w:tr>
  </w:tbl>
  <w:p w:rsidR="00EA54D5" w:rsidRPr="0063461D" w:rsidRDefault="00EA54D5" w:rsidP="0063461D">
    <w:pPr>
      <w:pStyle w:val="Footer"/>
      <w:jc w:val="left"/>
      <w:rPr>
        <w:sz w:val="14"/>
        <w:szCs w:val="14"/>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3302"/>
      <w:gridCol w:w="837"/>
    </w:tblGrid>
    <w:tr w:rsidR="00EA54D5" w:rsidRPr="009350B0" w:rsidTr="0063461D">
      <w:trPr>
        <w:trHeight w:val="300"/>
      </w:trPr>
      <w:tc>
        <w:tcPr>
          <w:tcW w:w="4704" w:type="pct"/>
          <w:shd w:val="clear" w:color="auto" w:fill="auto"/>
        </w:tcPr>
        <w:p w:rsidR="00EA54D5" w:rsidRPr="009350B0" w:rsidRDefault="00EA54D5" w:rsidP="00CB0896">
          <w:pPr>
            <w:spacing w:before="80" w:after="80" w:line="240" w:lineRule="auto"/>
            <w:ind w:right="6"/>
            <w:jc w:val="left"/>
            <w:rPr>
              <w:rFonts w:ascii="Century Gothic" w:hAnsi="Century Gothic"/>
              <w:spacing w:val="20"/>
              <w:sz w:val="14"/>
              <w:szCs w:val="14"/>
            </w:rPr>
          </w:pPr>
        </w:p>
      </w:tc>
      <w:tc>
        <w:tcPr>
          <w:tcW w:w="296" w:type="pct"/>
          <w:shd w:val="clear" w:color="auto" w:fill="auto"/>
          <w:vAlign w:val="center"/>
        </w:tcPr>
        <w:p w:rsidR="00EA54D5" w:rsidRPr="009350B0" w:rsidRDefault="00EA54D5" w:rsidP="00CB0896">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13155A">
            <w:rPr>
              <w:noProof/>
              <w:sz w:val="14"/>
              <w:szCs w:val="14"/>
            </w:rPr>
            <w:t>G-6</w:t>
          </w:r>
          <w:r w:rsidRPr="009350B0">
            <w:rPr>
              <w:sz w:val="14"/>
              <w:szCs w:val="14"/>
            </w:rPr>
            <w:fldChar w:fldCharType="end"/>
          </w:r>
        </w:p>
      </w:tc>
    </w:tr>
  </w:tbl>
  <w:p w:rsidR="00EA54D5" w:rsidRPr="00097B3B" w:rsidRDefault="00EA54D5" w:rsidP="00CB0896">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655"/>
      <w:gridCol w:w="545"/>
    </w:tblGrid>
    <w:tr w:rsidR="00EA54D5" w:rsidRPr="009350B0" w:rsidTr="0063461D">
      <w:trPr>
        <w:trHeight w:val="300"/>
      </w:trPr>
      <w:tc>
        <w:tcPr>
          <w:tcW w:w="4704" w:type="pct"/>
          <w:shd w:val="clear" w:color="auto" w:fill="auto"/>
        </w:tcPr>
        <w:p w:rsidR="00EA54D5" w:rsidRPr="009350B0" w:rsidRDefault="00EA54D5" w:rsidP="00CB0896">
          <w:pPr>
            <w:spacing w:before="80" w:after="80" w:line="240" w:lineRule="auto"/>
            <w:ind w:right="6"/>
            <w:jc w:val="left"/>
            <w:rPr>
              <w:rFonts w:ascii="Century Gothic" w:hAnsi="Century Gothic"/>
              <w:spacing w:val="20"/>
              <w:sz w:val="14"/>
              <w:szCs w:val="14"/>
            </w:rPr>
          </w:pPr>
        </w:p>
      </w:tc>
      <w:tc>
        <w:tcPr>
          <w:tcW w:w="296" w:type="pct"/>
          <w:shd w:val="clear" w:color="auto" w:fill="auto"/>
          <w:vAlign w:val="center"/>
        </w:tcPr>
        <w:p w:rsidR="00EA54D5" w:rsidRPr="009350B0" w:rsidRDefault="00EA54D5" w:rsidP="00CB0896">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13155A">
            <w:rPr>
              <w:noProof/>
              <w:sz w:val="14"/>
              <w:szCs w:val="14"/>
            </w:rPr>
            <w:t>G-10</w:t>
          </w:r>
          <w:r w:rsidRPr="009350B0">
            <w:rPr>
              <w:sz w:val="14"/>
              <w:szCs w:val="14"/>
            </w:rPr>
            <w:fldChar w:fldCharType="end"/>
          </w:r>
        </w:p>
      </w:tc>
    </w:tr>
  </w:tbl>
  <w:p w:rsidR="00EA54D5" w:rsidRPr="00097B3B" w:rsidRDefault="00EA54D5" w:rsidP="00CB08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654"/>
      <w:gridCol w:w="546"/>
    </w:tblGrid>
    <w:tr w:rsidR="00EA54D5" w:rsidRPr="009350B0" w:rsidTr="004F411E">
      <w:tc>
        <w:tcPr>
          <w:tcW w:w="4703" w:type="pct"/>
          <w:shd w:val="clear" w:color="auto" w:fill="auto"/>
        </w:tcPr>
        <w:p w:rsidR="00EA54D5" w:rsidRPr="009350B0" w:rsidRDefault="00EA54D5" w:rsidP="00932C31">
          <w:pPr>
            <w:spacing w:before="80" w:after="80" w:line="240" w:lineRule="auto"/>
            <w:ind w:right="6" w:firstLine="720"/>
            <w:jc w:val="left"/>
            <w:rPr>
              <w:rFonts w:ascii="Century Gothic" w:hAnsi="Century Gothic"/>
              <w:spacing w:val="20"/>
              <w:sz w:val="14"/>
              <w:szCs w:val="14"/>
            </w:rPr>
          </w:pPr>
        </w:p>
      </w:tc>
      <w:tc>
        <w:tcPr>
          <w:tcW w:w="297" w:type="pct"/>
          <w:shd w:val="clear" w:color="auto" w:fill="auto"/>
          <w:vAlign w:val="center"/>
        </w:tcPr>
        <w:p w:rsidR="00EA54D5" w:rsidRPr="009350B0" w:rsidRDefault="00EA54D5" w:rsidP="00932C31">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13155A">
            <w:rPr>
              <w:noProof/>
              <w:sz w:val="14"/>
              <w:szCs w:val="14"/>
            </w:rPr>
            <w:t>A-1</w:t>
          </w:r>
          <w:r w:rsidRPr="009350B0">
            <w:rPr>
              <w:sz w:val="14"/>
              <w:szCs w:val="14"/>
            </w:rPr>
            <w:fldChar w:fldCharType="end"/>
          </w:r>
        </w:p>
      </w:tc>
    </w:tr>
  </w:tbl>
  <w:p w:rsidR="00EA54D5" w:rsidRDefault="00EA54D5" w:rsidP="00932C31">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3500" w:type="dxa"/>
      <w:tblInd w:w="108" w:type="dxa"/>
      <w:tblBorders>
        <w:top w:val="single" w:sz="2" w:space="0" w:color="auto"/>
      </w:tblBorders>
      <w:tblLook w:val="00A0" w:firstRow="1" w:lastRow="0" w:firstColumn="1" w:lastColumn="0" w:noHBand="0" w:noVBand="0"/>
    </w:tblPr>
    <w:tblGrid>
      <w:gridCol w:w="13075"/>
      <w:gridCol w:w="425"/>
    </w:tblGrid>
    <w:tr w:rsidR="00EA54D5" w:rsidRPr="009350B0" w:rsidTr="00CB0896">
      <w:trPr>
        <w:trHeight w:val="300"/>
      </w:trPr>
      <w:tc>
        <w:tcPr>
          <w:tcW w:w="13075" w:type="dxa"/>
          <w:shd w:val="clear" w:color="auto" w:fill="auto"/>
        </w:tcPr>
        <w:p w:rsidR="00EA54D5" w:rsidRPr="009350B0" w:rsidRDefault="00EA54D5" w:rsidP="00CB0896">
          <w:pPr>
            <w:spacing w:before="80" w:after="80" w:line="240" w:lineRule="auto"/>
            <w:ind w:right="6"/>
            <w:jc w:val="left"/>
            <w:rPr>
              <w:rFonts w:ascii="Century Gothic" w:hAnsi="Century Gothic"/>
              <w:spacing w:val="20"/>
              <w:sz w:val="14"/>
              <w:szCs w:val="14"/>
            </w:rPr>
          </w:pPr>
        </w:p>
      </w:tc>
      <w:tc>
        <w:tcPr>
          <w:tcW w:w="425" w:type="dxa"/>
          <w:shd w:val="clear" w:color="auto" w:fill="auto"/>
          <w:vAlign w:val="center"/>
        </w:tcPr>
        <w:p w:rsidR="00EA54D5" w:rsidRPr="009350B0" w:rsidRDefault="00EA54D5" w:rsidP="00CB0896">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13155A">
            <w:rPr>
              <w:noProof/>
              <w:sz w:val="14"/>
              <w:szCs w:val="14"/>
            </w:rPr>
            <w:t>G-11</w:t>
          </w:r>
          <w:r w:rsidRPr="009350B0">
            <w:rPr>
              <w:sz w:val="14"/>
              <w:szCs w:val="14"/>
            </w:rPr>
            <w:fldChar w:fldCharType="end"/>
          </w:r>
        </w:p>
      </w:tc>
    </w:tr>
  </w:tbl>
  <w:p w:rsidR="00EA54D5" w:rsidRPr="00097B3B" w:rsidRDefault="00EA54D5" w:rsidP="00CB0896">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655"/>
      <w:gridCol w:w="545"/>
    </w:tblGrid>
    <w:tr w:rsidR="00EA54D5" w:rsidRPr="009350B0" w:rsidTr="00270B58">
      <w:trPr>
        <w:trHeight w:val="300"/>
      </w:trPr>
      <w:tc>
        <w:tcPr>
          <w:tcW w:w="4704" w:type="pct"/>
          <w:shd w:val="clear" w:color="auto" w:fill="auto"/>
        </w:tcPr>
        <w:p w:rsidR="00EA54D5" w:rsidRPr="009350B0" w:rsidRDefault="00EA54D5" w:rsidP="00CB0896">
          <w:pPr>
            <w:tabs>
              <w:tab w:val="left" w:pos="2194"/>
            </w:tabs>
            <w:spacing w:before="80" w:after="80" w:line="240" w:lineRule="auto"/>
            <w:ind w:right="6"/>
            <w:jc w:val="left"/>
            <w:rPr>
              <w:rFonts w:ascii="Century Gothic" w:hAnsi="Century Gothic"/>
              <w:spacing w:val="20"/>
              <w:sz w:val="14"/>
              <w:szCs w:val="14"/>
            </w:rPr>
          </w:pPr>
        </w:p>
      </w:tc>
      <w:tc>
        <w:tcPr>
          <w:tcW w:w="296" w:type="pct"/>
          <w:shd w:val="clear" w:color="auto" w:fill="auto"/>
          <w:vAlign w:val="center"/>
        </w:tcPr>
        <w:p w:rsidR="00EA54D5" w:rsidRPr="009350B0" w:rsidRDefault="00EA54D5" w:rsidP="00CB0896">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A066AC">
            <w:rPr>
              <w:sz w:val="14"/>
              <w:szCs w:val="14"/>
            </w:rPr>
            <w:instrText xml:space="preserve"> PAGE </w:instrText>
          </w:r>
          <w:r w:rsidRPr="009350B0">
            <w:rPr>
              <w:sz w:val="14"/>
              <w:szCs w:val="14"/>
            </w:rPr>
            <w:fldChar w:fldCharType="separate"/>
          </w:r>
          <w:r w:rsidR="0013155A">
            <w:rPr>
              <w:noProof/>
              <w:sz w:val="14"/>
              <w:szCs w:val="14"/>
            </w:rPr>
            <w:t>H-6</w:t>
          </w:r>
          <w:r w:rsidRPr="009350B0">
            <w:rPr>
              <w:sz w:val="14"/>
              <w:szCs w:val="14"/>
            </w:rPr>
            <w:fldChar w:fldCharType="end"/>
          </w:r>
        </w:p>
      </w:tc>
    </w:tr>
  </w:tbl>
  <w:p w:rsidR="00EA54D5" w:rsidRPr="00AA3E29" w:rsidRDefault="00EA54D5" w:rsidP="00CB0896">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3052"/>
      <w:gridCol w:w="821"/>
    </w:tblGrid>
    <w:tr w:rsidR="00EA54D5" w:rsidRPr="009350B0" w:rsidTr="00E23B8D">
      <w:trPr>
        <w:trHeight w:val="300"/>
      </w:trPr>
      <w:tc>
        <w:tcPr>
          <w:tcW w:w="4704" w:type="pct"/>
          <w:shd w:val="clear" w:color="auto" w:fill="auto"/>
        </w:tcPr>
        <w:p w:rsidR="00EA54D5" w:rsidRPr="009350B0" w:rsidRDefault="00EA54D5" w:rsidP="00A066AC">
          <w:pPr>
            <w:tabs>
              <w:tab w:val="left" w:pos="2194"/>
            </w:tabs>
            <w:spacing w:before="80" w:after="80" w:line="240" w:lineRule="auto"/>
            <w:ind w:right="6"/>
            <w:jc w:val="left"/>
            <w:rPr>
              <w:rFonts w:ascii="Century Gothic" w:hAnsi="Century Gothic"/>
              <w:spacing w:val="20"/>
              <w:sz w:val="14"/>
              <w:szCs w:val="14"/>
            </w:rPr>
          </w:pPr>
        </w:p>
      </w:tc>
      <w:tc>
        <w:tcPr>
          <w:tcW w:w="296" w:type="pct"/>
          <w:shd w:val="clear" w:color="auto" w:fill="auto"/>
          <w:vAlign w:val="center"/>
        </w:tcPr>
        <w:p w:rsidR="00EA54D5" w:rsidRPr="009350B0" w:rsidRDefault="00EA54D5" w:rsidP="00A066A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A066AC">
            <w:rPr>
              <w:sz w:val="14"/>
              <w:szCs w:val="14"/>
            </w:rPr>
            <w:instrText xml:space="preserve"> PAGE </w:instrText>
          </w:r>
          <w:r w:rsidRPr="009350B0">
            <w:rPr>
              <w:sz w:val="14"/>
              <w:szCs w:val="14"/>
            </w:rPr>
            <w:fldChar w:fldCharType="separate"/>
          </w:r>
          <w:r w:rsidR="0013155A">
            <w:rPr>
              <w:noProof/>
              <w:sz w:val="14"/>
              <w:szCs w:val="14"/>
            </w:rPr>
            <w:t>H-1</w:t>
          </w:r>
          <w:r w:rsidRPr="009350B0">
            <w:rPr>
              <w:sz w:val="14"/>
              <w:szCs w:val="14"/>
            </w:rPr>
            <w:fldChar w:fldCharType="end"/>
          </w:r>
        </w:p>
      </w:tc>
    </w:tr>
  </w:tbl>
  <w:p w:rsidR="00EA54D5" w:rsidRPr="00D43F70" w:rsidRDefault="00EA54D5">
    <w:pPr>
      <w:pStyle w:val="Footer"/>
      <w:jc w:val="right"/>
      <w:rPr>
        <w:sz w:val="14"/>
        <w:szCs w:val="14"/>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655"/>
      <w:gridCol w:w="545"/>
    </w:tblGrid>
    <w:tr w:rsidR="00EA54D5" w:rsidRPr="009350B0" w:rsidTr="00E23B8D">
      <w:trPr>
        <w:trHeight w:val="300"/>
      </w:trPr>
      <w:tc>
        <w:tcPr>
          <w:tcW w:w="4704" w:type="pct"/>
          <w:shd w:val="clear" w:color="auto" w:fill="auto"/>
        </w:tcPr>
        <w:p w:rsidR="00EA54D5" w:rsidRPr="009350B0" w:rsidRDefault="00EA54D5" w:rsidP="00A066AC">
          <w:pPr>
            <w:tabs>
              <w:tab w:val="left" w:pos="2194"/>
            </w:tabs>
            <w:spacing w:before="80" w:after="80" w:line="240" w:lineRule="auto"/>
            <w:ind w:right="6"/>
            <w:jc w:val="left"/>
            <w:rPr>
              <w:rFonts w:ascii="Century Gothic" w:hAnsi="Century Gothic"/>
              <w:spacing w:val="20"/>
              <w:sz w:val="14"/>
              <w:szCs w:val="14"/>
            </w:rPr>
          </w:pPr>
        </w:p>
      </w:tc>
      <w:tc>
        <w:tcPr>
          <w:tcW w:w="296" w:type="pct"/>
          <w:shd w:val="clear" w:color="auto" w:fill="auto"/>
          <w:vAlign w:val="center"/>
        </w:tcPr>
        <w:p w:rsidR="00EA54D5" w:rsidRPr="009350B0" w:rsidRDefault="00EA54D5" w:rsidP="00A066A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A066AC">
            <w:rPr>
              <w:sz w:val="14"/>
              <w:szCs w:val="14"/>
            </w:rPr>
            <w:instrText xml:space="preserve"> PAGE </w:instrText>
          </w:r>
          <w:r w:rsidRPr="009350B0">
            <w:rPr>
              <w:sz w:val="14"/>
              <w:szCs w:val="14"/>
            </w:rPr>
            <w:fldChar w:fldCharType="separate"/>
          </w:r>
          <w:r w:rsidR="0013155A">
            <w:rPr>
              <w:noProof/>
              <w:sz w:val="14"/>
              <w:szCs w:val="14"/>
            </w:rPr>
            <w:t>H-3</w:t>
          </w:r>
          <w:r w:rsidRPr="009350B0">
            <w:rPr>
              <w:sz w:val="14"/>
              <w:szCs w:val="14"/>
            </w:rPr>
            <w:fldChar w:fldCharType="end"/>
          </w:r>
        </w:p>
      </w:tc>
    </w:tr>
  </w:tbl>
  <w:p w:rsidR="00EA54D5" w:rsidRPr="00E23B8D" w:rsidRDefault="00EA54D5" w:rsidP="00E23B8D">
    <w:pPr>
      <w:pStyle w:val="Footer"/>
      <w:jc w:val="right"/>
      <w:rPr>
        <w:sz w:val="14"/>
        <w:szCs w:val="14"/>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4D5" w:rsidRPr="00D43F70" w:rsidRDefault="00EA54D5">
    <w:pPr>
      <w:pStyle w:val="Footer"/>
      <w:jc w:val="right"/>
      <w:rPr>
        <w:sz w:val="14"/>
        <w:szCs w:val="14"/>
      </w:rPr>
    </w:pPr>
  </w:p>
  <w:tbl>
    <w:tblPr>
      <w:tblW w:w="5000" w:type="pct"/>
      <w:tblBorders>
        <w:top w:val="single" w:sz="2" w:space="0" w:color="auto"/>
      </w:tblBorders>
      <w:tblLook w:val="00A0" w:firstRow="1" w:lastRow="0" w:firstColumn="1" w:lastColumn="0" w:noHBand="0" w:noVBand="0"/>
    </w:tblPr>
    <w:tblGrid>
      <w:gridCol w:w="13695"/>
      <w:gridCol w:w="444"/>
    </w:tblGrid>
    <w:tr w:rsidR="00EA54D5" w:rsidRPr="009350B0" w:rsidTr="00E23B8D">
      <w:trPr>
        <w:trHeight w:val="300"/>
      </w:trPr>
      <w:tc>
        <w:tcPr>
          <w:tcW w:w="4843" w:type="pct"/>
          <w:shd w:val="clear" w:color="auto" w:fill="auto"/>
        </w:tcPr>
        <w:p w:rsidR="00EA54D5" w:rsidRPr="009350B0" w:rsidRDefault="00EA54D5" w:rsidP="00462872">
          <w:pPr>
            <w:spacing w:before="80" w:after="80" w:line="240" w:lineRule="auto"/>
            <w:ind w:right="6"/>
            <w:jc w:val="left"/>
            <w:rPr>
              <w:rFonts w:ascii="Century Gothic" w:hAnsi="Century Gothic"/>
              <w:spacing w:val="20"/>
              <w:sz w:val="14"/>
              <w:szCs w:val="14"/>
            </w:rPr>
          </w:pPr>
        </w:p>
      </w:tc>
      <w:tc>
        <w:tcPr>
          <w:tcW w:w="157" w:type="pct"/>
          <w:shd w:val="clear" w:color="auto" w:fill="auto"/>
          <w:vAlign w:val="center"/>
        </w:tcPr>
        <w:p w:rsidR="00EA54D5" w:rsidRPr="009350B0" w:rsidRDefault="00EA54D5" w:rsidP="00462872">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5D5463">
            <w:rPr>
              <w:sz w:val="14"/>
              <w:szCs w:val="14"/>
            </w:rPr>
            <w:instrText xml:space="preserve"> PAGE </w:instrText>
          </w:r>
          <w:r w:rsidRPr="009350B0">
            <w:rPr>
              <w:sz w:val="14"/>
              <w:szCs w:val="14"/>
            </w:rPr>
            <w:fldChar w:fldCharType="separate"/>
          </w:r>
          <w:r w:rsidR="0013155A">
            <w:rPr>
              <w:noProof/>
              <w:sz w:val="14"/>
              <w:szCs w:val="14"/>
            </w:rPr>
            <w:t>H-6</w:t>
          </w:r>
          <w:r w:rsidRPr="009350B0">
            <w:rPr>
              <w:sz w:val="14"/>
              <w:szCs w:val="14"/>
            </w:rPr>
            <w:fldChar w:fldCharType="end"/>
          </w:r>
        </w:p>
      </w:tc>
    </w:tr>
  </w:tbl>
  <w:p w:rsidR="00EA54D5" w:rsidRPr="00D43F70" w:rsidRDefault="00EA54D5">
    <w:pPr>
      <w:pStyle w:val="Footer"/>
      <w:jc w:val="right"/>
      <w:rPr>
        <w:sz w:val="14"/>
        <w:szCs w:val="14"/>
      </w:rPr>
    </w:pPr>
  </w:p>
  <w:p w:rsidR="00EA54D5" w:rsidRPr="00567BC6" w:rsidRDefault="00EA54D5" w:rsidP="00CB0896">
    <w:pPr>
      <w:pStyle w:val="Footer"/>
      <w:spacing w:after="0" w:line="240" w:lineRule="auto"/>
      <w:rPr>
        <w:sz w:val="16"/>
        <w:szCs w:val="16"/>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655"/>
      <w:gridCol w:w="545"/>
    </w:tblGrid>
    <w:tr w:rsidR="00EA54D5" w:rsidRPr="009350B0" w:rsidTr="00E23B8D">
      <w:trPr>
        <w:trHeight w:val="300"/>
      </w:trPr>
      <w:tc>
        <w:tcPr>
          <w:tcW w:w="4704" w:type="pct"/>
          <w:shd w:val="clear" w:color="auto" w:fill="auto"/>
        </w:tcPr>
        <w:p w:rsidR="00EA54D5" w:rsidRPr="009350B0" w:rsidRDefault="00EA54D5" w:rsidP="00462872">
          <w:pPr>
            <w:spacing w:before="80" w:after="80" w:line="240" w:lineRule="auto"/>
            <w:ind w:right="6"/>
            <w:jc w:val="left"/>
            <w:rPr>
              <w:rFonts w:ascii="Century Gothic" w:hAnsi="Century Gothic"/>
              <w:spacing w:val="20"/>
              <w:sz w:val="14"/>
              <w:szCs w:val="14"/>
            </w:rPr>
          </w:pPr>
        </w:p>
      </w:tc>
      <w:tc>
        <w:tcPr>
          <w:tcW w:w="296" w:type="pct"/>
          <w:shd w:val="clear" w:color="auto" w:fill="auto"/>
          <w:vAlign w:val="center"/>
        </w:tcPr>
        <w:p w:rsidR="00EA54D5" w:rsidRPr="009350B0" w:rsidRDefault="00EA54D5" w:rsidP="00462872">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5D5463">
            <w:rPr>
              <w:sz w:val="14"/>
              <w:szCs w:val="14"/>
            </w:rPr>
            <w:instrText xml:space="preserve"> PAGE </w:instrText>
          </w:r>
          <w:r w:rsidRPr="009350B0">
            <w:rPr>
              <w:sz w:val="14"/>
              <w:szCs w:val="14"/>
            </w:rPr>
            <w:fldChar w:fldCharType="separate"/>
          </w:r>
          <w:r w:rsidR="0013155A">
            <w:rPr>
              <w:noProof/>
              <w:sz w:val="14"/>
              <w:szCs w:val="14"/>
            </w:rPr>
            <w:t>I-2</w:t>
          </w:r>
          <w:r w:rsidRPr="009350B0">
            <w:rPr>
              <w:sz w:val="14"/>
              <w:szCs w:val="14"/>
            </w:rPr>
            <w:fldChar w:fldCharType="end"/>
          </w:r>
        </w:p>
      </w:tc>
    </w:tr>
  </w:tbl>
  <w:p w:rsidR="00EA54D5" w:rsidRPr="00D43F70" w:rsidRDefault="00EA54D5">
    <w:pPr>
      <w:pStyle w:val="Footer"/>
      <w:jc w:val="right"/>
      <w:rPr>
        <w:sz w:val="14"/>
        <w:szCs w:val="14"/>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3695"/>
      <w:gridCol w:w="444"/>
    </w:tblGrid>
    <w:tr w:rsidR="00EA54D5" w:rsidRPr="009350B0" w:rsidTr="00E23B8D">
      <w:trPr>
        <w:trHeight w:val="300"/>
      </w:trPr>
      <w:tc>
        <w:tcPr>
          <w:tcW w:w="4843" w:type="pct"/>
          <w:shd w:val="clear" w:color="auto" w:fill="auto"/>
        </w:tcPr>
        <w:p w:rsidR="00EA54D5" w:rsidRPr="009350B0" w:rsidRDefault="00EA54D5" w:rsidP="00462872">
          <w:pPr>
            <w:spacing w:before="80" w:after="80" w:line="240" w:lineRule="auto"/>
            <w:ind w:right="6"/>
            <w:jc w:val="left"/>
            <w:rPr>
              <w:rFonts w:ascii="Century Gothic" w:hAnsi="Century Gothic"/>
              <w:spacing w:val="20"/>
              <w:sz w:val="14"/>
              <w:szCs w:val="14"/>
            </w:rPr>
          </w:pPr>
        </w:p>
      </w:tc>
      <w:tc>
        <w:tcPr>
          <w:tcW w:w="157" w:type="pct"/>
          <w:shd w:val="clear" w:color="auto" w:fill="auto"/>
          <w:vAlign w:val="center"/>
        </w:tcPr>
        <w:p w:rsidR="00EA54D5" w:rsidRPr="009350B0" w:rsidRDefault="00EA54D5" w:rsidP="00462872">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462872">
            <w:rPr>
              <w:sz w:val="14"/>
              <w:szCs w:val="14"/>
            </w:rPr>
            <w:instrText xml:space="preserve"> PAGE </w:instrText>
          </w:r>
          <w:r w:rsidRPr="009350B0">
            <w:rPr>
              <w:sz w:val="14"/>
              <w:szCs w:val="14"/>
            </w:rPr>
            <w:fldChar w:fldCharType="separate"/>
          </w:r>
          <w:r w:rsidR="0013155A">
            <w:rPr>
              <w:noProof/>
              <w:sz w:val="14"/>
              <w:szCs w:val="14"/>
            </w:rPr>
            <w:t>I-5</w:t>
          </w:r>
          <w:r w:rsidRPr="009350B0">
            <w:rPr>
              <w:sz w:val="14"/>
              <w:szCs w:val="14"/>
            </w:rPr>
            <w:fldChar w:fldCharType="end"/>
          </w:r>
        </w:p>
      </w:tc>
    </w:tr>
  </w:tbl>
  <w:p w:rsidR="00EA54D5" w:rsidRPr="00D43F70" w:rsidRDefault="00EA54D5">
    <w:pPr>
      <w:pStyle w:val="Footer"/>
      <w:jc w:val="right"/>
      <w:rPr>
        <w:sz w:val="14"/>
        <w:szCs w:val="14"/>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655"/>
      <w:gridCol w:w="545"/>
    </w:tblGrid>
    <w:tr w:rsidR="00EA54D5" w:rsidRPr="009350B0" w:rsidTr="00E23B8D">
      <w:trPr>
        <w:trHeight w:val="300"/>
      </w:trPr>
      <w:tc>
        <w:tcPr>
          <w:tcW w:w="4704" w:type="pct"/>
          <w:shd w:val="clear" w:color="auto" w:fill="auto"/>
        </w:tcPr>
        <w:p w:rsidR="00EA54D5" w:rsidRPr="009350B0" w:rsidRDefault="00EA54D5" w:rsidP="00462872">
          <w:pPr>
            <w:spacing w:before="80" w:after="80" w:line="240" w:lineRule="auto"/>
            <w:ind w:right="6"/>
            <w:jc w:val="left"/>
            <w:rPr>
              <w:rFonts w:ascii="Century Gothic" w:hAnsi="Century Gothic"/>
              <w:spacing w:val="20"/>
              <w:sz w:val="14"/>
              <w:szCs w:val="14"/>
            </w:rPr>
          </w:pPr>
        </w:p>
      </w:tc>
      <w:tc>
        <w:tcPr>
          <w:tcW w:w="296" w:type="pct"/>
          <w:shd w:val="clear" w:color="auto" w:fill="auto"/>
          <w:vAlign w:val="center"/>
        </w:tcPr>
        <w:p w:rsidR="00EA54D5" w:rsidRPr="009350B0" w:rsidRDefault="00EA54D5" w:rsidP="00462872">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462872">
            <w:rPr>
              <w:sz w:val="14"/>
              <w:szCs w:val="14"/>
            </w:rPr>
            <w:instrText xml:space="preserve"> PAGE </w:instrText>
          </w:r>
          <w:r w:rsidRPr="009350B0">
            <w:rPr>
              <w:sz w:val="14"/>
              <w:szCs w:val="14"/>
            </w:rPr>
            <w:fldChar w:fldCharType="separate"/>
          </w:r>
          <w:r w:rsidR="0013155A">
            <w:rPr>
              <w:noProof/>
              <w:sz w:val="14"/>
              <w:szCs w:val="14"/>
            </w:rPr>
            <w:t>J-5</w:t>
          </w:r>
          <w:r w:rsidRPr="009350B0">
            <w:rPr>
              <w:sz w:val="14"/>
              <w:szCs w:val="14"/>
            </w:rPr>
            <w:fldChar w:fldCharType="end"/>
          </w:r>
        </w:p>
      </w:tc>
    </w:tr>
  </w:tbl>
  <w:p w:rsidR="00EA54D5" w:rsidRPr="00D43F70" w:rsidRDefault="00EA54D5">
    <w:pPr>
      <w:pStyle w:val="Footer"/>
      <w:jc w:val="right"/>
      <w:rPr>
        <w:sz w:val="14"/>
        <w:szCs w:val="14"/>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655"/>
      <w:gridCol w:w="545"/>
    </w:tblGrid>
    <w:tr w:rsidR="00EA54D5" w:rsidRPr="009350B0" w:rsidTr="00E23B8D">
      <w:trPr>
        <w:trHeight w:val="300"/>
      </w:trPr>
      <w:tc>
        <w:tcPr>
          <w:tcW w:w="4704" w:type="pct"/>
          <w:shd w:val="clear" w:color="auto" w:fill="auto"/>
        </w:tcPr>
        <w:p w:rsidR="00EA54D5" w:rsidRPr="009350B0" w:rsidRDefault="00EA54D5" w:rsidP="00462872">
          <w:pPr>
            <w:spacing w:before="80" w:after="80" w:line="240" w:lineRule="auto"/>
            <w:ind w:right="6"/>
            <w:jc w:val="left"/>
            <w:rPr>
              <w:rFonts w:ascii="Century Gothic" w:hAnsi="Century Gothic"/>
              <w:spacing w:val="20"/>
              <w:sz w:val="14"/>
              <w:szCs w:val="14"/>
            </w:rPr>
          </w:pPr>
        </w:p>
      </w:tc>
      <w:tc>
        <w:tcPr>
          <w:tcW w:w="296" w:type="pct"/>
          <w:shd w:val="clear" w:color="auto" w:fill="auto"/>
          <w:vAlign w:val="center"/>
        </w:tcPr>
        <w:p w:rsidR="00EA54D5" w:rsidRPr="009350B0" w:rsidRDefault="00EA54D5" w:rsidP="00462872">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5D5463">
            <w:rPr>
              <w:sz w:val="14"/>
              <w:szCs w:val="14"/>
            </w:rPr>
            <w:instrText xml:space="preserve"> PAGE </w:instrText>
          </w:r>
          <w:r w:rsidRPr="009350B0">
            <w:rPr>
              <w:sz w:val="14"/>
              <w:szCs w:val="14"/>
            </w:rPr>
            <w:fldChar w:fldCharType="separate"/>
          </w:r>
          <w:r w:rsidR="0013155A">
            <w:rPr>
              <w:noProof/>
              <w:sz w:val="14"/>
              <w:szCs w:val="14"/>
            </w:rPr>
            <w:t>K-4</w:t>
          </w:r>
          <w:r w:rsidRPr="009350B0">
            <w:rPr>
              <w:sz w:val="14"/>
              <w:szCs w:val="14"/>
            </w:rPr>
            <w:fldChar w:fldCharType="end"/>
          </w:r>
        </w:p>
      </w:tc>
    </w:tr>
  </w:tbl>
  <w:p w:rsidR="00EA54D5" w:rsidRPr="00F070BC" w:rsidRDefault="00EA54D5">
    <w:pPr>
      <w:pStyle w:val="Footer"/>
      <w:jc w:val="right"/>
      <w:rPr>
        <w:sz w:val="14"/>
        <w:szCs w:val="14"/>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3695"/>
      <w:gridCol w:w="444"/>
    </w:tblGrid>
    <w:tr w:rsidR="00EA54D5" w:rsidRPr="009350B0" w:rsidTr="00E23B8D">
      <w:trPr>
        <w:trHeight w:val="300"/>
      </w:trPr>
      <w:tc>
        <w:tcPr>
          <w:tcW w:w="4843" w:type="pct"/>
          <w:shd w:val="clear" w:color="auto" w:fill="auto"/>
        </w:tcPr>
        <w:p w:rsidR="00EA54D5" w:rsidRPr="009350B0" w:rsidRDefault="00EA54D5" w:rsidP="00816A1A">
          <w:pPr>
            <w:spacing w:before="80" w:after="80" w:line="240" w:lineRule="auto"/>
            <w:ind w:right="6"/>
            <w:jc w:val="left"/>
            <w:rPr>
              <w:rFonts w:ascii="Century Gothic" w:hAnsi="Century Gothic"/>
              <w:spacing w:val="20"/>
              <w:sz w:val="14"/>
              <w:szCs w:val="14"/>
            </w:rPr>
          </w:pPr>
        </w:p>
      </w:tc>
      <w:tc>
        <w:tcPr>
          <w:tcW w:w="157" w:type="pct"/>
          <w:shd w:val="clear" w:color="auto" w:fill="auto"/>
          <w:vAlign w:val="center"/>
        </w:tcPr>
        <w:p w:rsidR="00EA54D5" w:rsidRPr="009350B0" w:rsidRDefault="00EA54D5" w:rsidP="00816A1A">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5D5463">
            <w:rPr>
              <w:sz w:val="14"/>
              <w:szCs w:val="14"/>
            </w:rPr>
            <w:instrText xml:space="preserve"> PAGE </w:instrText>
          </w:r>
          <w:r w:rsidRPr="009350B0">
            <w:rPr>
              <w:sz w:val="14"/>
              <w:szCs w:val="14"/>
            </w:rPr>
            <w:fldChar w:fldCharType="separate"/>
          </w:r>
          <w:r w:rsidR="0013155A">
            <w:rPr>
              <w:noProof/>
              <w:sz w:val="14"/>
              <w:szCs w:val="14"/>
            </w:rPr>
            <w:t>K-6</w:t>
          </w:r>
          <w:r w:rsidRPr="009350B0">
            <w:rPr>
              <w:sz w:val="14"/>
              <w:szCs w:val="14"/>
            </w:rPr>
            <w:fldChar w:fldCharType="end"/>
          </w:r>
        </w:p>
      </w:tc>
    </w:tr>
  </w:tbl>
  <w:p w:rsidR="00EA54D5" w:rsidRPr="00F070BC" w:rsidRDefault="00EA54D5">
    <w:pPr>
      <w:pStyle w:val="Footer"/>
      <w:jc w:val="right"/>
      <w:rPr>
        <w:sz w:val="14"/>
        <w:szCs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6FF" w:rsidRDefault="004176FF">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655"/>
      <w:gridCol w:w="545"/>
    </w:tblGrid>
    <w:tr w:rsidR="00EA54D5" w:rsidRPr="009350B0" w:rsidTr="00E23B8D">
      <w:trPr>
        <w:trHeight w:val="300"/>
      </w:trPr>
      <w:tc>
        <w:tcPr>
          <w:tcW w:w="4704" w:type="pct"/>
          <w:shd w:val="clear" w:color="auto" w:fill="auto"/>
        </w:tcPr>
        <w:p w:rsidR="00EA54D5" w:rsidRPr="009350B0" w:rsidRDefault="00EA54D5" w:rsidP="00816A1A">
          <w:pPr>
            <w:spacing w:before="80" w:after="80" w:line="240" w:lineRule="auto"/>
            <w:ind w:right="6"/>
            <w:jc w:val="left"/>
            <w:rPr>
              <w:rFonts w:ascii="Century Gothic" w:hAnsi="Century Gothic"/>
              <w:spacing w:val="20"/>
              <w:sz w:val="14"/>
              <w:szCs w:val="14"/>
            </w:rPr>
          </w:pPr>
        </w:p>
      </w:tc>
      <w:tc>
        <w:tcPr>
          <w:tcW w:w="296" w:type="pct"/>
          <w:shd w:val="clear" w:color="auto" w:fill="auto"/>
          <w:vAlign w:val="center"/>
        </w:tcPr>
        <w:p w:rsidR="00EA54D5" w:rsidRPr="009350B0" w:rsidRDefault="00EA54D5" w:rsidP="00816A1A">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5D5463">
            <w:rPr>
              <w:sz w:val="14"/>
              <w:szCs w:val="14"/>
            </w:rPr>
            <w:instrText xml:space="preserve"> PAGE </w:instrText>
          </w:r>
          <w:r w:rsidRPr="009350B0">
            <w:rPr>
              <w:sz w:val="14"/>
              <w:szCs w:val="14"/>
            </w:rPr>
            <w:fldChar w:fldCharType="separate"/>
          </w:r>
          <w:r w:rsidR="0013155A">
            <w:rPr>
              <w:noProof/>
              <w:sz w:val="14"/>
              <w:szCs w:val="14"/>
            </w:rPr>
            <w:t>K-12</w:t>
          </w:r>
          <w:r w:rsidRPr="009350B0">
            <w:rPr>
              <w:sz w:val="14"/>
              <w:szCs w:val="14"/>
            </w:rPr>
            <w:fldChar w:fldCharType="end"/>
          </w:r>
        </w:p>
      </w:tc>
    </w:tr>
  </w:tbl>
  <w:p w:rsidR="00EA54D5" w:rsidRPr="00F070BC" w:rsidRDefault="00EA54D5" w:rsidP="00816A1A">
    <w:pPr>
      <w:pStyle w:val="Footer"/>
      <w:jc w:val="center"/>
      <w:rPr>
        <w:sz w:val="14"/>
        <w:szCs w:val="14"/>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3695"/>
      <w:gridCol w:w="444"/>
    </w:tblGrid>
    <w:tr w:rsidR="00EA54D5" w:rsidRPr="009350B0" w:rsidTr="00E23B8D">
      <w:trPr>
        <w:trHeight w:val="300"/>
      </w:trPr>
      <w:tc>
        <w:tcPr>
          <w:tcW w:w="4843" w:type="pct"/>
          <w:shd w:val="clear" w:color="auto" w:fill="auto"/>
        </w:tcPr>
        <w:p w:rsidR="00EA54D5" w:rsidRPr="009350B0" w:rsidRDefault="00EA54D5" w:rsidP="00816A1A">
          <w:pPr>
            <w:spacing w:before="80" w:after="80" w:line="240" w:lineRule="auto"/>
            <w:ind w:right="6"/>
            <w:jc w:val="left"/>
            <w:rPr>
              <w:rFonts w:ascii="Century Gothic" w:hAnsi="Century Gothic"/>
              <w:spacing w:val="20"/>
              <w:sz w:val="14"/>
              <w:szCs w:val="14"/>
            </w:rPr>
          </w:pPr>
        </w:p>
      </w:tc>
      <w:tc>
        <w:tcPr>
          <w:tcW w:w="157" w:type="pct"/>
          <w:shd w:val="clear" w:color="auto" w:fill="auto"/>
          <w:vAlign w:val="center"/>
        </w:tcPr>
        <w:p w:rsidR="00EA54D5" w:rsidRPr="009350B0" w:rsidRDefault="00EA54D5" w:rsidP="00816A1A">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5D5463">
            <w:rPr>
              <w:sz w:val="14"/>
              <w:szCs w:val="14"/>
            </w:rPr>
            <w:instrText xml:space="preserve"> PAGE </w:instrText>
          </w:r>
          <w:r w:rsidRPr="009350B0">
            <w:rPr>
              <w:sz w:val="14"/>
              <w:szCs w:val="14"/>
            </w:rPr>
            <w:fldChar w:fldCharType="separate"/>
          </w:r>
          <w:r w:rsidR="0013155A">
            <w:rPr>
              <w:noProof/>
              <w:sz w:val="14"/>
              <w:szCs w:val="14"/>
            </w:rPr>
            <w:t>K-14</w:t>
          </w:r>
          <w:r w:rsidRPr="009350B0">
            <w:rPr>
              <w:sz w:val="14"/>
              <w:szCs w:val="14"/>
            </w:rPr>
            <w:fldChar w:fldCharType="end"/>
          </w:r>
        </w:p>
      </w:tc>
    </w:tr>
  </w:tbl>
  <w:p w:rsidR="00EA54D5" w:rsidRDefault="00EA54D5">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20783" w:type="dxa"/>
      <w:tblInd w:w="108" w:type="dxa"/>
      <w:tblBorders>
        <w:top w:val="single" w:sz="2" w:space="0" w:color="auto"/>
      </w:tblBorders>
      <w:tblLook w:val="00A0" w:firstRow="1" w:lastRow="0" w:firstColumn="1" w:lastColumn="0" w:noHBand="0" w:noVBand="0"/>
    </w:tblPr>
    <w:tblGrid>
      <w:gridCol w:w="20043"/>
      <w:gridCol w:w="740"/>
    </w:tblGrid>
    <w:tr w:rsidR="00EA54D5" w:rsidRPr="009350B0" w:rsidTr="00CB0896">
      <w:trPr>
        <w:trHeight w:val="269"/>
      </w:trPr>
      <w:tc>
        <w:tcPr>
          <w:tcW w:w="20043" w:type="dxa"/>
          <w:shd w:val="clear" w:color="auto" w:fill="auto"/>
        </w:tcPr>
        <w:p w:rsidR="00EA54D5" w:rsidRPr="009350B0" w:rsidRDefault="00EA54D5" w:rsidP="0022463C">
          <w:pPr>
            <w:spacing w:before="80" w:after="80" w:line="240" w:lineRule="auto"/>
            <w:ind w:right="6"/>
            <w:jc w:val="left"/>
            <w:rPr>
              <w:rFonts w:ascii="Century Gothic" w:hAnsi="Century Gothic"/>
              <w:spacing w:val="20"/>
              <w:sz w:val="14"/>
              <w:szCs w:val="14"/>
            </w:rPr>
          </w:pPr>
        </w:p>
      </w:tc>
      <w:tc>
        <w:tcPr>
          <w:tcW w:w="740" w:type="dxa"/>
          <w:shd w:val="clear" w:color="auto" w:fill="auto"/>
          <w:vAlign w:val="center"/>
        </w:tcPr>
        <w:p w:rsidR="00EA54D5" w:rsidRPr="009350B0" w:rsidRDefault="00EA54D5"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F070BC">
            <w:rPr>
              <w:sz w:val="14"/>
              <w:szCs w:val="14"/>
            </w:rPr>
            <w:instrText xml:space="preserve"> PAGE </w:instrText>
          </w:r>
          <w:r w:rsidRPr="009350B0">
            <w:rPr>
              <w:sz w:val="14"/>
              <w:szCs w:val="14"/>
            </w:rPr>
            <w:fldChar w:fldCharType="separate"/>
          </w:r>
          <w:r w:rsidR="0013155A">
            <w:rPr>
              <w:noProof/>
              <w:sz w:val="14"/>
              <w:szCs w:val="14"/>
            </w:rPr>
            <w:t>K-17</w:t>
          </w:r>
          <w:r w:rsidRPr="009350B0">
            <w:rPr>
              <w:sz w:val="14"/>
              <w:szCs w:val="14"/>
            </w:rPr>
            <w:fldChar w:fldCharType="end"/>
          </w:r>
        </w:p>
      </w:tc>
    </w:tr>
  </w:tbl>
  <w:p w:rsidR="00EA54D5" w:rsidRDefault="00EA54D5" w:rsidP="00C2050C">
    <w:pPr>
      <w:pStyle w:val="Footer"/>
      <w:tabs>
        <w:tab w:val="clear" w:pos="4320"/>
        <w:tab w:val="clear" w:pos="8640"/>
        <w:tab w:val="left" w:pos="6105"/>
      </w:tabs>
    </w:pPr>
    <w:r>
      <w:tab/>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663"/>
      <w:gridCol w:w="545"/>
    </w:tblGrid>
    <w:tr w:rsidR="00EA54D5" w:rsidRPr="009350B0" w:rsidTr="00E23B8D">
      <w:trPr>
        <w:trHeight w:val="300"/>
      </w:trPr>
      <w:tc>
        <w:tcPr>
          <w:tcW w:w="4704" w:type="pct"/>
          <w:shd w:val="clear" w:color="auto" w:fill="auto"/>
        </w:tcPr>
        <w:p w:rsidR="00EA54D5" w:rsidRPr="009350B0" w:rsidRDefault="00EA54D5" w:rsidP="00816A1A">
          <w:pPr>
            <w:spacing w:before="80" w:after="80" w:line="240" w:lineRule="auto"/>
            <w:ind w:right="6"/>
            <w:jc w:val="left"/>
            <w:rPr>
              <w:rFonts w:ascii="Century Gothic" w:hAnsi="Century Gothic"/>
              <w:spacing w:val="20"/>
              <w:sz w:val="14"/>
              <w:szCs w:val="14"/>
            </w:rPr>
          </w:pPr>
        </w:p>
      </w:tc>
      <w:tc>
        <w:tcPr>
          <w:tcW w:w="296" w:type="pct"/>
          <w:shd w:val="clear" w:color="auto" w:fill="auto"/>
          <w:vAlign w:val="center"/>
        </w:tcPr>
        <w:p w:rsidR="00EA54D5" w:rsidRPr="009350B0" w:rsidRDefault="00EA54D5" w:rsidP="00816A1A">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816A1A">
            <w:rPr>
              <w:sz w:val="14"/>
              <w:szCs w:val="14"/>
            </w:rPr>
            <w:instrText xml:space="preserve"> PAGE </w:instrText>
          </w:r>
          <w:r w:rsidRPr="009350B0">
            <w:rPr>
              <w:sz w:val="14"/>
              <w:szCs w:val="14"/>
            </w:rPr>
            <w:fldChar w:fldCharType="separate"/>
          </w:r>
          <w:r w:rsidR="0013155A">
            <w:rPr>
              <w:noProof/>
              <w:sz w:val="14"/>
              <w:szCs w:val="14"/>
            </w:rPr>
            <w:t>K-23</w:t>
          </w:r>
          <w:r w:rsidRPr="009350B0">
            <w:rPr>
              <w:sz w:val="14"/>
              <w:szCs w:val="14"/>
            </w:rPr>
            <w:fldChar w:fldCharType="end"/>
          </w:r>
        </w:p>
      </w:tc>
    </w:tr>
  </w:tbl>
  <w:p w:rsidR="00EA54D5" w:rsidRPr="00816A1A" w:rsidRDefault="00EA54D5" w:rsidP="00816A1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3302"/>
      <w:gridCol w:w="837"/>
    </w:tblGrid>
    <w:tr w:rsidR="00EA54D5" w:rsidRPr="009350B0" w:rsidTr="004F411E">
      <w:trPr>
        <w:trHeight w:val="300"/>
      </w:trPr>
      <w:tc>
        <w:tcPr>
          <w:tcW w:w="4704" w:type="pct"/>
          <w:shd w:val="clear" w:color="auto" w:fill="auto"/>
        </w:tcPr>
        <w:p w:rsidR="00EA54D5" w:rsidRPr="009350B0" w:rsidRDefault="00EA54D5" w:rsidP="003D0741">
          <w:pPr>
            <w:spacing w:before="80" w:after="80" w:line="240" w:lineRule="auto"/>
            <w:ind w:right="6"/>
            <w:jc w:val="left"/>
            <w:rPr>
              <w:rFonts w:ascii="Century Gothic" w:hAnsi="Century Gothic"/>
              <w:spacing w:val="20"/>
              <w:sz w:val="14"/>
              <w:szCs w:val="14"/>
            </w:rPr>
          </w:pPr>
        </w:p>
      </w:tc>
      <w:tc>
        <w:tcPr>
          <w:tcW w:w="296" w:type="pct"/>
          <w:shd w:val="clear" w:color="auto" w:fill="auto"/>
          <w:vAlign w:val="center"/>
        </w:tcPr>
        <w:p w:rsidR="00EA54D5" w:rsidRPr="009350B0" w:rsidRDefault="00EA54D5" w:rsidP="003D0741">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B4012F">
            <w:rPr>
              <w:sz w:val="14"/>
              <w:szCs w:val="14"/>
            </w:rPr>
            <w:instrText xml:space="preserve"> PAGE </w:instrText>
          </w:r>
          <w:r w:rsidRPr="009350B0">
            <w:rPr>
              <w:sz w:val="14"/>
              <w:szCs w:val="14"/>
            </w:rPr>
            <w:fldChar w:fldCharType="separate"/>
          </w:r>
          <w:r w:rsidR="0013155A">
            <w:rPr>
              <w:noProof/>
              <w:sz w:val="14"/>
              <w:szCs w:val="14"/>
            </w:rPr>
            <w:t>A-4</w:t>
          </w:r>
          <w:r w:rsidRPr="009350B0">
            <w:rPr>
              <w:sz w:val="14"/>
              <w:szCs w:val="14"/>
            </w:rPr>
            <w:fldChar w:fldCharType="end"/>
          </w:r>
        </w:p>
      </w:tc>
    </w:tr>
  </w:tbl>
  <w:p w:rsidR="00EA54D5" w:rsidRPr="007865BF" w:rsidRDefault="00EA54D5" w:rsidP="007865BF">
    <w:pPr>
      <w:pStyle w:val="Footer"/>
      <w:jc w:val="left"/>
      <w:rPr>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784"/>
      <w:gridCol w:w="424"/>
    </w:tblGrid>
    <w:tr w:rsidR="00EA54D5" w:rsidRPr="003D0741" w:rsidTr="005527ED">
      <w:tc>
        <w:tcPr>
          <w:tcW w:w="4770" w:type="pct"/>
          <w:shd w:val="clear" w:color="auto" w:fill="auto"/>
        </w:tcPr>
        <w:p w:rsidR="00EA54D5" w:rsidRPr="003D0741" w:rsidRDefault="00EA54D5" w:rsidP="005527ED">
          <w:pPr>
            <w:spacing w:before="80" w:after="80" w:line="240" w:lineRule="auto"/>
            <w:ind w:right="138"/>
            <w:jc w:val="left"/>
            <w:rPr>
              <w:rFonts w:ascii="Century Gothic" w:hAnsi="Century Gothic"/>
              <w:spacing w:val="20"/>
              <w:sz w:val="14"/>
              <w:szCs w:val="14"/>
            </w:rPr>
          </w:pPr>
        </w:p>
      </w:tc>
      <w:tc>
        <w:tcPr>
          <w:tcW w:w="230" w:type="pct"/>
          <w:shd w:val="clear" w:color="auto" w:fill="auto"/>
          <w:vAlign w:val="center"/>
        </w:tcPr>
        <w:p w:rsidR="00EA54D5" w:rsidRPr="003D0741" w:rsidRDefault="00EA54D5" w:rsidP="00932C31">
          <w:pPr>
            <w:spacing w:before="80" w:after="0" w:line="240" w:lineRule="auto"/>
            <w:ind w:left="-117" w:right="-140"/>
            <w:jc w:val="center"/>
            <w:rPr>
              <w:rFonts w:ascii="Century Gothic" w:hAnsi="Century Gothic"/>
              <w:spacing w:val="20"/>
              <w:sz w:val="14"/>
              <w:szCs w:val="14"/>
            </w:rPr>
          </w:pPr>
          <w:r w:rsidRPr="003D0741">
            <w:rPr>
              <w:sz w:val="14"/>
              <w:szCs w:val="14"/>
            </w:rPr>
            <w:fldChar w:fldCharType="begin"/>
          </w:r>
          <w:r w:rsidRPr="003D0741">
            <w:rPr>
              <w:sz w:val="14"/>
              <w:szCs w:val="14"/>
            </w:rPr>
            <w:instrText xml:space="preserve"> PAGE </w:instrText>
          </w:r>
          <w:r w:rsidRPr="003D0741">
            <w:rPr>
              <w:sz w:val="14"/>
              <w:szCs w:val="14"/>
            </w:rPr>
            <w:fldChar w:fldCharType="separate"/>
          </w:r>
          <w:r w:rsidR="0013155A">
            <w:rPr>
              <w:noProof/>
              <w:sz w:val="14"/>
              <w:szCs w:val="14"/>
            </w:rPr>
            <w:t>B-7</w:t>
          </w:r>
          <w:r w:rsidRPr="003D0741">
            <w:rPr>
              <w:sz w:val="14"/>
              <w:szCs w:val="14"/>
            </w:rPr>
            <w:fldChar w:fldCharType="end"/>
          </w:r>
        </w:p>
      </w:tc>
    </w:tr>
  </w:tbl>
  <w:p w:rsidR="00EA54D5" w:rsidRPr="00932C31" w:rsidRDefault="00EA54D5" w:rsidP="00932C3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4D5" w:rsidRPr="005A58F7" w:rsidRDefault="00EA54D5">
    <w:pPr>
      <w:pStyle w:val="Footer"/>
      <w:jc w:val="right"/>
      <w:rPr>
        <w:sz w:val="14"/>
        <w:szCs w:val="14"/>
      </w:rPr>
    </w:pPr>
  </w:p>
  <w:tbl>
    <w:tblPr>
      <w:tblW w:w="5000" w:type="pct"/>
      <w:tblBorders>
        <w:top w:val="single" w:sz="2" w:space="0" w:color="auto"/>
      </w:tblBorders>
      <w:tblLook w:val="00A0" w:firstRow="1" w:lastRow="0" w:firstColumn="1" w:lastColumn="0" w:noHBand="0" w:noVBand="0"/>
    </w:tblPr>
    <w:tblGrid>
      <w:gridCol w:w="13303"/>
      <w:gridCol w:w="837"/>
    </w:tblGrid>
    <w:tr w:rsidR="00EA54D5" w:rsidRPr="003D0741" w:rsidTr="00E23B8D">
      <w:trPr>
        <w:trHeight w:val="300"/>
      </w:trPr>
      <w:tc>
        <w:tcPr>
          <w:tcW w:w="4704" w:type="pct"/>
          <w:shd w:val="clear" w:color="auto" w:fill="auto"/>
        </w:tcPr>
        <w:p w:rsidR="00EA54D5" w:rsidRPr="003D0741" w:rsidRDefault="00EA54D5" w:rsidP="003D0741">
          <w:pPr>
            <w:spacing w:before="80" w:after="80" w:line="240" w:lineRule="auto"/>
            <w:ind w:right="6"/>
            <w:jc w:val="left"/>
            <w:rPr>
              <w:rFonts w:ascii="Century Gothic" w:hAnsi="Century Gothic"/>
              <w:spacing w:val="20"/>
              <w:sz w:val="14"/>
              <w:szCs w:val="14"/>
            </w:rPr>
          </w:pPr>
        </w:p>
      </w:tc>
      <w:tc>
        <w:tcPr>
          <w:tcW w:w="296" w:type="pct"/>
          <w:shd w:val="clear" w:color="auto" w:fill="auto"/>
          <w:vAlign w:val="center"/>
        </w:tcPr>
        <w:p w:rsidR="00EA54D5" w:rsidRPr="003D0741" w:rsidRDefault="00EA54D5" w:rsidP="003D0741">
          <w:pPr>
            <w:spacing w:before="80" w:after="0" w:line="240" w:lineRule="auto"/>
            <w:ind w:left="-117" w:right="-140"/>
            <w:jc w:val="center"/>
            <w:rPr>
              <w:rFonts w:ascii="Century Gothic" w:hAnsi="Century Gothic"/>
              <w:spacing w:val="20"/>
              <w:sz w:val="14"/>
              <w:szCs w:val="14"/>
            </w:rPr>
          </w:pPr>
          <w:r w:rsidRPr="003D0741">
            <w:rPr>
              <w:sz w:val="14"/>
              <w:szCs w:val="14"/>
            </w:rPr>
            <w:fldChar w:fldCharType="begin"/>
          </w:r>
          <w:r w:rsidRPr="003D0741">
            <w:rPr>
              <w:sz w:val="14"/>
              <w:szCs w:val="14"/>
            </w:rPr>
            <w:instrText xml:space="preserve"> PAGE </w:instrText>
          </w:r>
          <w:r w:rsidRPr="003D0741">
            <w:rPr>
              <w:sz w:val="14"/>
              <w:szCs w:val="14"/>
            </w:rPr>
            <w:fldChar w:fldCharType="separate"/>
          </w:r>
          <w:r w:rsidR="0013155A">
            <w:rPr>
              <w:noProof/>
              <w:sz w:val="14"/>
              <w:szCs w:val="14"/>
            </w:rPr>
            <w:t>B-8</w:t>
          </w:r>
          <w:r w:rsidRPr="003D0741">
            <w:rPr>
              <w:sz w:val="14"/>
              <w:szCs w:val="14"/>
            </w:rPr>
            <w:fldChar w:fldCharType="end"/>
          </w:r>
        </w:p>
      </w:tc>
    </w:tr>
  </w:tbl>
  <w:p w:rsidR="00EA54D5" w:rsidRPr="005527ED" w:rsidRDefault="00EA54D5" w:rsidP="005527ED">
    <w:pPr>
      <w:pStyle w:val="Footer"/>
      <w:jc w:val="left"/>
      <w:rPr>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4D5" w:rsidRPr="005A58F7" w:rsidRDefault="00EA54D5">
    <w:pPr>
      <w:pStyle w:val="Footer"/>
      <w:jc w:val="right"/>
      <w:rPr>
        <w:sz w:val="14"/>
        <w:szCs w:val="14"/>
      </w:rPr>
    </w:pPr>
  </w:p>
  <w:tbl>
    <w:tblPr>
      <w:tblW w:w="9198" w:type="dxa"/>
      <w:tblInd w:w="108" w:type="dxa"/>
      <w:tblBorders>
        <w:top w:val="single" w:sz="2" w:space="0" w:color="auto"/>
      </w:tblBorders>
      <w:tblLook w:val="00A0" w:firstRow="1" w:lastRow="0" w:firstColumn="1" w:lastColumn="0" w:noHBand="0" w:noVBand="0"/>
    </w:tblPr>
    <w:tblGrid>
      <w:gridCol w:w="8652"/>
      <w:gridCol w:w="546"/>
    </w:tblGrid>
    <w:tr w:rsidR="00EA54D5" w:rsidRPr="003D0741" w:rsidTr="003D0741">
      <w:tc>
        <w:tcPr>
          <w:tcW w:w="8652" w:type="dxa"/>
          <w:shd w:val="clear" w:color="auto" w:fill="auto"/>
        </w:tcPr>
        <w:p w:rsidR="00EA54D5" w:rsidRPr="003D0741" w:rsidRDefault="00EA54D5" w:rsidP="003D0741">
          <w:pPr>
            <w:spacing w:before="80" w:after="80" w:line="240" w:lineRule="auto"/>
            <w:ind w:right="6"/>
            <w:jc w:val="left"/>
            <w:rPr>
              <w:rFonts w:ascii="Century Gothic" w:hAnsi="Century Gothic"/>
              <w:spacing w:val="20"/>
              <w:sz w:val="14"/>
              <w:szCs w:val="14"/>
            </w:rPr>
          </w:pPr>
        </w:p>
      </w:tc>
      <w:tc>
        <w:tcPr>
          <w:tcW w:w="546" w:type="dxa"/>
          <w:shd w:val="clear" w:color="auto" w:fill="auto"/>
          <w:vAlign w:val="center"/>
        </w:tcPr>
        <w:p w:rsidR="00EA54D5" w:rsidRPr="003D0741" w:rsidRDefault="00EA54D5" w:rsidP="003D0741">
          <w:pPr>
            <w:spacing w:before="80" w:after="0" w:line="240" w:lineRule="auto"/>
            <w:ind w:left="-117" w:right="-140"/>
            <w:jc w:val="center"/>
            <w:rPr>
              <w:rFonts w:ascii="Century Gothic" w:hAnsi="Century Gothic"/>
              <w:spacing w:val="20"/>
              <w:sz w:val="14"/>
              <w:szCs w:val="14"/>
            </w:rPr>
          </w:pPr>
          <w:r w:rsidRPr="003D0741">
            <w:rPr>
              <w:sz w:val="14"/>
              <w:szCs w:val="14"/>
            </w:rPr>
            <w:fldChar w:fldCharType="begin"/>
          </w:r>
          <w:r w:rsidRPr="003D0741">
            <w:rPr>
              <w:sz w:val="14"/>
              <w:szCs w:val="14"/>
            </w:rPr>
            <w:instrText xml:space="preserve"> PAGE </w:instrText>
          </w:r>
          <w:r w:rsidRPr="003D0741">
            <w:rPr>
              <w:sz w:val="14"/>
              <w:szCs w:val="14"/>
            </w:rPr>
            <w:fldChar w:fldCharType="separate"/>
          </w:r>
          <w:r w:rsidR="0013155A">
            <w:rPr>
              <w:noProof/>
              <w:sz w:val="14"/>
              <w:szCs w:val="14"/>
            </w:rPr>
            <w:t>B-10</w:t>
          </w:r>
          <w:r w:rsidRPr="003D0741">
            <w:rPr>
              <w:sz w:val="14"/>
              <w:szCs w:val="14"/>
            </w:rPr>
            <w:fldChar w:fldCharType="end"/>
          </w:r>
        </w:p>
      </w:tc>
    </w:tr>
  </w:tbl>
  <w:p w:rsidR="00EA54D5" w:rsidRPr="005527ED" w:rsidRDefault="00EA54D5" w:rsidP="005527ED">
    <w:pPr>
      <w:pStyle w:val="Footer"/>
      <w:jc w:val="left"/>
      <w:rPr>
        <w:sz w:val="14"/>
        <w:szCs w:val="1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3300"/>
      <w:gridCol w:w="840"/>
    </w:tblGrid>
    <w:tr w:rsidR="00EA54D5" w:rsidRPr="003D0741" w:rsidTr="005527ED">
      <w:tc>
        <w:tcPr>
          <w:tcW w:w="4703" w:type="pct"/>
          <w:shd w:val="clear" w:color="auto" w:fill="auto"/>
        </w:tcPr>
        <w:p w:rsidR="00EA54D5" w:rsidRPr="003D0741" w:rsidRDefault="00EA54D5" w:rsidP="00896F3B">
          <w:pPr>
            <w:tabs>
              <w:tab w:val="left" w:pos="7080"/>
            </w:tabs>
            <w:spacing w:before="80" w:after="80" w:line="240" w:lineRule="auto"/>
            <w:ind w:right="6"/>
            <w:jc w:val="left"/>
            <w:rPr>
              <w:rFonts w:ascii="Century Gothic" w:hAnsi="Century Gothic"/>
              <w:spacing w:val="20"/>
              <w:sz w:val="14"/>
              <w:szCs w:val="14"/>
            </w:rPr>
          </w:pPr>
          <w:r>
            <w:tab/>
          </w:r>
        </w:p>
      </w:tc>
      <w:tc>
        <w:tcPr>
          <w:tcW w:w="297" w:type="pct"/>
          <w:shd w:val="clear" w:color="auto" w:fill="auto"/>
          <w:vAlign w:val="center"/>
        </w:tcPr>
        <w:p w:rsidR="00EA54D5" w:rsidRPr="003D0741" w:rsidRDefault="00EA54D5" w:rsidP="003D0741">
          <w:pPr>
            <w:spacing w:before="80" w:after="0" w:line="240" w:lineRule="auto"/>
            <w:ind w:left="-117" w:right="-140"/>
            <w:jc w:val="center"/>
            <w:rPr>
              <w:rFonts w:ascii="Century Gothic" w:hAnsi="Century Gothic"/>
              <w:spacing w:val="20"/>
              <w:sz w:val="14"/>
              <w:szCs w:val="14"/>
            </w:rPr>
          </w:pPr>
          <w:r w:rsidRPr="003D0741">
            <w:rPr>
              <w:sz w:val="14"/>
              <w:szCs w:val="14"/>
            </w:rPr>
            <w:fldChar w:fldCharType="begin"/>
          </w:r>
          <w:r w:rsidRPr="003D0741">
            <w:rPr>
              <w:sz w:val="14"/>
              <w:szCs w:val="14"/>
            </w:rPr>
            <w:instrText xml:space="preserve"> PAGE </w:instrText>
          </w:r>
          <w:r w:rsidRPr="003D0741">
            <w:rPr>
              <w:sz w:val="14"/>
              <w:szCs w:val="14"/>
            </w:rPr>
            <w:fldChar w:fldCharType="separate"/>
          </w:r>
          <w:r w:rsidR="0013155A">
            <w:rPr>
              <w:noProof/>
              <w:sz w:val="14"/>
              <w:szCs w:val="14"/>
            </w:rPr>
            <w:t>B-11</w:t>
          </w:r>
          <w:r w:rsidRPr="003D0741">
            <w:rPr>
              <w:sz w:val="14"/>
              <w:szCs w:val="14"/>
            </w:rPr>
            <w:fldChar w:fldCharType="end"/>
          </w:r>
        </w:p>
      </w:tc>
    </w:tr>
  </w:tbl>
  <w:p w:rsidR="00EA54D5" w:rsidRPr="005527ED" w:rsidRDefault="00EA54D5" w:rsidP="005527ED">
    <w:pPr>
      <w:pStyle w:val="Footer"/>
      <w:spacing w:after="240"/>
      <w:jc w:val="right"/>
      <w:rPr>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880"/>
      <w:gridCol w:w="320"/>
    </w:tblGrid>
    <w:tr w:rsidR="00EA54D5" w:rsidRPr="003D0741" w:rsidTr="00896F3B">
      <w:tc>
        <w:tcPr>
          <w:tcW w:w="4826" w:type="pct"/>
          <w:shd w:val="clear" w:color="auto" w:fill="auto"/>
        </w:tcPr>
        <w:p w:rsidR="00EA54D5" w:rsidRPr="003D0741" w:rsidRDefault="00EA54D5" w:rsidP="003D0741">
          <w:pPr>
            <w:spacing w:before="80" w:after="80" w:line="240" w:lineRule="auto"/>
            <w:ind w:right="6"/>
            <w:jc w:val="left"/>
            <w:rPr>
              <w:rFonts w:ascii="Century Gothic" w:hAnsi="Century Gothic"/>
              <w:spacing w:val="20"/>
              <w:sz w:val="14"/>
              <w:szCs w:val="14"/>
            </w:rPr>
          </w:pPr>
        </w:p>
      </w:tc>
      <w:tc>
        <w:tcPr>
          <w:tcW w:w="174" w:type="pct"/>
          <w:shd w:val="clear" w:color="auto" w:fill="auto"/>
          <w:vAlign w:val="center"/>
        </w:tcPr>
        <w:p w:rsidR="00EA54D5" w:rsidRPr="003D0741" w:rsidRDefault="00EA54D5" w:rsidP="00896F3B">
          <w:pPr>
            <w:spacing w:before="80" w:after="0" w:line="240" w:lineRule="auto"/>
            <w:ind w:left="-201" w:right="-140"/>
            <w:jc w:val="center"/>
            <w:rPr>
              <w:rFonts w:ascii="Century Gothic" w:hAnsi="Century Gothic"/>
              <w:spacing w:val="20"/>
              <w:sz w:val="14"/>
              <w:szCs w:val="14"/>
            </w:rPr>
          </w:pPr>
          <w:r w:rsidRPr="003D0741">
            <w:rPr>
              <w:sz w:val="14"/>
              <w:szCs w:val="14"/>
            </w:rPr>
            <w:fldChar w:fldCharType="begin"/>
          </w:r>
          <w:r w:rsidRPr="003D0741">
            <w:rPr>
              <w:sz w:val="14"/>
              <w:szCs w:val="14"/>
            </w:rPr>
            <w:instrText xml:space="preserve"> PAGE </w:instrText>
          </w:r>
          <w:r w:rsidRPr="003D0741">
            <w:rPr>
              <w:sz w:val="14"/>
              <w:szCs w:val="14"/>
            </w:rPr>
            <w:fldChar w:fldCharType="separate"/>
          </w:r>
          <w:r w:rsidR="00E90864">
            <w:rPr>
              <w:noProof/>
              <w:sz w:val="14"/>
              <w:szCs w:val="14"/>
            </w:rPr>
            <w:t>D-4</w:t>
          </w:r>
          <w:r w:rsidRPr="003D0741">
            <w:rPr>
              <w:sz w:val="14"/>
              <w:szCs w:val="14"/>
            </w:rPr>
            <w:fldChar w:fldCharType="end"/>
          </w:r>
        </w:p>
      </w:tc>
    </w:tr>
  </w:tbl>
  <w:p w:rsidR="00EA54D5" w:rsidRDefault="00EA54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435A" w:rsidRDefault="0097435A">
      <w:r>
        <w:separator/>
      </w:r>
    </w:p>
  </w:footnote>
  <w:footnote w:type="continuationSeparator" w:id="0">
    <w:p w:rsidR="0097435A" w:rsidRDefault="0097435A">
      <w:r>
        <w:continuationSeparator/>
      </w:r>
    </w:p>
  </w:footnote>
  <w:footnote w:type="continuationNotice" w:id="1">
    <w:p w:rsidR="0097435A" w:rsidRDefault="0097435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6FF" w:rsidRDefault="004176F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0"/>
    </w:tblGrid>
    <w:tr w:rsidR="00EA54D5" w:rsidRPr="00B65EE3" w:rsidTr="00176148">
      <w:trPr>
        <w:trHeight w:val="340"/>
      </w:trPr>
      <w:tc>
        <w:tcPr>
          <w:tcW w:w="5000" w:type="pct"/>
        </w:tcPr>
        <w:p w:rsidR="00EA54D5" w:rsidRPr="00B65EE3" w:rsidRDefault="00EA54D5" w:rsidP="003D0741">
          <w:pPr>
            <w:widowControl w:val="0"/>
            <w:spacing w:before="80" w:after="0" w:line="240" w:lineRule="auto"/>
            <w:ind w:right="-108"/>
            <w:jc w:val="right"/>
            <w:rPr>
              <w:spacing w:val="20"/>
              <w:sz w:val="14"/>
            </w:rPr>
          </w:pPr>
          <w:r>
            <w:rPr>
              <w:b/>
              <w:spacing w:val="20"/>
              <w:sz w:val="14"/>
            </w:rPr>
            <w:t>Gwydir river system Selected Area 2015-16 Appendix B: Hydrology (Watercourse)</w:t>
          </w:r>
        </w:p>
      </w:tc>
    </w:tr>
  </w:tbl>
  <w:p w:rsidR="00EA54D5" w:rsidRPr="001179DC" w:rsidRDefault="00EA54D5" w:rsidP="001179DC">
    <w:pPr>
      <w:pStyle w:val="Header"/>
      <w:spacing w:after="0" w:line="240" w:lineRule="auto"/>
      <w:rPr>
        <w:sz w:val="16"/>
        <w:szCs w:val="16"/>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0"/>
    </w:tblGrid>
    <w:tr w:rsidR="00EA54D5" w:rsidRPr="00B65EE3" w:rsidTr="00896F3B">
      <w:trPr>
        <w:trHeight w:val="294"/>
      </w:trPr>
      <w:tc>
        <w:tcPr>
          <w:tcW w:w="5000" w:type="pct"/>
        </w:tcPr>
        <w:p w:rsidR="00EA54D5" w:rsidRPr="00B65EE3" w:rsidRDefault="00EA54D5" w:rsidP="00480B7E">
          <w:pPr>
            <w:widowControl w:val="0"/>
            <w:spacing w:before="80" w:after="0" w:line="240" w:lineRule="auto"/>
            <w:ind w:right="-108"/>
            <w:jc w:val="right"/>
            <w:rPr>
              <w:spacing w:val="20"/>
              <w:sz w:val="14"/>
            </w:rPr>
          </w:pPr>
          <w:r>
            <w:rPr>
              <w:b/>
              <w:spacing w:val="20"/>
              <w:sz w:val="14"/>
            </w:rPr>
            <w:t>Gwydir river system Selected Area 2015-16 Appendix C: Water Quality</w:t>
          </w:r>
        </w:p>
      </w:tc>
    </w:tr>
  </w:tbl>
  <w:p w:rsidR="00EA54D5" w:rsidRPr="001179DC" w:rsidRDefault="00EA54D5" w:rsidP="001179DC">
    <w:pPr>
      <w:pStyle w:val="Header"/>
      <w:spacing w:after="0" w:line="240" w:lineRule="auto"/>
      <w:rPr>
        <w:sz w:val="16"/>
        <w:szCs w:val="16"/>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7"/>
    </w:tblGrid>
    <w:tr w:rsidR="00EA54D5" w:rsidRPr="00B65EE3" w:rsidTr="00896F3B">
      <w:trPr>
        <w:trHeight w:val="294"/>
      </w:trPr>
      <w:tc>
        <w:tcPr>
          <w:tcW w:w="5000" w:type="pct"/>
        </w:tcPr>
        <w:p w:rsidR="00EA54D5" w:rsidRPr="00B65EE3" w:rsidRDefault="00EA54D5" w:rsidP="00DB4624">
          <w:pPr>
            <w:widowControl w:val="0"/>
            <w:spacing w:before="80" w:after="0" w:line="240" w:lineRule="auto"/>
            <w:ind w:right="-108"/>
            <w:jc w:val="right"/>
            <w:rPr>
              <w:spacing w:val="20"/>
              <w:sz w:val="14"/>
            </w:rPr>
          </w:pPr>
          <w:r>
            <w:rPr>
              <w:b/>
              <w:spacing w:val="20"/>
              <w:sz w:val="14"/>
            </w:rPr>
            <w:t>Gwydir river system Selected Area 2015-16 Appendix D: Microinvertebrates</w:t>
          </w:r>
        </w:p>
      </w:tc>
    </w:tr>
  </w:tbl>
  <w:p w:rsidR="00EA54D5" w:rsidRPr="001179DC" w:rsidRDefault="00EA54D5" w:rsidP="001179DC">
    <w:pPr>
      <w:pStyle w:val="Header"/>
      <w:spacing w:after="0" w:line="240" w:lineRule="auto"/>
      <w:rPr>
        <w:sz w:val="16"/>
        <w:szCs w:val="16"/>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4139"/>
    </w:tblGrid>
    <w:tr w:rsidR="00EA54D5" w:rsidRPr="00B65EE3" w:rsidTr="00DA5A29">
      <w:trPr>
        <w:trHeight w:val="294"/>
      </w:trPr>
      <w:tc>
        <w:tcPr>
          <w:tcW w:w="5000" w:type="pct"/>
        </w:tcPr>
        <w:p w:rsidR="00EA54D5" w:rsidRPr="00B65EE3" w:rsidRDefault="00EA54D5" w:rsidP="00DA5A29">
          <w:pPr>
            <w:widowControl w:val="0"/>
            <w:tabs>
              <w:tab w:val="left" w:pos="1860"/>
              <w:tab w:val="right" w:pos="13648"/>
            </w:tabs>
            <w:spacing w:before="80" w:after="0" w:line="240" w:lineRule="auto"/>
            <w:ind w:right="-108"/>
            <w:jc w:val="left"/>
            <w:rPr>
              <w:spacing w:val="20"/>
              <w:sz w:val="14"/>
            </w:rPr>
          </w:pPr>
          <w:r>
            <w:rPr>
              <w:b/>
              <w:spacing w:val="20"/>
              <w:sz w:val="14"/>
            </w:rPr>
            <w:tab/>
          </w:r>
          <w:r>
            <w:rPr>
              <w:b/>
              <w:spacing w:val="20"/>
              <w:sz w:val="14"/>
            </w:rPr>
            <w:tab/>
            <w:t>Gwydir river system Selected Area 2015-16 Appendix D: Microinvertebrates</w:t>
          </w:r>
        </w:p>
      </w:tc>
    </w:tr>
  </w:tbl>
  <w:p w:rsidR="00EA54D5" w:rsidRPr="001179DC" w:rsidRDefault="00EA54D5" w:rsidP="001179DC">
    <w:pPr>
      <w:pStyle w:val="Header"/>
      <w:spacing w:after="0" w:line="240" w:lineRule="auto"/>
      <w:rPr>
        <w:sz w:val="16"/>
        <w:szCs w:val="16"/>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0"/>
    </w:tblGrid>
    <w:tr w:rsidR="00EA54D5" w:rsidRPr="00B65EE3" w:rsidTr="00DA5A29">
      <w:trPr>
        <w:trHeight w:val="294"/>
      </w:trPr>
      <w:tc>
        <w:tcPr>
          <w:tcW w:w="5000" w:type="pct"/>
        </w:tcPr>
        <w:p w:rsidR="00EA54D5" w:rsidRPr="00B65EE3" w:rsidRDefault="00EA54D5" w:rsidP="00364243">
          <w:pPr>
            <w:widowControl w:val="0"/>
            <w:spacing w:before="80" w:after="0" w:line="240" w:lineRule="auto"/>
            <w:ind w:right="-108"/>
            <w:jc w:val="right"/>
            <w:rPr>
              <w:spacing w:val="20"/>
              <w:sz w:val="14"/>
            </w:rPr>
          </w:pPr>
          <w:r>
            <w:rPr>
              <w:b/>
              <w:spacing w:val="20"/>
              <w:sz w:val="14"/>
            </w:rPr>
            <w:t>Gwydir river system Selected Area 2015-16 Appendix D: Microinvertebrates</w:t>
          </w:r>
        </w:p>
      </w:tc>
    </w:tr>
  </w:tbl>
  <w:p w:rsidR="00EA54D5" w:rsidRPr="001179DC" w:rsidRDefault="00EA54D5" w:rsidP="001179DC">
    <w:pPr>
      <w:pStyle w:val="Header"/>
      <w:spacing w:after="0" w:line="240" w:lineRule="auto"/>
      <w:rPr>
        <w:sz w:val="16"/>
        <w:szCs w:val="16"/>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0"/>
    </w:tblGrid>
    <w:tr w:rsidR="00EA54D5" w:rsidRPr="00B65EE3" w:rsidTr="004F411E">
      <w:trPr>
        <w:trHeight w:val="294"/>
      </w:trPr>
      <w:tc>
        <w:tcPr>
          <w:tcW w:w="5000" w:type="pct"/>
        </w:tcPr>
        <w:p w:rsidR="00EA54D5" w:rsidRPr="00B65EE3" w:rsidRDefault="00EA54D5" w:rsidP="00DB4624">
          <w:pPr>
            <w:widowControl w:val="0"/>
            <w:spacing w:before="80" w:after="0" w:line="240" w:lineRule="auto"/>
            <w:ind w:right="-108"/>
            <w:jc w:val="right"/>
            <w:rPr>
              <w:spacing w:val="20"/>
              <w:sz w:val="14"/>
            </w:rPr>
          </w:pPr>
          <w:r>
            <w:rPr>
              <w:b/>
              <w:spacing w:val="20"/>
              <w:sz w:val="14"/>
            </w:rPr>
            <w:t>Gwydir river system Selected Area 2015-16 Appendix E: Macroinvertebrates</w:t>
          </w:r>
        </w:p>
      </w:tc>
    </w:tr>
  </w:tbl>
  <w:p w:rsidR="00EA54D5" w:rsidRPr="001179DC" w:rsidRDefault="00EA54D5" w:rsidP="001179DC">
    <w:pPr>
      <w:pStyle w:val="Header"/>
      <w:spacing w:after="0" w:line="240" w:lineRule="auto"/>
      <w:rPr>
        <w:sz w:val="16"/>
        <w:szCs w:val="16"/>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0"/>
    </w:tblGrid>
    <w:tr w:rsidR="00EA54D5" w:rsidRPr="00B65EE3" w:rsidTr="00164E48">
      <w:trPr>
        <w:trHeight w:val="294"/>
      </w:trPr>
      <w:tc>
        <w:tcPr>
          <w:tcW w:w="5000" w:type="pct"/>
        </w:tcPr>
        <w:p w:rsidR="00EA54D5" w:rsidRPr="00B65EE3" w:rsidRDefault="00EA54D5" w:rsidP="00480B7E">
          <w:pPr>
            <w:widowControl w:val="0"/>
            <w:spacing w:before="80" w:after="0" w:line="240" w:lineRule="auto"/>
            <w:ind w:right="-108"/>
            <w:jc w:val="right"/>
            <w:rPr>
              <w:spacing w:val="20"/>
              <w:sz w:val="14"/>
            </w:rPr>
          </w:pPr>
          <w:r w:rsidRPr="00C67625">
            <w:rPr>
              <w:spacing w:val="20"/>
              <w:sz w:val="14"/>
              <w:szCs w:val="14"/>
            </w:rPr>
            <w:t xml:space="preserve">Gwydir </w:t>
          </w:r>
          <w:r>
            <w:rPr>
              <w:spacing w:val="20"/>
              <w:sz w:val="14"/>
              <w:szCs w:val="14"/>
            </w:rPr>
            <w:t xml:space="preserve">river system </w:t>
          </w:r>
          <w:r w:rsidRPr="00C67625">
            <w:rPr>
              <w:spacing w:val="20"/>
              <w:sz w:val="14"/>
              <w:szCs w:val="14"/>
            </w:rPr>
            <w:t xml:space="preserve">Selected Area </w:t>
          </w:r>
          <w:r>
            <w:rPr>
              <w:spacing w:val="20"/>
              <w:sz w:val="14"/>
              <w:szCs w:val="14"/>
            </w:rPr>
            <w:t>2015-16 Appendix F: Ecosystem Type</w:t>
          </w:r>
          <w:r w:rsidRPr="00C67625">
            <w:rPr>
              <w:spacing w:val="20"/>
              <w:sz w:val="14"/>
              <w:szCs w:val="14"/>
            </w:rPr>
            <w:t xml:space="preserve"> </w:t>
          </w:r>
        </w:p>
      </w:tc>
    </w:tr>
  </w:tbl>
  <w:p w:rsidR="00EA54D5" w:rsidRPr="00164E48" w:rsidRDefault="00EA54D5" w:rsidP="00164E48">
    <w:pPr>
      <w:pStyle w:val="Header"/>
      <w:spacing w:after="0"/>
      <w:rPr>
        <w:sz w:val="16"/>
        <w:szCs w:val="16"/>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4D5" w:rsidRDefault="00EA54D5">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4139"/>
    </w:tblGrid>
    <w:tr w:rsidR="00EA54D5" w:rsidRPr="00B65EE3" w:rsidTr="00B35ECC">
      <w:trPr>
        <w:trHeight w:val="294"/>
      </w:trPr>
      <w:tc>
        <w:tcPr>
          <w:tcW w:w="5000" w:type="pct"/>
        </w:tcPr>
        <w:p w:rsidR="00EA54D5" w:rsidRPr="00B65EE3" w:rsidRDefault="00EA54D5" w:rsidP="00480B7E">
          <w:pPr>
            <w:widowControl w:val="0"/>
            <w:spacing w:before="80" w:after="0" w:line="240" w:lineRule="auto"/>
            <w:ind w:right="-108"/>
            <w:jc w:val="right"/>
            <w:rPr>
              <w:spacing w:val="20"/>
              <w:sz w:val="14"/>
            </w:rPr>
          </w:pPr>
          <w:r w:rsidRPr="00C67625">
            <w:rPr>
              <w:spacing w:val="20"/>
              <w:sz w:val="14"/>
              <w:szCs w:val="14"/>
            </w:rPr>
            <w:t xml:space="preserve">Gwydir </w:t>
          </w:r>
          <w:r>
            <w:rPr>
              <w:spacing w:val="20"/>
              <w:sz w:val="14"/>
              <w:szCs w:val="14"/>
            </w:rPr>
            <w:t xml:space="preserve">river system </w:t>
          </w:r>
          <w:r w:rsidRPr="00C67625">
            <w:rPr>
              <w:spacing w:val="20"/>
              <w:sz w:val="14"/>
              <w:szCs w:val="14"/>
            </w:rPr>
            <w:t xml:space="preserve">Selected Area </w:t>
          </w:r>
          <w:r>
            <w:rPr>
              <w:spacing w:val="20"/>
              <w:sz w:val="14"/>
              <w:szCs w:val="14"/>
            </w:rPr>
            <w:t>2015-16 Appendix F: Ecosystem Type</w:t>
          </w:r>
        </w:p>
      </w:tc>
    </w:tr>
  </w:tbl>
  <w:p w:rsidR="00EA54D5" w:rsidRPr="00426200" w:rsidRDefault="00EA54D5" w:rsidP="00426200">
    <w:pPr>
      <w:pStyle w:val="Header"/>
      <w:spacing w:after="0"/>
      <w:rPr>
        <w:sz w:val="14"/>
        <w:szCs w:val="14"/>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4D5" w:rsidRDefault="00EA54D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0"/>
    </w:tblGrid>
    <w:tr w:rsidR="00EA54D5" w:rsidRPr="00B65EE3" w:rsidTr="007865BF">
      <w:trPr>
        <w:trHeight w:val="294"/>
      </w:trPr>
      <w:tc>
        <w:tcPr>
          <w:tcW w:w="5000" w:type="pct"/>
        </w:tcPr>
        <w:p w:rsidR="00EA54D5" w:rsidRPr="00B65EE3" w:rsidRDefault="00EA54D5" w:rsidP="00B70CB1">
          <w:pPr>
            <w:widowControl w:val="0"/>
            <w:spacing w:before="80" w:after="0" w:line="240" w:lineRule="auto"/>
            <w:ind w:left="-244" w:right="-108" w:firstLine="244"/>
            <w:jc w:val="right"/>
            <w:rPr>
              <w:spacing w:val="20"/>
              <w:sz w:val="14"/>
            </w:rPr>
          </w:pPr>
          <w:r>
            <w:rPr>
              <w:b/>
              <w:spacing w:val="20"/>
              <w:sz w:val="14"/>
            </w:rPr>
            <w:t xml:space="preserve">Gwydir river system Selected Area 2015-16 Appendix A: Hydrology (River)     </w:t>
          </w:r>
        </w:p>
      </w:tc>
    </w:tr>
  </w:tbl>
  <w:p w:rsidR="00EA54D5" w:rsidRPr="001179DC" w:rsidRDefault="00EA54D5" w:rsidP="001179DC">
    <w:pPr>
      <w:pStyle w:val="Header"/>
      <w:spacing w:after="0" w:line="240" w:lineRule="auto"/>
      <w:rPr>
        <w:sz w:val="16"/>
        <w:szCs w:val="16"/>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0"/>
    </w:tblGrid>
    <w:tr w:rsidR="00EA54D5" w:rsidRPr="00B65EE3" w:rsidTr="00B35ECC">
      <w:trPr>
        <w:trHeight w:val="294"/>
      </w:trPr>
      <w:tc>
        <w:tcPr>
          <w:tcW w:w="5000" w:type="pct"/>
        </w:tcPr>
        <w:p w:rsidR="00EA54D5" w:rsidRPr="00B65EE3" w:rsidRDefault="00EA54D5" w:rsidP="00480B7E">
          <w:pPr>
            <w:widowControl w:val="0"/>
            <w:spacing w:before="80" w:after="0" w:line="240" w:lineRule="auto"/>
            <w:ind w:right="-108"/>
            <w:jc w:val="right"/>
            <w:rPr>
              <w:spacing w:val="20"/>
              <w:sz w:val="14"/>
            </w:rPr>
          </w:pPr>
          <w:r w:rsidRPr="00C67625">
            <w:rPr>
              <w:spacing w:val="20"/>
              <w:sz w:val="14"/>
              <w:szCs w:val="14"/>
            </w:rPr>
            <w:t xml:space="preserve">Gwydir </w:t>
          </w:r>
          <w:r>
            <w:rPr>
              <w:spacing w:val="20"/>
              <w:sz w:val="14"/>
              <w:szCs w:val="14"/>
            </w:rPr>
            <w:t xml:space="preserve">river system </w:t>
          </w:r>
          <w:r w:rsidRPr="00C67625">
            <w:rPr>
              <w:spacing w:val="20"/>
              <w:sz w:val="14"/>
              <w:szCs w:val="14"/>
            </w:rPr>
            <w:t xml:space="preserve">Selected Area </w:t>
          </w:r>
          <w:r>
            <w:rPr>
              <w:spacing w:val="20"/>
              <w:sz w:val="14"/>
              <w:szCs w:val="14"/>
            </w:rPr>
            <w:t>2015-16 Appendix F: Ecosystem Type</w:t>
          </w:r>
        </w:p>
      </w:tc>
    </w:tr>
  </w:tbl>
  <w:p w:rsidR="00EA54D5" w:rsidRPr="008979DC" w:rsidRDefault="00EA54D5" w:rsidP="008979DC">
    <w:pPr>
      <w:pStyle w:val="Header"/>
      <w:spacing w:after="0"/>
      <w:rPr>
        <w:sz w:val="14"/>
        <w:szCs w:val="14"/>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4139"/>
    </w:tblGrid>
    <w:tr w:rsidR="00EA54D5" w:rsidRPr="00B65EE3" w:rsidTr="00B35ECC">
      <w:trPr>
        <w:trHeight w:val="294"/>
      </w:trPr>
      <w:tc>
        <w:tcPr>
          <w:tcW w:w="5000" w:type="pct"/>
        </w:tcPr>
        <w:p w:rsidR="00EA54D5" w:rsidRPr="00B65EE3" w:rsidRDefault="00EA54D5" w:rsidP="00480B7E">
          <w:pPr>
            <w:widowControl w:val="0"/>
            <w:spacing w:before="80" w:after="0" w:line="240" w:lineRule="auto"/>
            <w:ind w:right="-108"/>
            <w:jc w:val="right"/>
            <w:rPr>
              <w:spacing w:val="20"/>
              <w:sz w:val="14"/>
            </w:rPr>
          </w:pPr>
          <w:r w:rsidRPr="00C67625">
            <w:rPr>
              <w:spacing w:val="20"/>
              <w:sz w:val="14"/>
              <w:szCs w:val="14"/>
            </w:rPr>
            <w:t xml:space="preserve">Gwydir </w:t>
          </w:r>
          <w:r>
            <w:rPr>
              <w:spacing w:val="20"/>
              <w:sz w:val="14"/>
              <w:szCs w:val="14"/>
            </w:rPr>
            <w:t xml:space="preserve">river system </w:t>
          </w:r>
          <w:r w:rsidRPr="00C67625">
            <w:rPr>
              <w:spacing w:val="20"/>
              <w:sz w:val="14"/>
              <w:szCs w:val="14"/>
            </w:rPr>
            <w:t xml:space="preserve">Selected Area </w:t>
          </w:r>
          <w:r>
            <w:rPr>
              <w:spacing w:val="20"/>
              <w:sz w:val="14"/>
              <w:szCs w:val="14"/>
            </w:rPr>
            <w:t>2015-16 Appendix F: Ecosystem Type</w:t>
          </w:r>
        </w:p>
      </w:tc>
    </w:tr>
  </w:tbl>
  <w:p w:rsidR="00EA54D5" w:rsidRPr="00426200" w:rsidRDefault="00EA54D5" w:rsidP="00426200">
    <w:pPr>
      <w:pStyle w:val="Header"/>
      <w:spacing w:after="0"/>
      <w:rPr>
        <w:sz w:val="14"/>
        <w:szCs w:val="14"/>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0"/>
    </w:tblGrid>
    <w:tr w:rsidR="00EA54D5" w:rsidRPr="00B65EE3" w:rsidTr="00B35ECC">
      <w:trPr>
        <w:trHeight w:val="294"/>
      </w:trPr>
      <w:tc>
        <w:tcPr>
          <w:tcW w:w="5000" w:type="pct"/>
        </w:tcPr>
        <w:p w:rsidR="00EA54D5" w:rsidRPr="00B65EE3" w:rsidRDefault="00EA54D5" w:rsidP="00480B7E">
          <w:pPr>
            <w:widowControl w:val="0"/>
            <w:spacing w:before="80" w:after="0" w:line="240" w:lineRule="auto"/>
            <w:ind w:right="-108"/>
            <w:jc w:val="right"/>
            <w:rPr>
              <w:spacing w:val="20"/>
              <w:sz w:val="14"/>
            </w:rPr>
          </w:pPr>
          <w:r w:rsidRPr="00C67625">
            <w:rPr>
              <w:spacing w:val="20"/>
              <w:sz w:val="14"/>
              <w:szCs w:val="14"/>
            </w:rPr>
            <w:t>Gwydir</w:t>
          </w:r>
          <w:r>
            <w:rPr>
              <w:spacing w:val="20"/>
              <w:sz w:val="14"/>
              <w:szCs w:val="14"/>
            </w:rPr>
            <w:t xml:space="preserve"> river system</w:t>
          </w:r>
          <w:r w:rsidRPr="00C67625">
            <w:rPr>
              <w:spacing w:val="20"/>
              <w:sz w:val="14"/>
              <w:szCs w:val="14"/>
            </w:rPr>
            <w:t xml:space="preserve"> Selected Area </w:t>
          </w:r>
          <w:r>
            <w:rPr>
              <w:spacing w:val="20"/>
              <w:sz w:val="14"/>
              <w:szCs w:val="14"/>
            </w:rPr>
            <w:t>2015-16 Appendix F: Ecosystem Type</w:t>
          </w:r>
        </w:p>
      </w:tc>
    </w:tr>
  </w:tbl>
  <w:p w:rsidR="00EA54D5" w:rsidRPr="00097B3B" w:rsidRDefault="00EA54D5" w:rsidP="00B35ECC">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0"/>
    </w:tblGrid>
    <w:tr w:rsidR="00EA54D5" w:rsidRPr="00B65EE3" w:rsidTr="0063461D">
      <w:trPr>
        <w:trHeight w:val="312"/>
      </w:trPr>
      <w:tc>
        <w:tcPr>
          <w:tcW w:w="5000" w:type="pct"/>
        </w:tcPr>
        <w:p w:rsidR="00EA54D5" w:rsidRPr="00B65EE3" w:rsidRDefault="00EA54D5" w:rsidP="00480B7E">
          <w:pPr>
            <w:widowControl w:val="0"/>
            <w:spacing w:before="80" w:after="0" w:line="240" w:lineRule="auto"/>
            <w:ind w:right="-108"/>
            <w:jc w:val="right"/>
            <w:rPr>
              <w:spacing w:val="20"/>
              <w:sz w:val="14"/>
            </w:rPr>
          </w:pPr>
          <w:r w:rsidRPr="00C67625">
            <w:rPr>
              <w:spacing w:val="20"/>
              <w:sz w:val="14"/>
              <w:szCs w:val="14"/>
            </w:rPr>
            <w:t xml:space="preserve">Gwydir </w:t>
          </w:r>
          <w:r>
            <w:rPr>
              <w:spacing w:val="20"/>
              <w:sz w:val="14"/>
              <w:szCs w:val="14"/>
            </w:rPr>
            <w:t xml:space="preserve">river system </w:t>
          </w:r>
          <w:r w:rsidRPr="00C67625">
            <w:rPr>
              <w:spacing w:val="20"/>
              <w:sz w:val="14"/>
              <w:szCs w:val="14"/>
            </w:rPr>
            <w:t xml:space="preserve">Selected Area </w:t>
          </w:r>
          <w:r>
            <w:rPr>
              <w:spacing w:val="20"/>
              <w:sz w:val="14"/>
              <w:szCs w:val="14"/>
            </w:rPr>
            <w:t>2015-16 Appendix G: Vegetation Diversity</w:t>
          </w:r>
        </w:p>
      </w:tc>
    </w:tr>
  </w:tbl>
  <w:p w:rsidR="00EA54D5" w:rsidRPr="00646A33" w:rsidRDefault="00EA54D5" w:rsidP="00CB0896">
    <w:pPr>
      <w:pStyle w:val="Header"/>
      <w:spacing w:after="0" w:line="240" w:lineRule="auto"/>
      <w:rPr>
        <w:sz w:val="16"/>
        <w:szCs w:val="16"/>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4D5" w:rsidRDefault="00EA54D5">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4139"/>
    </w:tblGrid>
    <w:tr w:rsidR="00EA54D5" w:rsidRPr="00B65EE3" w:rsidTr="0063461D">
      <w:trPr>
        <w:trHeight w:val="312"/>
      </w:trPr>
      <w:tc>
        <w:tcPr>
          <w:tcW w:w="5000" w:type="pct"/>
        </w:tcPr>
        <w:p w:rsidR="00EA54D5" w:rsidRPr="00B65EE3" w:rsidRDefault="00EA54D5" w:rsidP="009524AD">
          <w:pPr>
            <w:widowControl w:val="0"/>
            <w:tabs>
              <w:tab w:val="left" w:pos="990"/>
              <w:tab w:val="right" w:pos="13926"/>
            </w:tabs>
            <w:spacing w:before="80" w:after="0" w:line="240" w:lineRule="auto"/>
            <w:ind w:right="-108"/>
            <w:jc w:val="left"/>
            <w:rPr>
              <w:spacing w:val="20"/>
              <w:sz w:val="14"/>
            </w:rPr>
          </w:pPr>
          <w:r>
            <w:rPr>
              <w:spacing w:val="20"/>
              <w:sz w:val="14"/>
              <w:szCs w:val="14"/>
            </w:rPr>
            <w:tab/>
          </w:r>
          <w:r>
            <w:rPr>
              <w:spacing w:val="20"/>
              <w:sz w:val="14"/>
              <w:szCs w:val="14"/>
            </w:rPr>
            <w:tab/>
          </w:r>
          <w:r w:rsidRPr="00C67625">
            <w:rPr>
              <w:spacing w:val="20"/>
              <w:sz w:val="14"/>
              <w:szCs w:val="14"/>
            </w:rPr>
            <w:t>Gwydir</w:t>
          </w:r>
          <w:r>
            <w:rPr>
              <w:spacing w:val="20"/>
              <w:sz w:val="14"/>
              <w:szCs w:val="14"/>
            </w:rPr>
            <w:t xml:space="preserve"> river system</w:t>
          </w:r>
          <w:r w:rsidRPr="00C67625">
            <w:rPr>
              <w:spacing w:val="20"/>
              <w:sz w:val="14"/>
              <w:szCs w:val="14"/>
            </w:rPr>
            <w:t xml:space="preserve"> Selected Area </w:t>
          </w:r>
          <w:r>
            <w:rPr>
              <w:spacing w:val="20"/>
              <w:sz w:val="14"/>
              <w:szCs w:val="14"/>
            </w:rPr>
            <w:t>2015-16 Appendix G: Vegetation Diversity</w:t>
          </w:r>
        </w:p>
      </w:tc>
    </w:tr>
  </w:tbl>
  <w:p w:rsidR="00EA54D5" w:rsidRPr="00646A33" w:rsidRDefault="00EA54D5" w:rsidP="00CB0896">
    <w:pPr>
      <w:pStyle w:val="Header"/>
      <w:spacing w:after="0" w:line="240" w:lineRule="auto"/>
      <w:rPr>
        <w:sz w:val="16"/>
        <w:szCs w:val="16"/>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4D5" w:rsidRDefault="00EA54D5">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4D5" w:rsidRDefault="00EA54D5">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0"/>
    </w:tblGrid>
    <w:tr w:rsidR="00EA54D5" w:rsidRPr="00B65EE3" w:rsidTr="0063461D">
      <w:trPr>
        <w:trHeight w:val="294"/>
      </w:trPr>
      <w:tc>
        <w:tcPr>
          <w:tcW w:w="5000" w:type="pct"/>
        </w:tcPr>
        <w:p w:rsidR="00EA54D5" w:rsidRPr="00B65EE3" w:rsidRDefault="00EA54D5" w:rsidP="00480B7E">
          <w:pPr>
            <w:widowControl w:val="0"/>
            <w:spacing w:before="80" w:after="0" w:line="240" w:lineRule="auto"/>
            <w:ind w:right="-108"/>
            <w:jc w:val="right"/>
            <w:rPr>
              <w:spacing w:val="20"/>
              <w:sz w:val="14"/>
            </w:rPr>
          </w:pPr>
          <w:r w:rsidRPr="00C67625">
            <w:rPr>
              <w:spacing w:val="20"/>
              <w:sz w:val="14"/>
              <w:szCs w:val="14"/>
            </w:rPr>
            <w:t xml:space="preserve">Gwydir </w:t>
          </w:r>
          <w:r>
            <w:rPr>
              <w:spacing w:val="20"/>
              <w:sz w:val="14"/>
              <w:szCs w:val="14"/>
            </w:rPr>
            <w:t xml:space="preserve">river system </w:t>
          </w:r>
          <w:r w:rsidRPr="00C67625">
            <w:rPr>
              <w:spacing w:val="20"/>
              <w:sz w:val="14"/>
              <w:szCs w:val="14"/>
            </w:rPr>
            <w:t xml:space="preserve">Selected Area </w:t>
          </w:r>
          <w:r>
            <w:rPr>
              <w:spacing w:val="20"/>
              <w:sz w:val="14"/>
              <w:szCs w:val="14"/>
            </w:rPr>
            <w:t>2015-16 Appendix G: Vegetation Diversity</w:t>
          </w:r>
        </w:p>
      </w:tc>
    </w:tr>
  </w:tbl>
  <w:p w:rsidR="00EA54D5" w:rsidRPr="00646A33" w:rsidRDefault="00EA54D5" w:rsidP="00CB0896">
    <w:pPr>
      <w:pStyle w:val="Header"/>
      <w:spacing w:after="0" w:line="240" w:lineRule="auto"/>
      <w:rPr>
        <w:sz w:val="16"/>
        <w:szCs w:val="16"/>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4D5" w:rsidRDefault="00EA54D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6FF" w:rsidRDefault="004176FF">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3472" w:type="dxa"/>
      <w:tblInd w:w="136" w:type="dxa"/>
      <w:tblBorders>
        <w:bottom w:val="single" w:sz="4" w:space="0" w:color="auto"/>
      </w:tblBorders>
      <w:tblLook w:val="00A0" w:firstRow="1" w:lastRow="0" w:firstColumn="1" w:lastColumn="0" w:noHBand="0" w:noVBand="0"/>
    </w:tblPr>
    <w:tblGrid>
      <w:gridCol w:w="13472"/>
    </w:tblGrid>
    <w:tr w:rsidR="00EA54D5" w:rsidRPr="00B65EE3" w:rsidTr="00CB0896">
      <w:trPr>
        <w:trHeight w:val="294"/>
      </w:trPr>
      <w:tc>
        <w:tcPr>
          <w:tcW w:w="13472" w:type="dxa"/>
        </w:tcPr>
        <w:p w:rsidR="00EA54D5" w:rsidRPr="00B65EE3" w:rsidRDefault="00EA54D5" w:rsidP="00480B7E">
          <w:pPr>
            <w:widowControl w:val="0"/>
            <w:spacing w:before="80" w:after="0" w:line="240" w:lineRule="auto"/>
            <w:ind w:right="-108"/>
            <w:jc w:val="right"/>
            <w:rPr>
              <w:spacing w:val="20"/>
              <w:sz w:val="14"/>
            </w:rPr>
          </w:pPr>
          <w:r w:rsidRPr="00C67625">
            <w:rPr>
              <w:spacing w:val="20"/>
              <w:sz w:val="14"/>
              <w:szCs w:val="14"/>
            </w:rPr>
            <w:t xml:space="preserve">Gwydir </w:t>
          </w:r>
          <w:r>
            <w:rPr>
              <w:spacing w:val="20"/>
              <w:sz w:val="14"/>
              <w:szCs w:val="14"/>
            </w:rPr>
            <w:t xml:space="preserve">river system </w:t>
          </w:r>
          <w:r w:rsidRPr="00C67625">
            <w:rPr>
              <w:spacing w:val="20"/>
              <w:sz w:val="14"/>
              <w:szCs w:val="14"/>
            </w:rPr>
            <w:t xml:space="preserve">Selected Area </w:t>
          </w:r>
          <w:r>
            <w:rPr>
              <w:spacing w:val="20"/>
              <w:sz w:val="14"/>
              <w:szCs w:val="14"/>
            </w:rPr>
            <w:t>2015-16 Appendix G: Vegetation Diversity</w:t>
          </w:r>
        </w:p>
      </w:tc>
    </w:tr>
  </w:tbl>
  <w:p w:rsidR="00EA54D5" w:rsidRPr="00646A33" w:rsidRDefault="00EA54D5" w:rsidP="00CB0896">
    <w:pPr>
      <w:pStyle w:val="Header"/>
      <w:spacing w:after="0" w:line="240" w:lineRule="auto"/>
      <w:rPr>
        <w:sz w:val="16"/>
        <w:szCs w:val="16"/>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4D5" w:rsidRDefault="00EA54D5">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0"/>
    </w:tblGrid>
    <w:tr w:rsidR="00EA54D5" w:rsidRPr="00B65EE3" w:rsidTr="001F07F2">
      <w:trPr>
        <w:trHeight w:val="294"/>
      </w:trPr>
      <w:tc>
        <w:tcPr>
          <w:tcW w:w="5000" w:type="pct"/>
        </w:tcPr>
        <w:p w:rsidR="00EA54D5" w:rsidRPr="00B65EE3" w:rsidRDefault="00EA54D5" w:rsidP="00480B7E">
          <w:pPr>
            <w:widowControl w:val="0"/>
            <w:spacing w:before="80" w:after="0" w:line="240" w:lineRule="auto"/>
            <w:ind w:right="-108"/>
            <w:jc w:val="right"/>
            <w:rPr>
              <w:spacing w:val="20"/>
              <w:sz w:val="14"/>
            </w:rPr>
          </w:pPr>
          <w:r w:rsidRPr="00C67625">
            <w:rPr>
              <w:spacing w:val="20"/>
              <w:sz w:val="14"/>
              <w:szCs w:val="14"/>
            </w:rPr>
            <w:t xml:space="preserve">Gwydir </w:t>
          </w:r>
          <w:r>
            <w:rPr>
              <w:spacing w:val="20"/>
              <w:sz w:val="14"/>
              <w:szCs w:val="14"/>
            </w:rPr>
            <w:t xml:space="preserve">river system </w:t>
          </w:r>
          <w:r w:rsidRPr="00C67625">
            <w:rPr>
              <w:spacing w:val="20"/>
              <w:sz w:val="14"/>
              <w:szCs w:val="14"/>
            </w:rPr>
            <w:t xml:space="preserve">Selected Area </w:t>
          </w:r>
          <w:r>
            <w:rPr>
              <w:spacing w:val="20"/>
              <w:sz w:val="14"/>
              <w:szCs w:val="14"/>
            </w:rPr>
            <w:t>2015-16 Appendix G: Vegetation Diversity</w:t>
          </w:r>
        </w:p>
      </w:tc>
    </w:tr>
  </w:tbl>
  <w:p w:rsidR="00EA54D5" w:rsidRPr="00646A33" w:rsidRDefault="00EA54D5" w:rsidP="00CB0896">
    <w:pPr>
      <w:pStyle w:val="Header"/>
      <w:spacing w:after="0" w:line="240" w:lineRule="auto"/>
      <w:rPr>
        <w:sz w:val="16"/>
        <w:szCs w:val="16"/>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4D5" w:rsidRDefault="00EA54D5">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0"/>
    </w:tblGrid>
    <w:tr w:rsidR="00EA54D5" w:rsidRPr="00B65EE3" w:rsidTr="00E23B8D">
      <w:trPr>
        <w:trHeight w:val="294"/>
      </w:trPr>
      <w:tc>
        <w:tcPr>
          <w:tcW w:w="5000" w:type="pct"/>
        </w:tcPr>
        <w:p w:rsidR="00EA54D5" w:rsidRPr="00B65EE3" w:rsidRDefault="00EA54D5" w:rsidP="006C6C53">
          <w:pPr>
            <w:widowControl w:val="0"/>
            <w:spacing w:before="80" w:after="0" w:line="240" w:lineRule="auto"/>
            <w:ind w:right="-108"/>
            <w:jc w:val="right"/>
            <w:rPr>
              <w:spacing w:val="20"/>
              <w:sz w:val="14"/>
            </w:rPr>
          </w:pPr>
          <w:r>
            <w:rPr>
              <w:b/>
              <w:spacing w:val="20"/>
              <w:sz w:val="14"/>
            </w:rPr>
            <w:t>Gwydir river system Selected Area 2015-16 Appendix H: Frogs and small-bodied fish</w:t>
          </w:r>
        </w:p>
      </w:tc>
    </w:tr>
  </w:tbl>
  <w:p w:rsidR="00EA54D5" w:rsidRPr="00646A33" w:rsidRDefault="00EA54D5" w:rsidP="00CB0896">
    <w:pPr>
      <w:pStyle w:val="Header"/>
      <w:spacing w:after="0" w:line="240" w:lineRule="auto"/>
      <w:rPr>
        <w:sz w:val="16"/>
        <w:szCs w:val="16"/>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3873"/>
    </w:tblGrid>
    <w:tr w:rsidR="00EA54D5" w:rsidRPr="00B65EE3" w:rsidTr="00E23B8D">
      <w:trPr>
        <w:trHeight w:val="294"/>
      </w:trPr>
      <w:tc>
        <w:tcPr>
          <w:tcW w:w="5000" w:type="pct"/>
        </w:tcPr>
        <w:p w:rsidR="00EA54D5" w:rsidRPr="00B65EE3" w:rsidRDefault="00EA54D5" w:rsidP="006C6C53">
          <w:pPr>
            <w:widowControl w:val="0"/>
            <w:spacing w:before="80" w:after="0" w:line="240" w:lineRule="auto"/>
            <w:ind w:right="-108"/>
            <w:jc w:val="right"/>
            <w:rPr>
              <w:spacing w:val="20"/>
              <w:sz w:val="14"/>
            </w:rPr>
          </w:pPr>
          <w:r>
            <w:rPr>
              <w:b/>
              <w:spacing w:val="20"/>
              <w:sz w:val="14"/>
            </w:rPr>
            <w:t>Gwydir river system Selected Area 2015-16 Appendix H: Frogs and small-bodied fish</w:t>
          </w:r>
        </w:p>
      </w:tc>
    </w:tr>
  </w:tbl>
  <w:p w:rsidR="00EA54D5" w:rsidRPr="00646A33" w:rsidRDefault="00EA54D5" w:rsidP="00CB0896">
    <w:pPr>
      <w:pStyle w:val="Header"/>
      <w:spacing w:after="0" w:line="240" w:lineRule="auto"/>
      <w:rPr>
        <w:sz w:val="16"/>
        <w:szCs w:val="16"/>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0"/>
    </w:tblGrid>
    <w:tr w:rsidR="00EA54D5" w:rsidRPr="00B65EE3" w:rsidTr="00E23B8D">
      <w:trPr>
        <w:trHeight w:val="294"/>
      </w:trPr>
      <w:tc>
        <w:tcPr>
          <w:tcW w:w="5000" w:type="pct"/>
        </w:tcPr>
        <w:p w:rsidR="00EA54D5" w:rsidRPr="00B65EE3" w:rsidRDefault="00EA54D5" w:rsidP="006C6C53">
          <w:pPr>
            <w:widowControl w:val="0"/>
            <w:spacing w:before="80" w:after="0" w:line="240" w:lineRule="auto"/>
            <w:ind w:right="-108"/>
            <w:jc w:val="right"/>
            <w:rPr>
              <w:spacing w:val="20"/>
              <w:sz w:val="14"/>
            </w:rPr>
          </w:pPr>
          <w:r>
            <w:rPr>
              <w:b/>
              <w:spacing w:val="20"/>
              <w:sz w:val="14"/>
            </w:rPr>
            <w:t>Gwydir river system Selected Area 2015-16 Appendix H: Frogs and small-bodied fish</w:t>
          </w:r>
        </w:p>
      </w:tc>
    </w:tr>
  </w:tbl>
  <w:p w:rsidR="00EA54D5" w:rsidRPr="00646A33" w:rsidRDefault="00EA54D5" w:rsidP="00CB0896">
    <w:pPr>
      <w:pStyle w:val="Header"/>
      <w:spacing w:after="0" w:line="240" w:lineRule="auto"/>
      <w:rPr>
        <w:sz w:val="16"/>
        <w:szCs w:val="16"/>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4139"/>
    </w:tblGrid>
    <w:tr w:rsidR="00EA54D5" w:rsidRPr="00B65EE3" w:rsidTr="00E23B8D">
      <w:trPr>
        <w:trHeight w:val="294"/>
      </w:trPr>
      <w:tc>
        <w:tcPr>
          <w:tcW w:w="5000" w:type="pct"/>
        </w:tcPr>
        <w:p w:rsidR="00EA54D5" w:rsidRPr="00B65EE3" w:rsidRDefault="00EA54D5" w:rsidP="00480B7E">
          <w:pPr>
            <w:widowControl w:val="0"/>
            <w:spacing w:before="80" w:after="0" w:line="240" w:lineRule="auto"/>
            <w:ind w:right="-108"/>
            <w:jc w:val="right"/>
            <w:rPr>
              <w:spacing w:val="20"/>
              <w:sz w:val="14"/>
            </w:rPr>
          </w:pPr>
          <w:r>
            <w:rPr>
              <w:b/>
              <w:spacing w:val="20"/>
              <w:sz w:val="14"/>
            </w:rPr>
            <w:t>Gwydir river system Selected Area 2015-16 Appendix H: Frogs and small-bodied fish</w:t>
          </w:r>
        </w:p>
      </w:tc>
    </w:tr>
  </w:tbl>
  <w:p w:rsidR="00EA54D5" w:rsidRPr="001179DC" w:rsidRDefault="00EA54D5" w:rsidP="00CB0896">
    <w:pPr>
      <w:pStyle w:val="Header"/>
      <w:spacing w:after="0" w:line="240" w:lineRule="auto"/>
      <w:rPr>
        <w:sz w:val="16"/>
        <w:szCs w:val="16"/>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0"/>
    </w:tblGrid>
    <w:tr w:rsidR="00EA54D5" w:rsidRPr="00B65EE3" w:rsidTr="00E23B8D">
      <w:trPr>
        <w:trHeight w:val="294"/>
      </w:trPr>
      <w:tc>
        <w:tcPr>
          <w:tcW w:w="5000" w:type="pct"/>
        </w:tcPr>
        <w:p w:rsidR="00EA54D5" w:rsidRPr="00B65EE3" w:rsidRDefault="00EA54D5" w:rsidP="00E23B8D">
          <w:pPr>
            <w:widowControl w:val="0"/>
            <w:spacing w:before="80" w:after="0" w:line="240" w:lineRule="auto"/>
            <w:jc w:val="right"/>
            <w:rPr>
              <w:spacing w:val="20"/>
              <w:sz w:val="14"/>
            </w:rPr>
          </w:pPr>
          <w:r>
            <w:rPr>
              <w:b/>
              <w:spacing w:val="20"/>
              <w:sz w:val="14"/>
            </w:rPr>
            <w:t xml:space="preserve">Gwydir river system Selected Area 2015-16 Appendix </w:t>
          </w:r>
          <w:r w:rsidRPr="00480B7E">
            <w:rPr>
              <w:b/>
              <w:spacing w:val="20"/>
              <w:sz w:val="14"/>
            </w:rPr>
            <w:t>H</w:t>
          </w:r>
          <w:r>
            <w:rPr>
              <w:b/>
              <w:spacing w:val="20"/>
              <w:sz w:val="14"/>
            </w:rPr>
            <w:t>: Frogs and small-bodied fish</w:t>
          </w:r>
        </w:p>
      </w:tc>
    </w:tr>
  </w:tbl>
  <w:p w:rsidR="00EA54D5" w:rsidRPr="001179DC" w:rsidRDefault="00EA54D5" w:rsidP="00E23B8D">
    <w:pPr>
      <w:pStyle w:val="Header"/>
      <w:spacing w:after="0" w:line="240" w:lineRule="auto"/>
      <w:rPr>
        <w:sz w:val="16"/>
        <w:szCs w:val="16"/>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0"/>
    </w:tblGrid>
    <w:tr w:rsidR="00EA54D5" w:rsidRPr="00B65EE3" w:rsidTr="00E23B8D">
      <w:trPr>
        <w:trHeight w:val="294"/>
      </w:trPr>
      <w:tc>
        <w:tcPr>
          <w:tcW w:w="5000" w:type="pct"/>
        </w:tcPr>
        <w:p w:rsidR="00EA54D5" w:rsidRPr="00B65EE3" w:rsidRDefault="00EA54D5" w:rsidP="00E23B8D">
          <w:pPr>
            <w:widowControl w:val="0"/>
            <w:spacing w:before="80" w:after="0" w:line="240" w:lineRule="auto"/>
            <w:jc w:val="right"/>
            <w:rPr>
              <w:spacing w:val="20"/>
              <w:sz w:val="14"/>
            </w:rPr>
          </w:pPr>
          <w:r>
            <w:rPr>
              <w:b/>
              <w:spacing w:val="20"/>
              <w:sz w:val="14"/>
            </w:rPr>
            <w:t>Gwydir river system Selected Area 2015-16 Appendix I: Fish (River)</w:t>
          </w:r>
        </w:p>
      </w:tc>
    </w:tr>
  </w:tbl>
  <w:p w:rsidR="00EA54D5" w:rsidRPr="00646A33" w:rsidRDefault="00EA54D5" w:rsidP="00CB0896">
    <w:pPr>
      <w:pStyle w:val="Header"/>
      <w:spacing w:after="0" w:line="240" w:lineRule="auto"/>
      <w:rPr>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4139"/>
    </w:tblGrid>
    <w:tr w:rsidR="00EA54D5" w:rsidRPr="00B65EE3" w:rsidTr="004F411E">
      <w:trPr>
        <w:trHeight w:val="294"/>
      </w:trPr>
      <w:tc>
        <w:tcPr>
          <w:tcW w:w="5000" w:type="pct"/>
        </w:tcPr>
        <w:p w:rsidR="00EA54D5" w:rsidRPr="00B65EE3" w:rsidRDefault="00EA54D5" w:rsidP="00480B7E">
          <w:pPr>
            <w:widowControl w:val="0"/>
            <w:spacing w:before="80" w:after="0" w:line="240" w:lineRule="auto"/>
            <w:ind w:right="-108"/>
            <w:jc w:val="right"/>
            <w:rPr>
              <w:spacing w:val="20"/>
              <w:sz w:val="14"/>
            </w:rPr>
          </w:pPr>
          <w:r>
            <w:rPr>
              <w:b/>
              <w:spacing w:val="20"/>
              <w:sz w:val="14"/>
            </w:rPr>
            <w:t>Gwydir river system Selected Area 2015-16 Appendix A: Hydrology (River)</w:t>
          </w:r>
        </w:p>
      </w:tc>
    </w:tr>
  </w:tbl>
  <w:p w:rsidR="00EA54D5" w:rsidRPr="001179DC" w:rsidRDefault="00EA54D5" w:rsidP="001179DC">
    <w:pPr>
      <w:pStyle w:val="Header"/>
      <w:spacing w:after="0" w:line="240" w:lineRule="auto"/>
      <w:rPr>
        <w:sz w:val="16"/>
        <w:szCs w:val="16"/>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4139"/>
    </w:tblGrid>
    <w:tr w:rsidR="00EA54D5" w:rsidRPr="00B65EE3" w:rsidTr="00E23B8D">
      <w:trPr>
        <w:trHeight w:val="294"/>
      </w:trPr>
      <w:tc>
        <w:tcPr>
          <w:tcW w:w="5000" w:type="pct"/>
        </w:tcPr>
        <w:p w:rsidR="00EA54D5" w:rsidRPr="00B65EE3" w:rsidRDefault="00EA54D5" w:rsidP="00E23B8D">
          <w:pPr>
            <w:widowControl w:val="0"/>
            <w:tabs>
              <w:tab w:val="left" w:pos="13075"/>
              <w:tab w:val="left" w:pos="13359"/>
            </w:tabs>
            <w:spacing w:before="80" w:after="0" w:line="240" w:lineRule="auto"/>
            <w:ind w:right="-3"/>
            <w:jc w:val="right"/>
            <w:rPr>
              <w:spacing w:val="20"/>
              <w:sz w:val="14"/>
            </w:rPr>
          </w:pPr>
          <w:r>
            <w:rPr>
              <w:b/>
              <w:spacing w:val="20"/>
              <w:sz w:val="14"/>
            </w:rPr>
            <w:t>Gwydir river system Selected Area 2015-16 Appendix I</w:t>
          </w:r>
          <w:r w:rsidRPr="000C7262">
            <w:rPr>
              <w:b/>
              <w:spacing w:val="20"/>
              <w:sz w:val="14"/>
            </w:rPr>
            <w:t>: Fish</w:t>
          </w:r>
          <w:r>
            <w:rPr>
              <w:b/>
              <w:spacing w:val="20"/>
              <w:sz w:val="14"/>
            </w:rPr>
            <w:t xml:space="preserve"> (River)</w:t>
          </w:r>
        </w:p>
      </w:tc>
    </w:tr>
  </w:tbl>
  <w:p w:rsidR="00EA54D5" w:rsidRPr="001179DC" w:rsidRDefault="00EA54D5" w:rsidP="00CB0896">
    <w:pPr>
      <w:pStyle w:val="Header"/>
      <w:spacing w:after="0" w:line="240" w:lineRule="auto"/>
      <w:rPr>
        <w:sz w:val="16"/>
        <w:szCs w:val="16"/>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0"/>
    </w:tblGrid>
    <w:tr w:rsidR="00EA54D5" w:rsidRPr="00B65EE3" w:rsidTr="00E23B8D">
      <w:trPr>
        <w:trHeight w:val="294"/>
      </w:trPr>
      <w:tc>
        <w:tcPr>
          <w:tcW w:w="5000" w:type="pct"/>
        </w:tcPr>
        <w:p w:rsidR="00EA54D5" w:rsidRPr="00B65EE3" w:rsidRDefault="00EA54D5" w:rsidP="00462872">
          <w:pPr>
            <w:widowControl w:val="0"/>
            <w:spacing w:before="80" w:after="0" w:line="240" w:lineRule="auto"/>
            <w:ind w:right="175"/>
            <w:jc w:val="right"/>
            <w:rPr>
              <w:spacing w:val="20"/>
              <w:sz w:val="14"/>
            </w:rPr>
          </w:pPr>
          <w:r>
            <w:rPr>
              <w:b/>
              <w:spacing w:val="20"/>
              <w:sz w:val="14"/>
            </w:rPr>
            <w:t xml:space="preserve">Gwydir river system Selected Area 2015-16 Appendix I: </w:t>
          </w:r>
          <w:r w:rsidRPr="00916C5E">
            <w:rPr>
              <w:b/>
              <w:spacing w:val="20"/>
              <w:sz w:val="14"/>
            </w:rPr>
            <w:t>Fish</w:t>
          </w:r>
          <w:r>
            <w:rPr>
              <w:b/>
              <w:spacing w:val="20"/>
              <w:sz w:val="14"/>
            </w:rPr>
            <w:t xml:space="preserve"> (River)</w:t>
          </w:r>
        </w:p>
      </w:tc>
    </w:tr>
  </w:tbl>
  <w:p w:rsidR="00EA54D5" w:rsidRPr="001179DC" w:rsidRDefault="00EA54D5" w:rsidP="00E23B8D">
    <w:pPr>
      <w:pStyle w:val="Header"/>
      <w:spacing w:after="0" w:line="240" w:lineRule="auto"/>
      <w:rPr>
        <w:sz w:val="16"/>
        <w:szCs w:val="16"/>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0"/>
    </w:tblGrid>
    <w:tr w:rsidR="00EA54D5" w:rsidRPr="00B65EE3" w:rsidTr="00CD3111">
      <w:trPr>
        <w:trHeight w:val="294"/>
      </w:trPr>
      <w:tc>
        <w:tcPr>
          <w:tcW w:w="5000" w:type="pct"/>
        </w:tcPr>
        <w:p w:rsidR="00EA54D5" w:rsidRPr="00B65EE3" w:rsidRDefault="00EA54D5" w:rsidP="00CD3111">
          <w:pPr>
            <w:widowControl w:val="0"/>
            <w:spacing w:before="80" w:after="0" w:line="240" w:lineRule="auto"/>
            <w:ind w:right="20"/>
            <w:jc w:val="right"/>
            <w:rPr>
              <w:spacing w:val="20"/>
              <w:sz w:val="14"/>
            </w:rPr>
          </w:pPr>
          <w:r>
            <w:rPr>
              <w:b/>
              <w:spacing w:val="20"/>
              <w:sz w:val="14"/>
            </w:rPr>
            <w:t xml:space="preserve">Gwydir river system Selected Area 2015-16 Appendix J: </w:t>
          </w:r>
          <w:r w:rsidRPr="00916C5E">
            <w:rPr>
              <w:b/>
              <w:spacing w:val="20"/>
              <w:sz w:val="14"/>
            </w:rPr>
            <w:t>Fish</w:t>
          </w:r>
          <w:r>
            <w:rPr>
              <w:b/>
              <w:spacing w:val="20"/>
              <w:sz w:val="14"/>
            </w:rPr>
            <w:t xml:space="preserve"> (Movement)</w:t>
          </w:r>
        </w:p>
      </w:tc>
    </w:tr>
  </w:tbl>
  <w:p w:rsidR="00EA54D5" w:rsidRPr="001179DC" w:rsidRDefault="00EA54D5" w:rsidP="00E23B8D">
    <w:pPr>
      <w:pStyle w:val="Header"/>
      <w:spacing w:after="0" w:line="240" w:lineRule="auto"/>
      <w:rPr>
        <w:sz w:val="16"/>
        <w:szCs w:val="16"/>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0"/>
    </w:tblGrid>
    <w:tr w:rsidR="00EA54D5" w:rsidRPr="00B65EE3" w:rsidTr="00E23B8D">
      <w:trPr>
        <w:trHeight w:val="294"/>
      </w:trPr>
      <w:tc>
        <w:tcPr>
          <w:tcW w:w="5000" w:type="pct"/>
        </w:tcPr>
        <w:p w:rsidR="00EA54D5" w:rsidRPr="00B65EE3" w:rsidRDefault="00EA54D5" w:rsidP="00CF1FE4">
          <w:pPr>
            <w:widowControl w:val="0"/>
            <w:spacing w:before="80" w:after="0" w:line="240" w:lineRule="auto"/>
            <w:ind w:right="-108"/>
            <w:jc w:val="right"/>
            <w:rPr>
              <w:spacing w:val="20"/>
              <w:sz w:val="14"/>
            </w:rPr>
          </w:pPr>
          <w:r>
            <w:rPr>
              <w:b/>
              <w:spacing w:val="20"/>
              <w:sz w:val="14"/>
            </w:rPr>
            <w:t>Gwydir river system Selected Area 2015-16 Appendix K: Waterbird Diversity</w:t>
          </w:r>
        </w:p>
      </w:tc>
    </w:tr>
  </w:tbl>
  <w:p w:rsidR="00EA54D5" w:rsidRPr="001179DC" w:rsidRDefault="00EA54D5" w:rsidP="001179DC">
    <w:pPr>
      <w:pStyle w:val="Header"/>
      <w:spacing w:after="0" w:line="240" w:lineRule="auto"/>
      <w:rPr>
        <w:sz w:val="16"/>
        <w:szCs w:val="16"/>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4139"/>
    </w:tblGrid>
    <w:tr w:rsidR="00EA54D5" w:rsidRPr="00B65EE3" w:rsidTr="00E23B8D">
      <w:trPr>
        <w:trHeight w:val="294"/>
      </w:trPr>
      <w:tc>
        <w:tcPr>
          <w:tcW w:w="5000" w:type="pct"/>
        </w:tcPr>
        <w:p w:rsidR="00EA54D5" w:rsidRPr="00B65EE3" w:rsidRDefault="00EA54D5" w:rsidP="00CF1FE4">
          <w:pPr>
            <w:widowControl w:val="0"/>
            <w:spacing w:before="80" w:after="0" w:line="240" w:lineRule="auto"/>
            <w:ind w:right="-108"/>
            <w:jc w:val="right"/>
            <w:rPr>
              <w:spacing w:val="20"/>
              <w:sz w:val="14"/>
            </w:rPr>
          </w:pPr>
          <w:r>
            <w:rPr>
              <w:b/>
              <w:spacing w:val="20"/>
              <w:sz w:val="14"/>
            </w:rPr>
            <w:t>Gwydir river system Selected Area 2015-16 Appendix K: Waterbird Diversity</w:t>
          </w:r>
        </w:p>
      </w:tc>
    </w:tr>
  </w:tbl>
  <w:p w:rsidR="00EA54D5" w:rsidRPr="001179DC" w:rsidRDefault="00EA54D5" w:rsidP="001179DC">
    <w:pPr>
      <w:pStyle w:val="Header"/>
      <w:spacing w:after="0" w:line="240" w:lineRule="auto"/>
      <w:rPr>
        <w:sz w:val="16"/>
        <w:szCs w:val="16"/>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0"/>
    </w:tblGrid>
    <w:tr w:rsidR="00EA54D5" w:rsidRPr="00B65EE3" w:rsidTr="00E23B8D">
      <w:trPr>
        <w:trHeight w:val="294"/>
      </w:trPr>
      <w:tc>
        <w:tcPr>
          <w:tcW w:w="5000" w:type="pct"/>
        </w:tcPr>
        <w:p w:rsidR="00EA54D5" w:rsidRPr="00B65EE3" w:rsidRDefault="00EA54D5" w:rsidP="00CF1FE4">
          <w:pPr>
            <w:widowControl w:val="0"/>
            <w:spacing w:before="80" w:after="0" w:line="240" w:lineRule="auto"/>
            <w:ind w:right="-108"/>
            <w:jc w:val="right"/>
            <w:rPr>
              <w:spacing w:val="20"/>
              <w:sz w:val="14"/>
            </w:rPr>
          </w:pPr>
          <w:r>
            <w:rPr>
              <w:b/>
              <w:spacing w:val="20"/>
              <w:sz w:val="14"/>
            </w:rPr>
            <w:t>Gwydir river system Selected Area 2015-16 Appendix K: Waterbird Diversity</w:t>
          </w:r>
        </w:p>
      </w:tc>
    </w:tr>
  </w:tbl>
  <w:p w:rsidR="00EA54D5" w:rsidRPr="001179DC" w:rsidRDefault="00EA54D5" w:rsidP="001179DC">
    <w:pPr>
      <w:pStyle w:val="Header"/>
      <w:spacing w:after="0" w:line="240" w:lineRule="auto"/>
      <w:rPr>
        <w:sz w:val="16"/>
        <w:szCs w:val="16"/>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4139"/>
    </w:tblGrid>
    <w:tr w:rsidR="00EA54D5" w:rsidRPr="00B65EE3" w:rsidTr="00E23B8D">
      <w:trPr>
        <w:trHeight w:val="294"/>
      </w:trPr>
      <w:tc>
        <w:tcPr>
          <w:tcW w:w="5000" w:type="pct"/>
        </w:tcPr>
        <w:p w:rsidR="00EA54D5" w:rsidRPr="00B65EE3" w:rsidRDefault="00EA54D5" w:rsidP="00CF1FE4">
          <w:pPr>
            <w:widowControl w:val="0"/>
            <w:spacing w:before="80" w:after="0" w:line="240" w:lineRule="auto"/>
            <w:ind w:right="-108"/>
            <w:jc w:val="right"/>
            <w:rPr>
              <w:spacing w:val="20"/>
              <w:sz w:val="14"/>
            </w:rPr>
          </w:pPr>
          <w:r>
            <w:rPr>
              <w:b/>
              <w:spacing w:val="20"/>
              <w:sz w:val="14"/>
            </w:rPr>
            <w:t>Gwydir river system Selected Area 2015-16 Appendix K: Waterbird Diversity</w:t>
          </w:r>
        </w:p>
      </w:tc>
    </w:tr>
  </w:tbl>
  <w:p w:rsidR="00EA54D5" w:rsidRPr="001179DC" w:rsidRDefault="00EA54D5" w:rsidP="001179DC">
    <w:pPr>
      <w:pStyle w:val="Header"/>
      <w:spacing w:after="0" w:line="240" w:lineRule="auto"/>
      <w:rPr>
        <w:sz w:val="16"/>
        <w:szCs w:val="16"/>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21115"/>
    </w:tblGrid>
    <w:tr w:rsidR="00EA54D5" w:rsidRPr="00B65EE3" w:rsidTr="00E23B8D">
      <w:trPr>
        <w:trHeight w:val="278"/>
      </w:trPr>
      <w:tc>
        <w:tcPr>
          <w:tcW w:w="5000" w:type="pct"/>
        </w:tcPr>
        <w:p w:rsidR="00EA54D5" w:rsidRPr="00B65EE3" w:rsidRDefault="00EA54D5" w:rsidP="00F8016A">
          <w:pPr>
            <w:widowControl w:val="0"/>
            <w:spacing w:before="80" w:after="0" w:line="240" w:lineRule="auto"/>
            <w:ind w:right="-108"/>
            <w:jc w:val="right"/>
            <w:rPr>
              <w:spacing w:val="20"/>
              <w:sz w:val="14"/>
            </w:rPr>
          </w:pPr>
          <w:r>
            <w:rPr>
              <w:b/>
              <w:spacing w:val="20"/>
              <w:sz w:val="14"/>
            </w:rPr>
            <w:t>Gwydir river system Selected Area 2015-16 Appendix K: Waterbird Diversity</w:t>
          </w:r>
        </w:p>
      </w:tc>
    </w:tr>
  </w:tbl>
  <w:p w:rsidR="00EA54D5" w:rsidRPr="001179DC" w:rsidRDefault="00EA54D5" w:rsidP="001179DC">
    <w:pPr>
      <w:pStyle w:val="Header"/>
      <w:spacing w:after="0" w:line="240" w:lineRule="auto"/>
      <w:rPr>
        <w:sz w:val="16"/>
        <w:szCs w:val="16"/>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8"/>
    </w:tblGrid>
    <w:tr w:rsidR="00EA54D5" w:rsidRPr="00B65EE3" w:rsidTr="00E23B8D">
      <w:trPr>
        <w:trHeight w:val="278"/>
      </w:trPr>
      <w:tc>
        <w:tcPr>
          <w:tcW w:w="5000" w:type="pct"/>
        </w:tcPr>
        <w:p w:rsidR="00EA54D5" w:rsidRPr="00B65EE3" w:rsidRDefault="00EA54D5" w:rsidP="00E23B8D">
          <w:pPr>
            <w:widowControl w:val="0"/>
            <w:spacing w:before="80" w:after="0" w:line="240" w:lineRule="auto"/>
            <w:jc w:val="right"/>
            <w:rPr>
              <w:spacing w:val="20"/>
              <w:sz w:val="14"/>
            </w:rPr>
          </w:pPr>
          <w:r>
            <w:rPr>
              <w:b/>
              <w:spacing w:val="20"/>
              <w:sz w:val="14"/>
            </w:rPr>
            <w:t>Gwydir river system Selected Area 2015-16 Appendix K: Waterbird Diversity</w:t>
          </w:r>
        </w:p>
      </w:tc>
    </w:tr>
  </w:tbl>
  <w:p w:rsidR="00EA54D5" w:rsidRPr="001179DC" w:rsidRDefault="00EA54D5" w:rsidP="001179DC">
    <w:pPr>
      <w:pStyle w:val="Header"/>
      <w:spacing w:after="0" w:line="240" w:lineRule="auto"/>
      <w:rPr>
        <w:sz w:val="16"/>
        <w:szCs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8"/>
    </w:tblGrid>
    <w:tr w:rsidR="00EA54D5" w:rsidRPr="00B65EE3" w:rsidTr="004F411E">
      <w:trPr>
        <w:trHeight w:val="340"/>
      </w:trPr>
      <w:tc>
        <w:tcPr>
          <w:tcW w:w="5000" w:type="pct"/>
        </w:tcPr>
        <w:p w:rsidR="00EA54D5" w:rsidRPr="00B65EE3" w:rsidRDefault="00EA54D5" w:rsidP="009273DA">
          <w:pPr>
            <w:widowControl w:val="0"/>
            <w:spacing w:before="80" w:after="0" w:line="240" w:lineRule="auto"/>
            <w:ind w:right="-108"/>
            <w:jc w:val="right"/>
            <w:rPr>
              <w:spacing w:val="20"/>
              <w:sz w:val="14"/>
            </w:rPr>
          </w:pPr>
          <w:r>
            <w:rPr>
              <w:b/>
              <w:spacing w:val="20"/>
              <w:sz w:val="14"/>
            </w:rPr>
            <w:t>Gwydir river system Selected Area 2015-16 Appendix A</w:t>
          </w:r>
          <w:r w:rsidRPr="00480B7E">
            <w:rPr>
              <w:b/>
              <w:spacing w:val="20"/>
              <w:sz w:val="14"/>
            </w:rPr>
            <w:t>:</w:t>
          </w:r>
          <w:r>
            <w:rPr>
              <w:b/>
              <w:spacing w:val="20"/>
              <w:sz w:val="14"/>
            </w:rPr>
            <w:t xml:space="preserve"> Hydrology (River)</w:t>
          </w:r>
        </w:p>
      </w:tc>
    </w:tr>
  </w:tbl>
  <w:p w:rsidR="00EA54D5" w:rsidRPr="001179DC" w:rsidRDefault="00EA54D5" w:rsidP="00164E48">
    <w:pPr>
      <w:pStyle w:val="Header"/>
      <w:spacing w:after="0" w:line="240" w:lineRule="auto"/>
      <w:rPr>
        <w:sz w:val="16"/>
        <w:szCs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8"/>
    </w:tblGrid>
    <w:tr w:rsidR="00EA54D5" w:rsidRPr="00B65EE3" w:rsidTr="007A0923">
      <w:trPr>
        <w:trHeight w:val="340"/>
      </w:trPr>
      <w:tc>
        <w:tcPr>
          <w:tcW w:w="5000" w:type="pct"/>
        </w:tcPr>
        <w:p w:rsidR="00EA54D5" w:rsidRPr="00B65EE3" w:rsidRDefault="00EA54D5" w:rsidP="003D0741">
          <w:pPr>
            <w:widowControl w:val="0"/>
            <w:spacing w:before="80" w:after="0" w:line="240" w:lineRule="auto"/>
            <w:ind w:right="-108"/>
            <w:jc w:val="right"/>
            <w:rPr>
              <w:spacing w:val="20"/>
              <w:sz w:val="14"/>
            </w:rPr>
          </w:pPr>
          <w:r>
            <w:rPr>
              <w:b/>
              <w:spacing w:val="20"/>
              <w:sz w:val="14"/>
            </w:rPr>
            <w:t>Gwydir river system Selected Area 2015-16 Appendix B</w:t>
          </w:r>
          <w:r w:rsidRPr="00480B7E">
            <w:rPr>
              <w:b/>
              <w:spacing w:val="20"/>
              <w:sz w:val="14"/>
            </w:rPr>
            <w:t>:</w:t>
          </w:r>
          <w:r>
            <w:rPr>
              <w:b/>
              <w:spacing w:val="20"/>
              <w:sz w:val="14"/>
            </w:rPr>
            <w:t xml:space="preserve"> Hydrology (Watercourse)</w:t>
          </w:r>
        </w:p>
      </w:tc>
    </w:tr>
  </w:tbl>
  <w:p w:rsidR="00EA54D5" w:rsidRPr="001179DC" w:rsidRDefault="00EA54D5" w:rsidP="001179DC">
    <w:pPr>
      <w:pStyle w:val="Header"/>
      <w:spacing w:after="0" w:line="240" w:lineRule="auto"/>
      <w:rPr>
        <w:sz w:val="16"/>
        <w:szCs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124" w:type="dxa"/>
      <w:tblInd w:w="-90" w:type="dxa"/>
      <w:tblBorders>
        <w:bottom w:val="single" w:sz="4" w:space="0" w:color="auto"/>
      </w:tblBorders>
      <w:tblLook w:val="00A0" w:firstRow="1" w:lastRow="0" w:firstColumn="1" w:lastColumn="0" w:noHBand="0" w:noVBand="0"/>
    </w:tblPr>
    <w:tblGrid>
      <w:gridCol w:w="14124"/>
    </w:tblGrid>
    <w:tr w:rsidR="00EA54D5" w:rsidRPr="00B65EE3" w:rsidTr="00E23B8D">
      <w:trPr>
        <w:trHeight w:val="563"/>
      </w:trPr>
      <w:tc>
        <w:tcPr>
          <w:tcW w:w="14124" w:type="dxa"/>
          <w:vAlign w:val="bottom"/>
        </w:tcPr>
        <w:p w:rsidR="00EA54D5" w:rsidRPr="00B65EE3" w:rsidRDefault="00EA54D5" w:rsidP="00E23B8D">
          <w:pPr>
            <w:widowControl w:val="0"/>
            <w:tabs>
              <w:tab w:val="left" w:pos="1140"/>
              <w:tab w:val="right" w:pos="14016"/>
            </w:tabs>
            <w:spacing w:before="80" w:after="0" w:line="276" w:lineRule="auto"/>
            <w:ind w:right="-108"/>
            <w:jc w:val="right"/>
            <w:rPr>
              <w:spacing w:val="20"/>
              <w:sz w:val="14"/>
            </w:rPr>
          </w:pPr>
          <w:r>
            <w:rPr>
              <w:b/>
              <w:spacing w:val="20"/>
              <w:sz w:val="14"/>
            </w:rPr>
            <w:tab/>
          </w:r>
          <w:r>
            <w:rPr>
              <w:b/>
              <w:spacing w:val="20"/>
              <w:sz w:val="14"/>
            </w:rPr>
            <w:tab/>
            <w:t>Gwydir river system Selected Area 2015-16 Appendix B: Hydrology (Watercourse)</w:t>
          </w:r>
        </w:p>
      </w:tc>
    </w:tr>
  </w:tbl>
  <w:p w:rsidR="00EA54D5" w:rsidRPr="001179DC" w:rsidRDefault="00EA54D5" w:rsidP="001179DC">
    <w:pPr>
      <w:pStyle w:val="Header"/>
      <w:spacing w:after="0" w:line="240" w:lineRule="auto"/>
      <w:rPr>
        <w:sz w:val="16"/>
        <w:szCs w:val="16"/>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8"/>
    </w:tblGrid>
    <w:tr w:rsidR="00EA54D5" w:rsidRPr="00B65EE3" w:rsidTr="007A0923">
      <w:trPr>
        <w:trHeight w:val="340"/>
      </w:trPr>
      <w:tc>
        <w:tcPr>
          <w:tcW w:w="5000" w:type="pct"/>
        </w:tcPr>
        <w:p w:rsidR="00EA54D5" w:rsidRPr="00B65EE3" w:rsidRDefault="00EA54D5" w:rsidP="00480B7E">
          <w:pPr>
            <w:widowControl w:val="0"/>
            <w:spacing w:before="80" w:after="0" w:line="240" w:lineRule="auto"/>
            <w:ind w:right="-108"/>
            <w:jc w:val="right"/>
            <w:rPr>
              <w:spacing w:val="20"/>
              <w:sz w:val="14"/>
            </w:rPr>
          </w:pPr>
          <w:r>
            <w:rPr>
              <w:b/>
              <w:spacing w:val="20"/>
              <w:sz w:val="14"/>
            </w:rPr>
            <w:t>Gwydir river system Selected Area 2015-16 Appendix B: Hydrology (Watercourse)</w:t>
          </w:r>
        </w:p>
      </w:tc>
    </w:tr>
  </w:tbl>
  <w:p w:rsidR="00EA54D5" w:rsidRPr="001179DC" w:rsidRDefault="00EA54D5" w:rsidP="001179DC">
    <w:pPr>
      <w:pStyle w:val="Header"/>
      <w:spacing w:after="0" w:line="240" w:lineRule="auto"/>
      <w:rPr>
        <w:sz w:val="16"/>
        <w:szCs w:val="16"/>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4140"/>
    </w:tblGrid>
    <w:tr w:rsidR="00EA54D5" w:rsidRPr="00B65EE3" w:rsidTr="005527ED">
      <w:trPr>
        <w:trHeight w:val="309"/>
      </w:trPr>
      <w:tc>
        <w:tcPr>
          <w:tcW w:w="5000" w:type="pct"/>
        </w:tcPr>
        <w:p w:rsidR="00EA54D5" w:rsidRPr="00B65EE3" w:rsidRDefault="00EA54D5" w:rsidP="00480B7E">
          <w:pPr>
            <w:widowControl w:val="0"/>
            <w:spacing w:before="80" w:after="0" w:line="240" w:lineRule="auto"/>
            <w:ind w:right="-108"/>
            <w:jc w:val="right"/>
            <w:rPr>
              <w:spacing w:val="20"/>
              <w:sz w:val="14"/>
            </w:rPr>
          </w:pPr>
          <w:r>
            <w:rPr>
              <w:b/>
              <w:spacing w:val="20"/>
              <w:sz w:val="14"/>
            </w:rPr>
            <w:t>Gwydir river system Selected Area 2015-16 Appendix B: Hydrology (Watercourse)</w:t>
          </w:r>
        </w:p>
      </w:tc>
    </w:tr>
  </w:tbl>
  <w:p w:rsidR="00EA54D5" w:rsidRPr="001179DC" w:rsidRDefault="00EA54D5" w:rsidP="001179DC">
    <w:pPr>
      <w:pStyle w:val="Header"/>
      <w:spacing w:after="0" w:line="240" w:lineRule="auto"/>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75B98"/>
    <w:multiLevelType w:val="hybridMultilevel"/>
    <w:tmpl w:val="C81C6AA6"/>
    <w:lvl w:ilvl="0" w:tplc="E012B52C">
      <w:start w:val="1"/>
      <w:numFmt w:val="bullet"/>
      <w:pStyle w:val="Bullets2"/>
      <w:lvlText w:val="o"/>
      <w:lvlJc w:val="left"/>
      <w:pPr>
        <w:ind w:left="927" w:hanging="360"/>
      </w:pPr>
      <w:rPr>
        <w:rFonts w:ascii="Courier New" w:hAnsi="Courier New" w:cs="Courier New"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FB234F3"/>
    <w:multiLevelType w:val="multilevel"/>
    <w:tmpl w:val="CC3CA278"/>
    <w:styleLink w:val="AppendixHeadings"/>
    <w:lvl w:ilvl="0">
      <w:start w:val="1"/>
      <w:numFmt w:val="upperLetter"/>
      <w:lvlText w:val="Appendix %1"/>
      <w:lvlJc w:val="left"/>
      <w:pPr>
        <w:ind w:left="1960" w:hanging="360"/>
      </w:pPr>
      <w:rPr>
        <w:rFonts w:ascii="Arial" w:hAnsi="Arial" w:cs="Times New Roman" w:hint="default"/>
        <w:b w:val="0"/>
        <w:bCs w:val="0"/>
        <w:i w:val="0"/>
        <w:iCs w:val="0"/>
        <w:caps w:val="0"/>
        <w:smallCaps w:val="0"/>
        <w:strike w:val="0"/>
        <w:dstrike w:val="0"/>
        <w:noProof w:val="0"/>
        <w:vanish w:val="0"/>
        <w:color w:val="000000"/>
        <w:spacing w:val="0"/>
        <w:kern w:val="0"/>
        <w:position w:val="0"/>
        <w:sz w:val="28"/>
        <w:u w:val="none"/>
        <w:vertAlign w:val="baseline"/>
        <w:em w:val="none"/>
      </w:rPr>
    </w:lvl>
    <w:lvl w:ilvl="1">
      <w:start w:val="1"/>
      <w:numFmt w:val="decimal"/>
      <w:lvlText w:val="%1.%2"/>
      <w:lvlJc w:val="left"/>
      <w:pPr>
        <w:ind w:left="320" w:hanging="360"/>
      </w:pPr>
      <w:rPr>
        <w:rFonts w:ascii="Arial" w:hAnsi="Arial" w:hint="default"/>
        <w:sz w:val="20"/>
      </w:rPr>
    </w:lvl>
    <w:lvl w:ilvl="2">
      <w:start w:val="1"/>
      <w:numFmt w:val="lowerRoman"/>
      <w:lvlText w:val="%3."/>
      <w:lvlJc w:val="right"/>
      <w:pPr>
        <w:ind w:left="1040" w:hanging="180"/>
      </w:pPr>
      <w:rPr>
        <w:rFonts w:ascii="Arial" w:hAnsi="Arial" w:hint="default"/>
        <w:b/>
        <w:sz w:val="20"/>
      </w:rPr>
    </w:lvl>
    <w:lvl w:ilvl="3">
      <w:start w:val="1"/>
      <w:numFmt w:val="decimal"/>
      <w:lvlText w:val="%4."/>
      <w:lvlJc w:val="left"/>
      <w:pPr>
        <w:ind w:left="1760" w:hanging="360"/>
      </w:pPr>
      <w:rPr>
        <w:rFonts w:hint="default"/>
      </w:rPr>
    </w:lvl>
    <w:lvl w:ilvl="4">
      <w:start w:val="1"/>
      <w:numFmt w:val="lowerLetter"/>
      <w:lvlText w:val="%5."/>
      <w:lvlJc w:val="left"/>
      <w:pPr>
        <w:ind w:left="2480" w:hanging="360"/>
      </w:pPr>
      <w:rPr>
        <w:rFonts w:hint="default"/>
      </w:rPr>
    </w:lvl>
    <w:lvl w:ilvl="5">
      <w:start w:val="1"/>
      <w:numFmt w:val="lowerRoman"/>
      <w:lvlText w:val="%6."/>
      <w:lvlJc w:val="right"/>
      <w:pPr>
        <w:ind w:left="3200" w:hanging="180"/>
      </w:pPr>
      <w:rPr>
        <w:rFonts w:hint="default"/>
      </w:rPr>
    </w:lvl>
    <w:lvl w:ilvl="6">
      <w:start w:val="1"/>
      <w:numFmt w:val="decimal"/>
      <w:lvlText w:val="%7."/>
      <w:lvlJc w:val="left"/>
      <w:pPr>
        <w:ind w:left="3920" w:hanging="360"/>
      </w:pPr>
      <w:rPr>
        <w:rFonts w:hint="default"/>
      </w:rPr>
    </w:lvl>
    <w:lvl w:ilvl="7">
      <w:start w:val="1"/>
      <w:numFmt w:val="lowerLetter"/>
      <w:lvlText w:val="%8."/>
      <w:lvlJc w:val="left"/>
      <w:pPr>
        <w:ind w:left="4640" w:hanging="360"/>
      </w:pPr>
      <w:rPr>
        <w:rFonts w:hint="default"/>
      </w:rPr>
    </w:lvl>
    <w:lvl w:ilvl="8">
      <w:start w:val="1"/>
      <w:numFmt w:val="lowerRoman"/>
      <w:lvlText w:val="%9."/>
      <w:lvlJc w:val="right"/>
      <w:pPr>
        <w:ind w:left="5360" w:hanging="180"/>
      </w:pPr>
      <w:rPr>
        <w:rFonts w:hint="default"/>
      </w:rPr>
    </w:lvl>
  </w:abstractNum>
  <w:abstractNum w:abstractNumId="2" w15:restartNumberingAfterBreak="0">
    <w:nsid w:val="26E26BC3"/>
    <w:multiLevelType w:val="multilevel"/>
    <w:tmpl w:val="FB626AB8"/>
    <w:styleLink w:val="Style1"/>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A5B1CB5"/>
    <w:multiLevelType w:val="hybridMultilevel"/>
    <w:tmpl w:val="485086F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15:restartNumberingAfterBreak="0">
    <w:nsid w:val="45477344"/>
    <w:multiLevelType w:val="multilevel"/>
    <w:tmpl w:val="16CE21C2"/>
    <w:lvl w:ilvl="0">
      <w:start w:val="1"/>
      <w:numFmt w:val="decimal"/>
      <w:pStyle w:val="ChapterTitle-FinalReport"/>
      <w:lvlText w:val="%1."/>
      <w:lvlJc w:val="left"/>
      <w:pPr>
        <w:tabs>
          <w:tab w:val="num" w:pos="1134"/>
        </w:tabs>
        <w:ind w:left="1134" w:hanging="1134"/>
      </w:pPr>
      <w:rPr>
        <w:rFonts w:ascii="Times New Roman" w:hAnsi="Times New Roman" w:hint="default"/>
        <w:b/>
        <w:i w:val="0"/>
        <w:sz w:val="28"/>
      </w:rPr>
    </w:lvl>
    <w:lvl w:ilvl="1">
      <w:start w:val="1"/>
      <w:numFmt w:val="decimal"/>
      <w:pStyle w:val="SubHeading1-FinalReport"/>
      <w:lvlText w:val="%1.%2."/>
      <w:lvlJc w:val="left"/>
      <w:pPr>
        <w:tabs>
          <w:tab w:val="num" w:pos="1276"/>
        </w:tabs>
        <w:ind w:left="1276" w:hanging="1134"/>
      </w:pPr>
      <w:rPr>
        <w:rFonts w:ascii="Times New Roman" w:hAnsi="Times New Roman" w:hint="default"/>
        <w:b/>
        <w:i w:val="0"/>
        <w:sz w:val="22"/>
      </w:rPr>
    </w:lvl>
    <w:lvl w:ilvl="2">
      <w:start w:val="1"/>
      <w:numFmt w:val="decimal"/>
      <w:pStyle w:val="SubHeading2-FinalReport"/>
      <w:lvlText w:val="%1.%2.%3."/>
      <w:lvlJc w:val="left"/>
      <w:pPr>
        <w:tabs>
          <w:tab w:val="num" w:pos="1560"/>
        </w:tabs>
        <w:ind w:left="1560" w:hanging="1134"/>
      </w:pPr>
      <w:rPr>
        <w:rFonts w:ascii="Times New Roman" w:hAnsi="Times New Roman" w:hint="default"/>
        <w:b/>
        <w:i/>
        <w:sz w:val="22"/>
      </w:rPr>
    </w:lvl>
    <w:lvl w:ilvl="3">
      <w:start w:val="1"/>
      <w:numFmt w:val="decimal"/>
      <w:pStyle w:val="SubHeading3-FinalReport"/>
      <w:lvlText w:val="%1.%2.%3.%4."/>
      <w:lvlJc w:val="left"/>
      <w:pPr>
        <w:tabs>
          <w:tab w:val="num" w:pos="1134"/>
        </w:tabs>
        <w:ind w:left="1134" w:hanging="113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4F581AC7"/>
    <w:multiLevelType w:val="hybridMultilevel"/>
    <w:tmpl w:val="E6F291E0"/>
    <w:lvl w:ilvl="0" w:tplc="B8E4A890">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FDB4B9E"/>
    <w:multiLevelType w:val="hybridMultilevel"/>
    <w:tmpl w:val="3044E986"/>
    <w:lvl w:ilvl="0" w:tplc="621659FA">
      <w:start w:val="1"/>
      <w:numFmt w:val="upperLetter"/>
      <w:pStyle w:val="AppendixHeading"/>
      <w:lvlText w:val="Appendix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8235B82"/>
    <w:multiLevelType w:val="multilevel"/>
    <w:tmpl w:val="6ED45CA2"/>
    <w:lvl w:ilvl="0">
      <w:start w:val="1"/>
      <w:numFmt w:val="upperLetter"/>
      <w:pStyle w:val="AppendixHeading0"/>
      <w:suff w:val="space"/>
      <w:lvlText w:val="Appendix %1"/>
      <w:lvlJc w:val="left"/>
      <w:pPr>
        <w:ind w:left="1151" w:hanging="1151"/>
      </w:pPr>
      <w:rPr>
        <w:rFonts w:ascii="Arial" w:hAnsi="Arial" w:hint="default"/>
        <w:b w:val="0"/>
        <w:i w:val="0"/>
        <w:sz w:val="4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upperLetter"/>
      <w:lvlRestart w:val="0"/>
      <w:suff w:val="space"/>
      <w:lvlText w:val="Appendix %6"/>
      <w:lvlJc w:val="left"/>
      <w:pPr>
        <w:ind w:left="1151" w:hanging="1151"/>
      </w:pPr>
      <w:rPr>
        <w:rFonts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start w:val="1"/>
      <w:numFmt w:val="decimal"/>
      <w:suff w:val="space"/>
      <w:lvlText w:val="%6.%7"/>
      <w:lvlJc w:val="left"/>
      <w:pPr>
        <w:ind w:left="1298" w:hanging="1298"/>
      </w:pPr>
      <w:rPr>
        <w:rFonts w:hint="default"/>
      </w:rPr>
    </w:lvl>
    <w:lvl w:ilvl="7">
      <w:start w:val="1"/>
      <w:numFmt w:val="decimal"/>
      <w:suff w:val="space"/>
      <w:lvlText w:val="%7%6.%8"/>
      <w:lvlJc w:val="left"/>
      <w:pPr>
        <w:ind w:left="1298" w:hanging="1298"/>
      </w:pPr>
      <w:rPr>
        <w:rFonts w:hint="default"/>
      </w:rPr>
    </w:lvl>
    <w:lvl w:ilvl="8">
      <w:start w:val="1"/>
      <w:numFmt w:val="lowerRoman"/>
      <w:lvlText w:val="%9."/>
      <w:lvlJc w:val="right"/>
      <w:pPr>
        <w:ind w:left="6480" w:hanging="180"/>
      </w:pPr>
      <w:rPr>
        <w:rFonts w:hint="default"/>
      </w:rPr>
    </w:lvl>
  </w:abstractNum>
  <w:abstractNum w:abstractNumId="8" w15:restartNumberingAfterBreak="0">
    <w:nsid w:val="6C4E2D07"/>
    <w:multiLevelType w:val="hybridMultilevel"/>
    <w:tmpl w:val="07BC3698"/>
    <w:lvl w:ilvl="0" w:tplc="40A44D0A">
      <w:start w:val="1"/>
      <w:numFmt w:val="lowerLetter"/>
      <w:lvlText w:val="(%1)"/>
      <w:lvlJc w:val="left"/>
      <w:pPr>
        <w:ind w:left="252" w:hanging="360"/>
      </w:pPr>
      <w:rPr>
        <w:rFonts w:hint="default"/>
      </w:rPr>
    </w:lvl>
    <w:lvl w:ilvl="1" w:tplc="0C090019" w:tentative="1">
      <w:start w:val="1"/>
      <w:numFmt w:val="lowerLetter"/>
      <w:lvlText w:val="%2."/>
      <w:lvlJc w:val="left"/>
      <w:pPr>
        <w:ind w:left="972" w:hanging="360"/>
      </w:pPr>
    </w:lvl>
    <w:lvl w:ilvl="2" w:tplc="0C09001B" w:tentative="1">
      <w:start w:val="1"/>
      <w:numFmt w:val="lowerRoman"/>
      <w:lvlText w:val="%3."/>
      <w:lvlJc w:val="right"/>
      <w:pPr>
        <w:ind w:left="1692" w:hanging="180"/>
      </w:pPr>
    </w:lvl>
    <w:lvl w:ilvl="3" w:tplc="0C09000F" w:tentative="1">
      <w:start w:val="1"/>
      <w:numFmt w:val="decimal"/>
      <w:lvlText w:val="%4."/>
      <w:lvlJc w:val="left"/>
      <w:pPr>
        <w:ind w:left="2412" w:hanging="360"/>
      </w:pPr>
    </w:lvl>
    <w:lvl w:ilvl="4" w:tplc="0C090019" w:tentative="1">
      <w:start w:val="1"/>
      <w:numFmt w:val="lowerLetter"/>
      <w:lvlText w:val="%5."/>
      <w:lvlJc w:val="left"/>
      <w:pPr>
        <w:ind w:left="3132" w:hanging="360"/>
      </w:pPr>
    </w:lvl>
    <w:lvl w:ilvl="5" w:tplc="0C09001B" w:tentative="1">
      <w:start w:val="1"/>
      <w:numFmt w:val="lowerRoman"/>
      <w:lvlText w:val="%6."/>
      <w:lvlJc w:val="right"/>
      <w:pPr>
        <w:ind w:left="3852" w:hanging="180"/>
      </w:pPr>
    </w:lvl>
    <w:lvl w:ilvl="6" w:tplc="0C09000F" w:tentative="1">
      <w:start w:val="1"/>
      <w:numFmt w:val="decimal"/>
      <w:lvlText w:val="%7."/>
      <w:lvlJc w:val="left"/>
      <w:pPr>
        <w:ind w:left="4572" w:hanging="360"/>
      </w:pPr>
    </w:lvl>
    <w:lvl w:ilvl="7" w:tplc="0C090019" w:tentative="1">
      <w:start w:val="1"/>
      <w:numFmt w:val="lowerLetter"/>
      <w:lvlText w:val="%8."/>
      <w:lvlJc w:val="left"/>
      <w:pPr>
        <w:ind w:left="5292" w:hanging="360"/>
      </w:pPr>
    </w:lvl>
    <w:lvl w:ilvl="8" w:tplc="0C09001B" w:tentative="1">
      <w:start w:val="1"/>
      <w:numFmt w:val="lowerRoman"/>
      <w:lvlText w:val="%9."/>
      <w:lvlJc w:val="right"/>
      <w:pPr>
        <w:ind w:left="6012" w:hanging="180"/>
      </w:pPr>
    </w:lvl>
  </w:abstractNum>
  <w:abstractNum w:abstractNumId="9" w15:restartNumberingAfterBreak="0">
    <w:nsid w:val="6DBC0DC9"/>
    <w:multiLevelType w:val="hybridMultilevel"/>
    <w:tmpl w:val="812A9344"/>
    <w:lvl w:ilvl="0" w:tplc="5FB07EAE">
      <w:start w:val="1"/>
      <w:numFmt w:val="bullet"/>
      <w:pStyle w:val="Bullets1"/>
      <w:lvlText w:val=""/>
      <w:lvlJc w:val="left"/>
      <w:pPr>
        <w:tabs>
          <w:tab w:val="num" w:pos="720"/>
        </w:tabs>
        <w:ind w:left="720" w:hanging="363"/>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87E5987"/>
    <w:multiLevelType w:val="hybridMultilevel"/>
    <w:tmpl w:val="91B07A32"/>
    <w:lvl w:ilvl="0" w:tplc="C85E5A06">
      <w:start w:val="1"/>
      <w:numFmt w:val="decimal"/>
      <w:pStyle w:val="AppTable"/>
      <w:lvlText w:val="B.%1"/>
      <w:lvlJc w:val="left"/>
      <w:pPr>
        <w:ind w:left="720" w:hanging="360"/>
      </w:pPr>
      <w:rPr>
        <w:rFonts w:cs="Times New Roman" w:hint="default"/>
        <w:b w:val="0"/>
        <w:bCs w:val="0"/>
        <w:i w:val="0"/>
        <w:iCs w:val="0"/>
        <w:caps w:val="0"/>
        <w:smallCaps w:val="0"/>
        <w:strike w:val="0"/>
        <w:dstrike w:val="0"/>
        <w:vanish w:val="0"/>
        <w:color w:val="000000"/>
        <w:kern w:val="0"/>
        <w:position w:val="0"/>
        <w:u w:val="none"/>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D2C47E7"/>
    <w:multiLevelType w:val="hybridMultilevel"/>
    <w:tmpl w:val="E35A828A"/>
    <w:lvl w:ilvl="0" w:tplc="49BC250E">
      <w:start w:val="1"/>
      <w:numFmt w:val="decimal"/>
      <w:pStyle w:val="List1"/>
      <w:lvlText w:val="%1."/>
      <w:lvlJc w:val="left"/>
      <w:pPr>
        <w:tabs>
          <w:tab w:val="num" w:pos="720"/>
        </w:tabs>
        <w:ind w:left="720" w:hanging="363"/>
      </w:pPr>
      <w:rPr>
        <w:rFonts w:hint="default"/>
      </w:rPr>
    </w:lvl>
    <w:lvl w:ilvl="1" w:tplc="5492F58C">
      <w:start w:val="1"/>
      <w:numFmt w:val="bullet"/>
      <w:pStyle w:val="Bullets"/>
      <w:lvlText w:val=""/>
      <w:lvlJc w:val="left"/>
      <w:pPr>
        <w:tabs>
          <w:tab w:val="num" w:pos="363"/>
        </w:tabs>
        <w:ind w:left="363" w:hanging="363"/>
      </w:pPr>
      <w:rPr>
        <w:rFonts w:ascii="Symbol" w:hAnsi="Symbol" w:hint="default"/>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DD06061"/>
    <w:multiLevelType w:val="hybridMultilevel"/>
    <w:tmpl w:val="A3C6755A"/>
    <w:lvl w:ilvl="0" w:tplc="86B08060">
      <w:start w:val="1"/>
      <w:numFmt w:val="decimal"/>
      <w:pStyle w:val="TaskHeadings"/>
      <w:lvlText w:val="Task %1 -"/>
      <w:lvlJc w:val="left"/>
      <w:pPr>
        <w:tabs>
          <w:tab w:val="num" w:pos="1080"/>
        </w:tabs>
        <w:ind w:left="360" w:hanging="360"/>
      </w:pPr>
      <w:rPr>
        <w:rFonts w:ascii="Arial" w:hAnsi="Arial" w:cs="Arial" w:hint="default"/>
        <w:b/>
        <w:i w:val="0"/>
        <w:sz w:val="20"/>
        <w:szCs w:val="20"/>
      </w:rPr>
    </w:lvl>
    <w:lvl w:ilvl="1" w:tplc="5492F58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7E0B2F2F"/>
    <w:multiLevelType w:val="multilevel"/>
    <w:tmpl w:val="9BEC5172"/>
    <w:lvl w:ilvl="0">
      <w:start w:val="1"/>
      <w:numFmt w:val="decimal"/>
      <w:pStyle w:val="Heading1"/>
      <w:lvlText w:val="%1"/>
      <w:lvlJc w:val="left"/>
      <w:pPr>
        <w:tabs>
          <w:tab w:val="num" w:pos="1143"/>
        </w:tabs>
        <w:ind w:left="1008" w:hanging="432"/>
      </w:pPr>
      <w:rPr>
        <w:rFonts w:ascii="Arial" w:hAnsi="Arial" w:hint="default"/>
        <w:b/>
        <w:i w:val="0"/>
        <w:sz w:val="28"/>
      </w:rPr>
    </w:lvl>
    <w:lvl w:ilvl="1">
      <w:start w:val="1"/>
      <w:numFmt w:val="decimal"/>
      <w:pStyle w:val="Heading2"/>
      <w:lvlText w:val="%1.%2"/>
      <w:lvlJc w:val="left"/>
      <w:pPr>
        <w:tabs>
          <w:tab w:val="num" w:pos="1152"/>
        </w:tabs>
        <w:ind w:left="1152" w:hanging="576"/>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2">
      <w:start w:val="1"/>
      <w:numFmt w:val="decimal"/>
      <w:pStyle w:val="Heading3"/>
      <w:lvlText w:val="%1.%2.%3"/>
      <w:lvlJc w:val="left"/>
      <w:pPr>
        <w:tabs>
          <w:tab w:val="num" w:pos="1296"/>
        </w:tabs>
        <w:ind w:left="1296" w:hanging="720"/>
      </w:pPr>
      <w:rPr>
        <w:rFonts w:hint="default"/>
      </w:rPr>
    </w:lvl>
    <w:lvl w:ilvl="3">
      <w:start w:val="1"/>
      <w:numFmt w:val="decimal"/>
      <w:lvlText w:val="%1.%2.%3.%4"/>
      <w:lvlJc w:val="left"/>
      <w:pPr>
        <w:tabs>
          <w:tab w:val="num" w:pos="1440"/>
        </w:tabs>
        <w:ind w:left="1440" w:hanging="864"/>
      </w:pPr>
      <w:rPr>
        <w:rFonts w:hint="default"/>
      </w:rPr>
    </w:lvl>
    <w:lvl w:ilvl="4">
      <w:start w:val="1"/>
      <w:numFmt w:val="decimal"/>
      <w:pStyle w:val="Heading5"/>
      <w:lvlText w:val="%1.%2.%3.%4.%5"/>
      <w:lvlJc w:val="left"/>
      <w:pPr>
        <w:tabs>
          <w:tab w:val="num" w:pos="2016"/>
        </w:tabs>
        <w:ind w:left="1584" w:hanging="1008"/>
      </w:pPr>
      <w:rPr>
        <w:rFonts w:hint="default"/>
      </w:rPr>
    </w:lvl>
    <w:lvl w:ilvl="5">
      <w:start w:val="1"/>
      <w:numFmt w:val="upperLetter"/>
      <w:lvlRestart w:val="0"/>
      <w:pStyle w:val="Heading6"/>
      <w:suff w:val="space"/>
      <w:lvlText w:val="Appendix %6"/>
      <w:lvlJc w:val="left"/>
      <w:pPr>
        <w:ind w:left="1151" w:hanging="1151"/>
      </w:pPr>
      <w:rPr>
        <w:b w:val="0"/>
        <w:bCs w:val="0"/>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start w:val="1"/>
      <w:numFmt w:val="decimal"/>
      <w:pStyle w:val="Heading7"/>
      <w:suff w:val="space"/>
      <w:lvlText w:val="%6.%7"/>
      <w:lvlJc w:val="left"/>
      <w:pPr>
        <w:ind w:left="1151" w:hanging="1151"/>
      </w:pPr>
      <w:rPr>
        <w:rFonts w:hint="default"/>
        <w:b w:val="0"/>
      </w:rPr>
    </w:lvl>
    <w:lvl w:ilvl="7">
      <w:start w:val="1"/>
      <w:numFmt w:val="decimal"/>
      <w:pStyle w:val="Heading8"/>
      <w:suff w:val="space"/>
      <w:lvlText w:val="%6.%7.%8"/>
      <w:lvlJc w:val="left"/>
      <w:pPr>
        <w:ind w:left="1298" w:hanging="1298"/>
      </w:pPr>
      <w:rPr>
        <w:rFonts w:hint="default"/>
      </w:rPr>
    </w:lvl>
    <w:lvl w:ilvl="8">
      <w:start w:val="1"/>
      <w:numFmt w:val="decimal"/>
      <w:pStyle w:val="Heading9"/>
      <w:suff w:val="space"/>
      <w:lvlText w:val="%6.%7.%8.%9"/>
      <w:lvlJc w:val="left"/>
      <w:pPr>
        <w:ind w:left="1298" w:hanging="1298"/>
      </w:pPr>
      <w:rPr>
        <w:rFonts w:cs="Times New Roman" w:hint="default"/>
        <w:bCs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4" w15:restartNumberingAfterBreak="0">
    <w:nsid w:val="7E304A8D"/>
    <w:multiLevelType w:val="multilevel"/>
    <w:tmpl w:val="0374F72C"/>
    <w:lvl w:ilvl="0">
      <w:start w:val="1"/>
      <w:numFmt w:val="upperLetter"/>
      <w:pStyle w:val="AppendixHeading1"/>
      <w:lvlText w:val="%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7E5A19F7"/>
    <w:multiLevelType w:val="hybridMultilevel"/>
    <w:tmpl w:val="ABBAA174"/>
    <w:lvl w:ilvl="0" w:tplc="466873CA">
      <w:start w:val="1"/>
      <w:numFmt w:val="bullet"/>
      <w:pStyle w:val="Bullets3"/>
      <w:lvlText w:val="­"/>
      <w:lvlJc w:val="left"/>
      <w:pPr>
        <w:ind w:left="1494"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1"/>
    <w:lvlOverride w:ilvl="0">
      <w:startOverride w:val="1"/>
    </w:lvlOverride>
  </w:num>
  <w:num w:numId="3">
    <w:abstractNumId w:val="9"/>
  </w:num>
  <w:num w:numId="4">
    <w:abstractNumId w:val="0"/>
  </w:num>
  <w:num w:numId="5">
    <w:abstractNumId w:val="15"/>
  </w:num>
  <w:num w:numId="6">
    <w:abstractNumId w:val="10"/>
  </w:num>
  <w:num w:numId="7">
    <w:abstractNumId w:val="2"/>
  </w:num>
  <w:num w:numId="8">
    <w:abstractNumId w:val="14"/>
  </w:num>
  <w:num w:numId="9">
    <w:abstractNumId w:val="7"/>
  </w:num>
  <w:num w:numId="10">
    <w:abstractNumId w:val="3"/>
  </w:num>
  <w:num w:numId="11">
    <w:abstractNumId w:val="12"/>
  </w:num>
  <w:num w:numId="12">
    <w:abstractNumId w:val="5"/>
  </w:num>
  <w:num w:numId="13">
    <w:abstractNumId w:val="1"/>
  </w:num>
  <w:num w:numId="14">
    <w:abstractNumId w:val="6"/>
  </w:num>
  <w:num w:numId="15">
    <w:abstractNumId w:val="4"/>
  </w:num>
  <w:num w:numId="16">
    <w:abstractNumId w:val="13"/>
  </w:num>
  <w:num w:numId="17">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20"/>
  <w:drawingGridHorizontalSpacing w:val="100"/>
  <w:displayHorizontalDrawingGridEvery w:val="0"/>
  <w:displayVerticalDrawingGridEvery w:val="0"/>
  <w:noPunctuationKerning/>
  <w:characterSpacingControl w:val="doNotCompress"/>
  <w:hdrShapeDefaults>
    <o:shapedefaults v:ext="edit" spidmax="307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AE3"/>
    <w:rsid w:val="00000657"/>
    <w:rsid w:val="00002C35"/>
    <w:rsid w:val="00004A63"/>
    <w:rsid w:val="0000579B"/>
    <w:rsid w:val="00010764"/>
    <w:rsid w:val="0001087F"/>
    <w:rsid w:val="00014CC5"/>
    <w:rsid w:val="00021EA3"/>
    <w:rsid w:val="00025D57"/>
    <w:rsid w:val="000332B8"/>
    <w:rsid w:val="00036169"/>
    <w:rsid w:val="00037155"/>
    <w:rsid w:val="00037217"/>
    <w:rsid w:val="0004065E"/>
    <w:rsid w:val="000420F5"/>
    <w:rsid w:val="000501E4"/>
    <w:rsid w:val="00051750"/>
    <w:rsid w:val="00057620"/>
    <w:rsid w:val="0007404C"/>
    <w:rsid w:val="00074AD2"/>
    <w:rsid w:val="00075D83"/>
    <w:rsid w:val="000815A9"/>
    <w:rsid w:val="000826C4"/>
    <w:rsid w:val="000838B3"/>
    <w:rsid w:val="0009729B"/>
    <w:rsid w:val="000A32AE"/>
    <w:rsid w:val="000A5513"/>
    <w:rsid w:val="000B0071"/>
    <w:rsid w:val="000B2FAF"/>
    <w:rsid w:val="000B3A1F"/>
    <w:rsid w:val="000B3A62"/>
    <w:rsid w:val="000B44EA"/>
    <w:rsid w:val="000B52DF"/>
    <w:rsid w:val="000B7890"/>
    <w:rsid w:val="000C3D07"/>
    <w:rsid w:val="000C4331"/>
    <w:rsid w:val="000C6869"/>
    <w:rsid w:val="000C7262"/>
    <w:rsid w:val="000D22A2"/>
    <w:rsid w:val="000D354A"/>
    <w:rsid w:val="000D5DB7"/>
    <w:rsid w:val="000E262E"/>
    <w:rsid w:val="000E2887"/>
    <w:rsid w:val="000E69C6"/>
    <w:rsid w:val="000E74C9"/>
    <w:rsid w:val="000E78C6"/>
    <w:rsid w:val="000E7C3D"/>
    <w:rsid w:val="000F0376"/>
    <w:rsid w:val="000F116A"/>
    <w:rsid w:val="000F12E1"/>
    <w:rsid w:val="000F2098"/>
    <w:rsid w:val="000F3527"/>
    <w:rsid w:val="000F3C87"/>
    <w:rsid w:val="000F50EC"/>
    <w:rsid w:val="000F576E"/>
    <w:rsid w:val="000F6A14"/>
    <w:rsid w:val="001042D9"/>
    <w:rsid w:val="001050D2"/>
    <w:rsid w:val="0011015D"/>
    <w:rsid w:val="00116122"/>
    <w:rsid w:val="001179DC"/>
    <w:rsid w:val="00120614"/>
    <w:rsid w:val="00121311"/>
    <w:rsid w:val="00121321"/>
    <w:rsid w:val="001237F8"/>
    <w:rsid w:val="0013155A"/>
    <w:rsid w:val="001324EF"/>
    <w:rsid w:val="001355A7"/>
    <w:rsid w:val="00136798"/>
    <w:rsid w:val="00137C11"/>
    <w:rsid w:val="00142394"/>
    <w:rsid w:val="00145FB6"/>
    <w:rsid w:val="00152762"/>
    <w:rsid w:val="001528FD"/>
    <w:rsid w:val="00154413"/>
    <w:rsid w:val="001603ED"/>
    <w:rsid w:val="00162E8D"/>
    <w:rsid w:val="001631E1"/>
    <w:rsid w:val="00164E48"/>
    <w:rsid w:val="00171973"/>
    <w:rsid w:val="00172807"/>
    <w:rsid w:val="00176148"/>
    <w:rsid w:val="00176BB7"/>
    <w:rsid w:val="001776DF"/>
    <w:rsid w:val="001807A0"/>
    <w:rsid w:val="001832A5"/>
    <w:rsid w:val="00185253"/>
    <w:rsid w:val="00185A42"/>
    <w:rsid w:val="00187431"/>
    <w:rsid w:val="001902D8"/>
    <w:rsid w:val="00190485"/>
    <w:rsid w:val="00191590"/>
    <w:rsid w:val="001931C7"/>
    <w:rsid w:val="001935A3"/>
    <w:rsid w:val="00196050"/>
    <w:rsid w:val="001A1286"/>
    <w:rsid w:val="001A5C71"/>
    <w:rsid w:val="001A6DD8"/>
    <w:rsid w:val="001A6EE0"/>
    <w:rsid w:val="001B483A"/>
    <w:rsid w:val="001C3C04"/>
    <w:rsid w:val="001C52CE"/>
    <w:rsid w:val="001D0958"/>
    <w:rsid w:val="001D4CEC"/>
    <w:rsid w:val="001D5C06"/>
    <w:rsid w:val="001D69BA"/>
    <w:rsid w:val="001E06DF"/>
    <w:rsid w:val="001E245D"/>
    <w:rsid w:val="001E3CF3"/>
    <w:rsid w:val="001E44F6"/>
    <w:rsid w:val="001E4B9F"/>
    <w:rsid w:val="001E7E1F"/>
    <w:rsid w:val="001F0296"/>
    <w:rsid w:val="001F03DC"/>
    <w:rsid w:val="001F07F2"/>
    <w:rsid w:val="001F5F5A"/>
    <w:rsid w:val="001F7BA2"/>
    <w:rsid w:val="002027B2"/>
    <w:rsid w:val="00203ED0"/>
    <w:rsid w:val="00204859"/>
    <w:rsid w:val="00206EC9"/>
    <w:rsid w:val="00207C59"/>
    <w:rsid w:val="00207C75"/>
    <w:rsid w:val="00210BA8"/>
    <w:rsid w:val="00211D88"/>
    <w:rsid w:val="00212B60"/>
    <w:rsid w:val="00213457"/>
    <w:rsid w:val="0021345C"/>
    <w:rsid w:val="002148D8"/>
    <w:rsid w:val="00215399"/>
    <w:rsid w:val="002159C6"/>
    <w:rsid w:val="00216F84"/>
    <w:rsid w:val="002173FF"/>
    <w:rsid w:val="00220CDD"/>
    <w:rsid w:val="00223954"/>
    <w:rsid w:val="0022463C"/>
    <w:rsid w:val="00227B17"/>
    <w:rsid w:val="0023291D"/>
    <w:rsid w:val="00233D04"/>
    <w:rsid w:val="00234CC4"/>
    <w:rsid w:val="00236F5C"/>
    <w:rsid w:val="002413FD"/>
    <w:rsid w:val="00251C06"/>
    <w:rsid w:val="002554C2"/>
    <w:rsid w:val="002567A8"/>
    <w:rsid w:val="0026165A"/>
    <w:rsid w:val="00262EA9"/>
    <w:rsid w:val="00265A6B"/>
    <w:rsid w:val="00265A98"/>
    <w:rsid w:val="00270B58"/>
    <w:rsid w:val="00272168"/>
    <w:rsid w:val="00281B56"/>
    <w:rsid w:val="0028330A"/>
    <w:rsid w:val="00284F3C"/>
    <w:rsid w:val="00287F76"/>
    <w:rsid w:val="00290A23"/>
    <w:rsid w:val="00290B61"/>
    <w:rsid w:val="00293449"/>
    <w:rsid w:val="00293DA3"/>
    <w:rsid w:val="00295438"/>
    <w:rsid w:val="002A1FB2"/>
    <w:rsid w:val="002A35B5"/>
    <w:rsid w:val="002A4087"/>
    <w:rsid w:val="002A6DE2"/>
    <w:rsid w:val="002B3100"/>
    <w:rsid w:val="002B7DD3"/>
    <w:rsid w:val="002C2046"/>
    <w:rsid w:val="002C5035"/>
    <w:rsid w:val="002C71EB"/>
    <w:rsid w:val="002C7BCB"/>
    <w:rsid w:val="002D0BE6"/>
    <w:rsid w:val="002D479F"/>
    <w:rsid w:val="002E1452"/>
    <w:rsid w:val="002E15E8"/>
    <w:rsid w:val="002E188B"/>
    <w:rsid w:val="002E4746"/>
    <w:rsid w:val="002E69CE"/>
    <w:rsid w:val="002E6DCF"/>
    <w:rsid w:val="002E6E29"/>
    <w:rsid w:val="002F091C"/>
    <w:rsid w:val="002F2342"/>
    <w:rsid w:val="002F56BC"/>
    <w:rsid w:val="002F5C39"/>
    <w:rsid w:val="002F658F"/>
    <w:rsid w:val="00300B61"/>
    <w:rsid w:val="00300D4B"/>
    <w:rsid w:val="00302220"/>
    <w:rsid w:val="003034F5"/>
    <w:rsid w:val="0030438F"/>
    <w:rsid w:val="003046CC"/>
    <w:rsid w:val="00311741"/>
    <w:rsid w:val="00312F1C"/>
    <w:rsid w:val="00313006"/>
    <w:rsid w:val="00314E16"/>
    <w:rsid w:val="00320018"/>
    <w:rsid w:val="00320DC1"/>
    <w:rsid w:val="0032239F"/>
    <w:rsid w:val="00323FA0"/>
    <w:rsid w:val="00324F06"/>
    <w:rsid w:val="0032505A"/>
    <w:rsid w:val="00327D61"/>
    <w:rsid w:val="003311E4"/>
    <w:rsid w:val="003314DF"/>
    <w:rsid w:val="00331814"/>
    <w:rsid w:val="00333F66"/>
    <w:rsid w:val="00335E92"/>
    <w:rsid w:val="00340152"/>
    <w:rsid w:val="00343DB2"/>
    <w:rsid w:val="003468CB"/>
    <w:rsid w:val="00351430"/>
    <w:rsid w:val="00353C11"/>
    <w:rsid w:val="00354522"/>
    <w:rsid w:val="00354DFF"/>
    <w:rsid w:val="00355FB3"/>
    <w:rsid w:val="00360A88"/>
    <w:rsid w:val="00361CF0"/>
    <w:rsid w:val="00364243"/>
    <w:rsid w:val="00365B6B"/>
    <w:rsid w:val="0037158E"/>
    <w:rsid w:val="003744A1"/>
    <w:rsid w:val="00374560"/>
    <w:rsid w:val="00382600"/>
    <w:rsid w:val="003915FE"/>
    <w:rsid w:val="003926A8"/>
    <w:rsid w:val="003942B6"/>
    <w:rsid w:val="00394EC7"/>
    <w:rsid w:val="003956BA"/>
    <w:rsid w:val="00395FB4"/>
    <w:rsid w:val="00396379"/>
    <w:rsid w:val="00397A56"/>
    <w:rsid w:val="003A04A1"/>
    <w:rsid w:val="003A3BC0"/>
    <w:rsid w:val="003A4135"/>
    <w:rsid w:val="003B1878"/>
    <w:rsid w:val="003B1F77"/>
    <w:rsid w:val="003B281B"/>
    <w:rsid w:val="003B3034"/>
    <w:rsid w:val="003B4CE9"/>
    <w:rsid w:val="003B535A"/>
    <w:rsid w:val="003B64BD"/>
    <w:rsid w:val="003C476D"/>
    <w:rsid w:val="003C594F"/>
    <w:rsid w:val="003C601E"/>
    <w:rsid w:val="003C737A"/>
    <w:rsid w:val="003C744D"/>
    <w:rsid w:val="003D0741"/>
    <w:rsid w:val="003D7020"/>
    <w:rsid w:val="003E108C"/>
    <w:rsid w:val="003E1A72"/>
    <w:rsid w:val="003E4D35"/>
    <w:rsid w:val="003E5F87"/>
    <w:rsid w:val="003F0EA5"/>
    <w:rsid w:val="003F21F4"/>
    <w:rsid w:val="003F257A"/>
    <w:rsid w:val="003F50DC"/>
    <w:rsid w:val="003F7E6E"/>
    <w:rsid w:val="00401294"/>
    <w:rsid w:val="00407C88"/>
    <w:rsid w:val="00407D7A"/>
    <w:rsid w:val="00413AB8"/>
    <w:rsid w:val="00413DEA"/>
    <w:rsid w:val="00414C1C"/>
    <w:rsid w:val="00415C2F"/>
    <w:rsid w:val="00415F57"/>
    <w:rsid w:val="00416FA7"/>
    <w:rsid w:val="004176FF"/>
    <w:rsid w:val="00417CDE"/>
    <w:rsid w:val="00423C6C"/>
    <w:rsid w:val="0042400B"/>
    <w:rsid w:val="00426200"/>
    <w:rsid w:val="00426457"/>
    <w:rsid w:val="004266FA"/>
    <w:rsid w:val="00433ED5"/>
    <w:rsid w:val="00436C9C"/>
    <w:rsid w:val="00445FB3"/>
    <w:rsid w:val="004465C1"/>
    <w:rsid w:val="00447D72"/>
    <w:rsid w:val="004506C8"/>
    <w:rsid w:val="00453591"/>
    <w:rsid w:val="00462872"/>
    <w:rsid w:val="00465D17"/>
    <w:rsid w:val="004662BD"/>
    <w:rsid w:val="00480B7E"/>
    <w:rsid w:val="00480CE0"/>
    <w:rsid w:val="00483414"/>
    <w:rsid w:val="004874F7"/>
    <w:rsid w:val="0049092F"/>
    <w:rsid w:val="00491CBD"/>
    <w:rsid w:val="00496CED"/>
    <w:rsid w:val="004A1A12"/>
    <w:rsid w:val="004A25A2"/>
    <w:rsid w:val="004B30A8"/>
    <w:rsid w:val="004B36B6"/>
    <w:rsid w:val="004B672C"/>
    <w:rsid w:val="004B7B09"/>
    <w:rsid w:val="004C25D6"/>
    <w:rsid w:val="004C4713"/>
    <w:rsid w:val="004D6A21"/>
    <w:rsid w:val="004D71C6"/>
    <w:rsid w:val="004E06EB"/>
    <w:rsid w:val="004E728F"/>
    <w:rsid w:val="004F1D74"/>
    <w:rsid w:val="004F3A0B"/>
    <w:rsid w:val="004F411E"/>
    <w:rsid w:val="004F5521"/>
    <w:rsid w:val="004F68E6"/>
    <w:rsid w:val="0050355C"/>
    <w:rsid w:val="00505DC7"/>
    <w:rsid w:val="00507A32"/>
    <w:rsid w:val="00511009"/>
    <w:rsid w:val="00515F66"/>
    <w:rsid w:val="00517DB3"/>
    <w:rsid w:val="00523439"/>
    <w:rsid w:val="00523A34"/>
    <w:rsid w:val="00524FA4"/>
    <w:rsid w:val="00533703"/>
    <w:rsid w:val="00533BC2"/>
    <w:rsid w:val="00550B4B"/>
    <w:rsid w:val="00551AC7"/>
    <w:rsid w:val="00551E98"/>
    <w:rsid w:val="005527ED"/>
    <w:rsid w:val="00554FF5"/>
    <w:rsid w:val="005566D8"/>
    <w:rsid w:val="00561C43"/>
    <w:rsid w:val="005646F0"/>
    <w:rsid w:val="00564A43"/>
    <w:rsid w:val="0056539E"/>
    <w:rsid w:val="00565AD2"/>
    <w:rsid w:val="0056725B"/>
    <w:rsid w:val="0056742A"/>
    <w:rsid w:val="00570A27"/>
    <w:rsid w:val="00572716"/>
    <w:rsid w:val="00573B42"/>
    <w:rsid w:val="00574B76"/>
    <w:rsid w:val="005833EF"/>
    <w:rsid w:val="00584342"/>
    <w:rsid w:val="00585491"/>
    <w:rsid w:val="00585E46"/>
    <w:rsid w:val="00585EA4"/>
    <w:rsid w:val="005869C1"/>
    <w:rsid w:val="005879E3"/>
    <w:rsid w:val="00587EE7"/>
    <w:rsid w:val="005911D4"/>
    <w:rsid w:val="00591B7C"/>
    <w:rsid w:val="00593B49"/>
    <w:rsid w:val="005940F9"/>
    <w:rsid w:val="005959FC"/>
    <w:rsid w:val="005A1726"/>
    <w:rsid w:val="005A3ADE"/>
    <w:rsid w:val="005A53B3"/>
    <w:rsid w:val="005A58F7"/>
    <w:rsid w:val="005A68FA"/>
    <w:rsid w:val="005A6A05"/>
    <w:rsid w:val="005B0F2B"/>
    <w:rsid w:val="005B1997"/>
    <w:rsid w:val="005B248D"/>
    <w:rsid w:val="005B2830"/>
    <w:rsid w:val="005B3B6F"/>
    <w:rsid w:val="005B4D3D"/>
    <w:rsid w:val="005B7428"/>
    <w:rsid w:val="005C11E6"/>
    <w:rsid w:val="005C23D7"/>
    <w:rsid w:val="005C4E2F"/>
    <w:rsid w:val="005D07C7"/>
    <w:rsid w:val="005D0CCD"/>
    <w:rsid w:val="005D145A"/>
    <w:rsid w:val="005D17AB"/>
    <w:rsid w:val="005D4453"/>
    <w:rsid w:val="005D5925"/>
    <w:rsid w:val="005E1E2E"/>
    <w:rsid w:val="005E2729"/>
    <w:rsid w:val="005E385A"/>
    <w:rsid w:val="005E7E2D"/>
    <w:rsid w:val="005F23F1"/>
    <w:rsid w:val="006004AC"/>
    <w:rsid w:val="0060071F"/>
    <w:rsid w:val="00603289"/>
    <w:rsid w:val="00605622"/>
    <w:rsid w:val="00605C43"/>
    <w:rsid w:val="0060612E"/>
    <w:rsid w:val="00614391"/>
    <w:rsid w:val="00615FC1"/>
    <w:rsid w:val="006177FD"/>
    <w:rsid w:val="00617870"/>
    <w:rsid w:val="00624F99"/>
    <w:rsid w:val="00625CF5"/>
    <w:rsid w:val="0063086B"/>
    <w:rsid w:val="0063461D"/>
    <w:rsid w:val="00641D46"/>
    <w:rsid w:val="006441F5"/>
    <w:rsid w:val="00644A63"/>
    <w:rsid w:val="0064560A"/>
    <w:rsid w:val="00645BC8"/>
    <w:rsid w:val="00647C26"/>
    <w:rsid w:val="006519A2"/>
    <w:rsid w:val="00655A6E"/>
    <w:rsid w:val="00657B43"/>
    <w:rsid w:val="006606A6"/>
    <w:rsid w:val="00661FD2"/>
    <w:rsid w:val="00662CE0"/>
    <w:rsid w:val="0066370A"/>
    <w:rsid w:val="00667FC0"/>
    <w:rsid w:val="0067313A"/>
    <w:rsid w:val="00673DAF"/>
    <w:rsid w:val="00676889"/>
    <w:rsid w:val="006909A2"/>
    <w:rsid w:val="006937FD"/>
    <w:rsid w:val="006A1C23"/>
    <w:rsid w:val="006A7F22"/>
    <w:rsid w:val="006B10C3"/>
    <w:rsid w:val="006B2D0D"/>
    <w:rsid w:val="006B4093"/>
    <w:rsid w:val="006C0540"/>
    <w:rsid w:val="006C0621"/>
    <w:rsid w:val="006C0AD3"/>
    <w:rsid w:val="006C1473"/>
    <w:rsid w:val="006C1E96"/>
    <w:rsid w:val="006C6C53"/>
    <w:rsid w:val="006D02DA"/>
    <w:rsid w:val="006D355E"/>
    <w:rsid w:val="006D66A2"/>
    <w:rsid w:val="006E0404"/>
    <w:rsid w:val="006E559A"/>
    <w:rsid w:val="006E5ECE"/>
    <w:rsid w:val="006F26E0"/>
    <w:rsid w:val="006F4631"/>
    <w:rsid w:val="006F614E"/>
    <w:rsid w:val="00701613"/>
    <w:rsid w:val="00704E86"/>
    <w:rsid w:val="0070603F"/>
    <w:rsid w:val="00707EF1"/>
    <w:rsid w:val="007119F9"/>
    <w:rsid w:val="00711EE3"/>
    <w:rsid w:val="007141D8"/>
    <w:rsid w:val="00714EAD"/>
    <w:rsid w:val="0071746D"/>
    <w:rsid w:val="007248C1"/>
    <w:rsid w:val="00733403"/>
    <w:rsid w:val="00744167"/>
    <w:rsid w:val="00744677"/>
    <w:rsid w:val="007527DB"/>
    <w:rsid w:val="0075402D"/>
    <w:rsid w:val="007579AD"/>
    <w:rsid w:val="00760605"/>
    <w:rsid w:val="00765894"/>
    <w:rsid w:val="00765D9C"/>
    <w:rsid w:val="00766BF4"/>
    <w:rsid w:val="00767231"/>
    <w:rsid w:val="007712A6"/>
    <w:rsid w:val="007723C7"/>
    <w:rsid w:val="00773C47"/>
    <w:rsid w:val="00774E47"/>
    <w:rsid w:val="00780059"/>
    <w:rsid w:val="007806AB"/>
    <w:rsid w:val="007809DC"/>
    <w:rsid w:val="0078480F"/>
    <w:rsid w:val="007865BF"/>
    <w:rsid w:val="0078797B"/>
    <w:rsid w:val="007908D9"/>
    <w:rsid w:val="00793D01"/>
    <w:rsid w:val="007A084F"/>
    <w:rsid w:val="007A0923"/>
    <w:rsid w:val="007A3B97"/>
    <w:rsid w:val="007A4B16"/>
    <w:rsid w:val="007B0419"/>
    <w:rsid w:val="007B0928"/>
    <w:rsid w:val="007B4657"/>
    <w:rsid w:val="007B5094"/>
    <w:rsid w:val="007B5237"/>
    <w:rsid w:val="007C2E04"/>
    <w:rsid w:val="007C31B7"/>
    <w:rsid w:val="007C538C"/>
    <w:rsid w:val="007C6DFA"/>
    <w:rsid w:val="007C77D8"/>
    <w:rsid w:val="007D2398"/>
    <w:rsid w:val="007D5652"/>
    <w:rsid w:val="007D70C7"/>
    <w:rsid w:val="007E7548"/>
    <w:rsid w:val="007F0E7C"/>
    <w:rsid w:val="007F4797"/>
    <w:rsid w:val="007F49F9"/>
    <w:rsid w:val="007F7252"/>
    <w:rsid w:val="00816A1A"/>
    <w:rsid w:val="00820BFD"/>
    <w:rsid w:val="00822779"/>
    <w:rsid w:val="00827AB8"/>
    <w:rsid w:val="00831265"/>
    <w:rsid w:val="00831F60"/>
    <w:rsid w:val="0083381F"/>
    <w:rsid w:val="00833B2A"/>
    <w:rsid w:val="00842358"/>
    <w:rsid w:val="00843657"/>
    <w:rsid w:val="00845538"/>
    <w:rsid w:val="008467D5"/>
    <w:rsid w:val="00851767"/>
    <w:rsid w:val="008545DE"/>
    <w:rsid w:val="00855207"/>
    <w:rsid w:val="00855991"/>
    <w:rsid w:val="00856817"/>
    <w:rsid w:val="00862795"/>
    <w:rsid w:val="00870125"/>
    <w:rsid w:val="00870C7A"/>
    <w:rsid w:val="008718D0"/>
    <w:rsid w:val="008736B0"/>
    <w:rsid w:val="00875190"/>
    <w:rsid w:val="0087678D"/>
    <w:rsid w:val="008768E2"/>
    <w:rsid w:val="00877ED2"/>
    <w:rsid w:val="0088041D"/>
    <w:rsid w:val="00882F6D"/>
    <w:rsid w:val="008856EF"/>
    <w:rsid w:val="00892217"/>
    <w:rsid w:val="00892AA2"/>
    <w:rsid w:val="00896F3B"/>
    <w:rsid w:val="008979DC"/>
    <w:rsid w:val="00897AC5"/>
    <w:rsid w:val="008A4454"/>
    <w:rsid w:val="008B621D"/>
    <w:rsid w:val="008B63BA"/>
    <w:rsid w:val="008B7094"/>
    <w:rsid w:val="008C1338"/>
    <w:rsid w:val="008C6DBC"/>
    <w:rsid w:val="008C70F2"/>
    <w:rsid w:val="008D10FD"/>
    <w:rsid w:val="008D17DE"/>
    <w:rsid w:val="008D3572"/>
    <w:rsid w:val="008D4BCB"/>
    <w:rsid w:val="008D5D72"/>
    <w:rsid w:val="008D7795"/>
    <w:rsid w:val="008E049F"/>
    <w:rsid w:val="008E064B"/>
    <w:rsid w:val="008E212B"/>
    <w:rsid w:val="008E2ACC"/>
    <w:rsid w:val="008F41D7"/>
    <w:rsid w:val="00903A79"/>
    <w:rsid w:val="00905710"/>
    <w:rsid w:val="00911153"/>
    <w:rsid w:val="00912D6F"/>
    <w:rsid w:val="009158FE"/>
    <w:rsid w:val="00916C5E"/>
    <w:rsid w:val="0091712C"/>
    <w:rsid w:val="0092387A"/>
    <w:rsid w:val="009245EF"/>
    <w:rsid w:val="00924E7A"/>
    <w:rsid w:val="00926446"/>
    <w:rsid w:val="009273DA"/>
    <w:rsid w:val="00930817"/>
    <w:rsid w:val="00932C31"/>
    <w:rsid w:val="00933886"/>
    <w:rsid w:val="00934171"/>
    <w:rsid w:val="009350B0"/>
    <w:rsid w:val="0094377C"/>
    <w:rsid w:val="00943C9E"/>
    <w:rsid w:val="00947836"/>
    <w:rsid w:val="00950FAC"/>
    <w:rsid w:val="009524AD"/>
    <w:rsid w:val="009564E9"/>
    <w:rsid w:val="009628C0"/>
    <w:rsid w:val="009637EB"/>
    <w:rsid w:val="009639FB"/>
    <w:rsid w:val="00965A05"/>
    <w:rsid w:val="009671AD"/>
    <w:rsid w:val="00967F3D"/>
    <w:rsid w:val="009721BC"/>
    <w:rsid w:val="009732A2"/>
    <w:rsid w:val="00973D37"/>
    <w:rsid w:val="0097435A"/>
    <w:rsid w:val="009756B4"/>
    <w:rsid w:val="0097626D"/>
    <w:rsid w:val="00980844"/>
    <w:rsid w:val="009931F1"/>
    <w:rsid w:val="009A04D8"/>
    <w:rsid w:val="009A5333"/>
    <w:rsid w:val="009A6B9D"/>
    <w:rsid w:val="009A6ED7"/>
    <w:rsid w:val="009B78DB"/>
    <w:rsid w:val="009C1427"/>
    <w:rsid w:val="009C1DAC"/>
    <w:rsid w:val="009D4B71"/>
    <w:rsid w:val="009D5114"/>
    <w:rsid w:val="009D5F3D"/>
    <w:rsid w:val="009E0782"/>
    <w:rsid w:val="009E0995"/>
    <w:rsid w:val="009E1345"/>
    <w:rsid w:val="009E6337"/>
    <w:rsid w:val="009E7B98"/>
    <w:rsid w:val="009F0217"/>
    <w:rsid w:val="009F26CF"/>
    <w:rsid w:val="009F3165"/>
    <w:rsid w:val="009F3BFA"/>
    <w:rsid w:val="009F73FF"/>
    <w:rsid w:val="00A02B16"/>
    <w:rsid w:val="00A066AC"/>
    <w:rsid w:val="00A23610"/>
    <w:rsid w:val="00A23D06"/>
    <w:rsid w:val="00A26F19"/>
    <w:rsid w:val="00A30319"/>
    <w:rsid w:val="00A33D40"/>
    <w:rsid w:val="00A33F57"/>
    <w:rsid w:val="00A37BEE"/>
    <w:rsid w:val="00A431C2"/>
    <w:rsid w:val="00A5046E"/>
    <w:rsid w:val="00A52CAF"/>
    <w:rsid w:val="00A54C30"/>
    <w:rsid w:val="00A55921"/>
    <w:rsid w:val="00A56ADD"/>
    <w:rsid w:val="00A62B80"/>
    <w:rsid w:val="00A64631"/>
    <w:rsid w:val="00A64AAC"/>
    <w:rsid w:val="00A707D0"/>
    <w:rsid w:val="00A72696"/>
    <w:rsid w:val="00A72BEF"/>
    <w:rsid w:val="00A770DD"/>
    <w:rsid w:val="00A77281"/>
    <w:rsid w:val="00A91486"/>
    <w:rsid w:val="00A925D9"/>
    <w:rsid w:val="00A93175"/>
    <w:rsid w:val="00A94CB9"/>
    <w:rsid w:val="00A9502F"/>
    <w:rsid w:val="00A97349"/>
    <w:rsid w:val="00AA0245"/>
    <w:rsid w:val="00AA0C97"/>
    <w:rsid w:val="00AA1A46"/>
    <w:rsid w:val="00AA4C84"/>
    <w:rsid w:val="00AB2CE2"/>
    <w:rsid w:val="00AB499C"/>
    <w:rsid w:val="00AC406F"/>
    <w:rsid w:val="00AC74E6"/>
    <w:rsid w:val="00AD2F61"/>
    <w:rsid w:val="00AD380A"/>
    <w:rsid w:val="00AD5D39"/>
    <w:rsid w:val="00AD5D78"/>
    <w:rsid w:val="00AD658E"/>
    <w:rsid w:val="00AE2431"/>
    <w:rsid w:val="00AE3FD3"/>
    <w:rsid w:val="00AE41F7"/>
    <w:rsid w:val="00AE6164"/>
    <w:rsid w:val="00AE6478"/>
    <w:rsid w:val="00AF0A50"/>
    <w:rsid w:val="00AF4922"/>
    <w:rsid w:val="00AF618F"/>
    <w:rsid w:val="00B018EE"/>
    <w:rsid w:val="00B0271B"/>
    <w:rsid w:val="00B15BE1"/>
    <w:rsid w:val="00B23C45"/>
    <w:rsid w:val="00B24483"/>
    <w:rsid w:val="00B264ED"/>
    <w:rsid w:val="00B31726"/>
    <w:rsid w:val="00B35CF7"/>
    <w:rsid w:val="00B35ECC"/>
    <w:rsid w:val="00B41C20"/>
    <w:rsid w:val="00B41D15"/>
    <w:rsid w:val="00B423FB"/>
    <w:rsid w:val="00B45A1B"/>
    <w:rsid w:val="00B47CAA"/>
    <w:rsid w:val="00B53BDE"/>
    <w:rsid w:val="00B5476E"/>
    <w:rsid w:val="00B54F75"/>
    <w:rsid w:val="00B6145F"/>
    <w:rsid w:val="00B644B4"/>
    <w:rsid w:val="00B65EE3"/>
    <w:rsid w:val="00B7060D"/>
    <w:rsid w:val="00B70CB1"/>
    <w:rsid w:val="00B74E7B"/>
    <w:rsid w:val="00B77460"/>
    <w:rsid w:val="00B82F20"/>
    <w:rsid w:val="00B83FB4"/>
    <w:rsid w:val="00B87A1F"/>
    <w:rsid w:val="00B91A49"/>
    <w:rsid w:val="00B928E3"/>
    <w:rsid w:val="00B92B66"/>
    <w:rsid w:val="00B9554F"/>
    <w:rsid w:val="00B961B8"/>
    <w:rsid w:val="00B965DC"/>
    <w:rsid w:val="00B97B45"/>
    <w:rsid w:val="00BA2275"/>
    <w:rsid w:val="00BA753D"/>
    <w:rsid w:val="00BB1E60"/>
    <w:rsid w:val="00BB2AF9"/>
    <w:rsid w:val="00BB5505"/>
    <w:rsid w:val="00BB7F34"/>
    <w:rsid w:val="00BC02F8"/>
    <w:rsid w:val="00BC3D22"/>
    <w:rsid w:val="00BC43C9"/>
    <w:rsid w:val="00BC6562"/>
    <w:rsid w:val="00BC7D4D"/>
    <w:rsid w:val="00BD0A55"/>
    <w:rsid w:val="00BD360A"/>
    <w:rsid w:val="00BD3656"/>
    <w:rsid w:val="00BE542F"/>
    <w:rsid w:val="00BE5847"/>
    <w:rsid w:val="00BF2063"/>
    <w:rsid w:val="00BF246E"/>
    <w:rsid w:val="00BF3A75"/>
    <w:rsid w:val="00BF5701"/>
    <w:rsid w:val="00BF6C2B"/>
    <w:rsid w:val="00BF7720"/>
    <w:rsid w:val="00C02454"/>
    <w:rsid w:val="00C0435B"/>
    <w:rsid w:val="00C044B3"/>
    <w:rsid w:val="00C0500E"/>
    <w:rsid w:val="00C11090"/>
    <w:rsid w:val="00C13EFE"/>
    <w:rsid w:val="00C1448F"/>
    <w:rsid w:val="00C146E2"/>
    <w:rsid w:val="00C2050C"/>
    <w:rsid w:val="00C23343"/>
    <w:rsid w:val="00C34A42"/>
    <w:rsid w:val="00C35A7D"/>
    <w:rsid w:val="00C40464"/>
    <w:rsid w:val="00C41410"/>
    <w:rsid w:val="00C420DB"/>
    <w:rsid w:val="00C43A85"/>
    <w:rsid w:val="00C46309"/>
    <w:rsid w:val="00C46513"/>
    <w:rsid w:val="00C717F8"/>
    <w:rsid w:val="00C71D2B"/>
    <w:rsid w:val="00C7228D"/>
    <w:rsid w:val="00C72944"/>
    <w:rsid w:val="00C73355"/>
    <w:rsid w:val="00C7553A"/>
    <w:rsid w:val="00C76179"/>
    <w:rsid w:val="00C76706"/>
    <w:rsid w:val="00C77F44"/>
    <w:rsid w:val="00C80449"/>
    <w:rsid w:val="00C861D1"/>
    <w:rsid w:val="00C86BDA"/>
    <w:rsid w:val="00C91864"/>
    <w:rsid w:val="00C95C8D"/>
    <w:rsid w:val="00C95FFE"/>
    <w:rsid w:val="00C96D6B"/>
    <w:rsid w:val="00C96D82"/>
    <w:rsid w:val="00C97E7A"/>
    <w:rsid w:val="00CA50E7"/>
    <w:rsid w:val="00CB0896"/>
    <w:rsid w:val="00CB5A5F"/>
    <w:rsid w:val="00CC05CB"/>
    <w:rsid w:val="00CC18AA"/>
    <w:rsid w:val="00CC3707"/>
    <w:rsid w:val="00CC4EFA"/>
    <w:rsid w:val="00CC6DF7"/>
    <w:rsid w:val="00CC739E"/>
    <w:rsid w:val="00CD2D1C"/>
    <w:rsid w:val="00CD3111"/>
    <w:rsid w:val="00CD3776"/>
    <w:rsid w:val="00CE1A80"/>
    <w:rsid w:val="00CE62DB"/>
    <w:rsid w:val="00CE6789"/>
    <w:rsid w:val="00CE76EC"/>
    <w:rsid w:val="00CF1FE4"/>
    <w:rsid w:val="00CF65D8"/>
    <w:rsid w:val="00D0144D"/>
    <w:rsid w:val="00D04106"/>
    <w:rsid w:val="00D06319"/>
    <w:rsid w:val="00D11965"/>
    <w:rsid w:val="00D12416"/>
    <w:rsid w:val="00D2088F"/>
    <w:rsid w:val="00D227F8"/>
    <w:rsid w:val="00D2353A"/>
    <w:rsid w:val="00D2629F"/>
    <w:rsid w:val="00D273CA"/>
    <w:rsid w:val="00D304DF"/>
    <w:rsid w:val="00D35294"/>
    <w:rsid w:val="00D43613"/>
    <w:rsid w:val="00D43A1B"/>
    <w:rsid w:val="00D43F70"/>
    <w:rsid w:val="00D5723F"/>
    <w:rsid w:val="00D57FF5"/>
    <w:rsid w:val="00D61EEC"/>
    <w:rsid w:val="00D62FE1"/>
    <w:rsid w:val="00D65359"/>
    <w:rsid w:val="00D66B4C"/>
    <w:rsid w:val="00D70166"/>
    <w:rsid w:val="00D705BC"/>
    <w:rsid w:val="00D74246"/>
    <w:rsid w:val="00D81812"/>
    <w:rsid w:val="00D82B27"/>
    <w:rsid w:val="00D82D0C"/>
    <w:rsid w:val="00D8620C"/>
    <w:rsid w:val="00D92D59"/>
    <w:rsid w:val="00D9351E"/>
    <w:rsid w:val="00D94950"/>
    <w:rsid w:val="00D97D60"/>
    <w:rsid w:val="00DA5A29"/>
    <w:rsid w:val="00DA6C28"/>
    <w:rsid w:val="00DB4624"/>
    <w:rsid w:val="00DB553E"/>
    <w:rsid w:val="00DC0C0F"/>
    <w:rsid w:val="00DC3305"/>
    <w:rsid w:val="00DC40CE"/>
    <w:rsid w:val="00DD3935"/>
    <w:rsid w:val="00DD79F5"/>
    <w:rsid w:val="00DE1C4C"/>
    <w:rsid w:val="00DE3DD8"/>
    <w:rsid w:val="00DE52F2"/>
    <w:rsid w:val="00DF13D6"/>
    <w:rsid w:val="00DF3751"/>
    <w:rsid w:val="00E027E1"/>
    <w:rsid w:val="00E060B9"/>
    <w:rsid w:val="00E1225A"/>
    <w:rsid w:val="00E1296A"/>
    <w:rsid w:val="00E2030D"/>
    <w:rsid w:val="00E220C1"/>
    <w:rsid w:val="00E23B8D"/>
    <w:rsid w:val="00E24A83"/>
    <w:rsid w:val="00E26DF4"/>
    <w:rsid w:val="00E44028"/>
    <w:rsid w:val="00E44ACF"/>
    <w:rsid w:val="00E5070E"/>
    <w:rsid w:val="00E53287"/>
    <w:rsid w:val="00E56555"/>
    <w:rsid w:val="00E568AC"/>
    <w:rsid w:val="00E60B3A"/>
    <w:rsid w:val="00E63576"/>
    <w:rsid w:val="00E64E44"/>
    <w:rsid w:val="00E66264"/>
    <w:rsid w:val="00E66DF3"/>
    <w:rsid w:val="00E6714E"/>
    <w:rsid w:val="00E70E57"/>
    <w:rsid w:val="00E76B59"/>
    <w:rsid w:val="00E809F1"/>
    <w:rsid w:val="00E815D2"/>
    <w:rsid w:val="00E85CB0"/>
    <w:rsid w:val="00E85E93"/>
    <w:rsid w:val="00E86D32"/>
    <w:rsid w:val="00E90864"/>
    <w:rsid w:val="00E90A68"/>
    <w:rsid w:val="00E939F7"/>
    <w:rsid w:val="00E97BFA"/>
    <w:rsid w:val="00EA512A"/>
    <w:rsid w:val="00EA54D5"/>
    <w:rsid w:val="00EA71CF"/>
    <w:rsid w:val="00EB620F"/>
    <w:rsid w:val="00EB762B"/>
    <w:rsid w:val="00ED1012"/>
    <w:rsid w:val="00ED17ED"/>
    <w:rsid w:val="00ED191A"/>
    <w:rsid w:val="00ED3EC9"/>
    <w:rsid w:val="00ED5556"/>
    <w:rsid w:val="00EE0AC4"/>
    <w:rsid w:val="00EE3B6B"/>
    <w:rsid w:val="00EE41DE"/>
    <w:rsid w:val="00EE4C75"/>
    <w:rsid w:val="00EE508C"/>
    <w:rsid w:val="00EE6C7B"/>
    <w:rsid w:val="00EF0B19"/>
    <w:rsid w:val="00EF1AB6"/>
    <w:rsid w:val="00EF6424"/>
    <w:rsid w:val="00EF6B1E"/>
    <w:rsid w:val="00EF6F00"/>
    <w:rsid w:val="00EF7808"/>
    <w:rsid w:val="00EF7AA3"/>
    <w:rsid w:val="00F00C5A"/>
    <w:rsid w:val="00F018D9"/>
    <w:rsid w:val="00F02C78"/>
    <w:rsid w:val="00F070BC"/>
    <w:rsid w:val="00F07C90"/>
    <w:rsid w:val="00F07E7D"/>
    <w:rsid w:val="00F10BA7"/>
    <w:rsid w:val="00F32154"/>
    <w:rsid w:val="00F3422E"/>
    <w:rsid w:val="00F36022"/>
    <w:rsid w:val="00F40CB8"/>
    <w:rsid w:val="00F4110E"/>
    <w:rsid w:val="00F429A0"/>
    <w:rsid w:val="00F4387F"/>
    <w:rsid w:val="00F52742"/>
    <w:rsid w:val="00F53A0F"/>
    <w:rsid w:val="00F55C03"/>
    <w:rsid w:val="00F55C40"/>
    <w:rsid w:val="00F56A56"/>
    <w:rsid w:val="00F56CF5"/>
    <w:rsid w:val="00F6684E"/>
    <w:rsid w:val="00F70AE1"/>
    <w:rsid w:val="00F7561F"/>
    <w:rsid w:val="00F8016A"/>
    <w:rsid w:val="00F80A1A"/>
    <w:rsid w:val="00F82AE3"/>
    <w:rsid w:val="00F85722"/>
    <w:rsid w:val="00F85BC6"/>
    <w:rsid w:val="00F86C52"/>
    <w:rsid w:val="00F97736"/>
    <w:rsid w:val="00F97D75"/>
    <w:rsid w:val="00FA3EEF"/>
    <w:rsid w:val="00FA7A1C"/>
    <w:rsid w:val="00FB1AE6"/>
    <w:rsid w:val="00FB41F3"/>
    <w:rsid w:val="00FB46AE"/>
    <w:rsid w:val="00FB5AE9"/>
    <w:rsid w:val="00FB6DB6"/>
    <w:rsid w:val="00FC150B"/>
    <w:rsid w:val="00FC31CF"/>
    <w:rsid w:val="00FC42D5"/>
    <w:rsid w:val="00FC4FAC"/>
    <w:rsid w:val="00FC5414"/>
    <w:rsid w:val="00FC58C4"/>
    <w:rsid w:val="00FC7DC1"/>
    <w:rsid w:val="00FD21FD"/>
    <w:rsid w:val="00FD26D5"/>
    <w:rsid w:val="00FD7897"/>
    <w:rsid w:val="00FD7DFE"/>
    <w:rsid w:val="00FE0ECE"/>
    <w:rsid w:val="00FE17F9"/>
    <w:rsid w:val="00FF1DBE"/>
    <w:rsid w:val="00FF238C"/>
    <w:rsid w:val="00FF33E5"/>
    <w:rsid w:val="00FF6779"/>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rules v:ext="edit">
        <o:r id="V:Rule1" type="connector" idref="#Straight Arrow Connector 247"/>
        <o:r id="V:Rule2" type="connector" idref="#Straight Connector 276"/>
        <o:r id="V:Rule3" type="connector" idref="#Straight Connector 277"/>
        <o:r id="V:Rule4" type="connector" idref="#Straight Connector 278"/>
        <o:r id="V:Rule5" type="connector" idref="#Straight Connector 279"/>
        <o:r id="V:Rule6" type="connector" idref="#Straight Connector 2135"/>
        <o:r id="V:Rule7" type="connector" idref="#Straight Connector 2136"/>
        <o:r id="V:Rule8" type="connector" idref="#Straight Connector 1026"/>
        <o:r id="V:Rule9" type="connector" idref="#Straight Connector 2127"/>
        <o:r id="V:Rule10" type="connector" idref="#Straight Connector 2128"/>
        <o:r id="V:Rule11" type="connector" idref="#Straight Connector 2129"/>
        <o:r id="V:Rule12" type="connector" idref="#Straight Arrow Connector 18"/>
        <o:r id="V:Rule13" type="connector" idref="#Straight Arrow Connector 39"/>
        <o:r id="V:Rule14" type="connector" idref="#Straight Arrow Connector 41"/>
        <o:r id="V:Rule15" type="connector" idref="#Straight Arrow Connector 42"/>
        <o:r id="V:Rule16" type="connector" idref="#Straight Arrow Connector 43"/>
        <o:r id="V:Rule17" type="connector" idref="#Straight Arrow Connector 44"/>
      </o:rules>
    </o:shapelayout>
  </w:shapeDefaults>
  <w:doNotEmbedSmartTags/>
  <w:decimalSymbol w:val="."/>
  <w:listSeparator w:val=","/>
  <w15:docId w15:val="{1AF1F834-0BFA-484F-92C9-5B26BCA29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424"/>
    <w:pPr>
      <w:spacing w:after="200" w:line="280" w:lineRule="exact"/>
      <w:jc w:val="both"/>
    </w:pPr>
    <w:rPr>
      <w:rFonts w:ascii="Arial" w:hAnsi="Arial"/>
      <w:szCs w:val="24"/>
      <w:lang w:eastAsia="en-US"/>
    </w:rPr>
  </w:style>
  <w:style w:type="paragraph" w:styleId="Heading1">
    <w:name w:val="heading 1"/>
    <w:basedOn w:val="Normal"/>
    <w:next w:val="Normal"/>
    <w:link w:val="Heading1Char"/>
    <w:uiPriority w:val="99"/>
    <w:qFormat/>
    <w:rsid w:val="00614391"/>
    <w:pPr>
      <w:keepNext/>
      <w:numPr>
        <w:numId w:val="16"/>
      </w:numPr>
      <w:tabs>
        <w:tab w:val="left" w:pos="567"/>
      </w:tabs>
      <w:spacing w:before="400" w:after="400" w:line="240" w:lineRule="auto"/>
      <w:outlineLvl w:val="0"/>
    </w:pPr>
    <w:rPr>
      <w:sz w:val="44"/>
      <w:szCs w:val="20"/>
    </w:rPr>
  </w:style>
  <w:style w:type="paragraph" w:styleId="Heading2">
    <w:name w:val="heading 2"/>
    <w:next w:val="Normal"/>
    <w:link w:val="Heading2Char"/>
    <w:uiPriority w:val="99"/>
    <w:qFormat/>
    <w:rsid w:val="000F3527"/>
    <w:pPr>
      <w:keepNext/>
      <w:numPr>
        <w:ilvl w:val="1"/>
        <w:numId w:val="16"/>
      </w:numPr>
      <w:tabs>
        <w:tab w:val="left" w:pos="567"/>
      </w:tabs>
      <w:spacing w:before="360" w:after="120"/>
      <w:ind w:right="6"/>
      <w:outlineLvl w:val="1"/>
    </w:pPr>
    <w:rPr>
      <w:rFonts w:ascii="Arial Bold" w:hAnsi="Arial Bold"/>
      <w:b/>
      <w:spacing w:val="20"/>
      <w:lang w:eastAsia="en-US"/>
    </w:rPr>
  </w:style>
  <w:style w:type="paragraph" w:styleId="Heading3">
    <w:name w:val="heading 3"/>
    <w:next w:val="Normal"/>
    <w:link w:val="Heading3Char"/>
    <w:uiPriority w:val="99"/>
    <w:qFormat/>
    <w:rsid w:val="00FB41F3"/>
    <w:pPr>
      <w:keepNext/>
      <w:numPr>
        <w:ilvl w:val="2"/>
        <w:numId w:val="16"/>
      </w:numPr>
      <w:tabs>
        <w:tab w:val="left" w:pos="567"/>
      </w:tabs>
      <w:spacing w:before="240" w:after="60"/>
      <w:outlineLvl w:val="2"/>
    </w:pPr>
    <w:rPr>
      <w:rFonts w:ascii="Arial" w:hAnsi="Arial"/>
      <w:b/>
      <w:lang w:eastAsia="en-US"/>
    </w:rPr>
  </w:style>
  <w:style w:type="paragraph" w:styleId="Heading4">
    <w:name w:val="heading 4"/>
    <w:aliases w:val="Appendix level 2"/>
    <w:next w:val="Normal"/>
    <w:link w:val="Heading4Char"/>
    <w:uiPriority w:val="99"/>
    <w:qFormat/>
    <w:rsid w:val="00FB41F3"/>
    <w:pPr>
      <w:keepNext/>
      <w:tabs>
        <w:tab w:val="left" w:pos="567"/>
      </w:tabs>
      <w:spacing w:before="240" w:after="60"/>
      <w:outlineLvl w:val="3"/>
    </w:pPr>
    <w:rPr>
      <w:rFonts w:ascii="Arial" w:hAnsi="Arial"/>
      <w:i/>
      <w:lang w:eastAsia="en-US"/>
    </w:rPr>
  </w:style>
  <w:style w:type="paragraph" w:styleId="Heading5">
    <w:name w:val="heading 5"/>
    <w:basedOn w:val="Normal"/>
    <w:next w:val="Normal"/>
    <w:link w:val="Heading5Char"/>
    <w:uiPriority w:val="99"/>
    <w:qFormat/>
    <w:rsid w:val="00733403"/>
    <w:pPr>
      <w:numPr>
        <w:ilvl w:val="4"/>
        <w:numId w:val="16"/>
      </w:numPr>
      <w:tabs>
        <w:tab w:val="left" w:pos="720"/>
      </w:tabs>
      <w:spacing w:before="240" w:after="60"/>
      <w:outlineLvl w:val="4"/>
    </w:pPr>
    <w:rPr>
      <w:szCs w:val="20"/>
    </w:rPr>
  </w:style>
  <w:style w:type="paragraph" w:styleId="Heading6">
    <w:name w:val="heading 6"/>
    <w:aliases w:val="LTIM Appendix heading"/>
    <w:basedOn w:val="AppendixHeading0"/>
    <w:next w:val="Normal"/>
    <w:link w:val="Heading6Char"/>
    <w:uiPriority w:val="99"/>
    <w:qFormat/>
    <w:rsid w:val="00C43A85"/>
    <w:pPr>
      <w:numPr>
        <w:ilvl w:val="5"/>
        <w:numId w:val="16"/>
      </w:numPr>
      <w:spacing w:before="240" w:after="60"/>
      <w:outlineLvl w:val="5"/>
    </w:pPr>
    <w:rPr>
      <w:szCs w:val="20"/>
    </w:rPr>
  </w:style>
  <w:style w:type="paragraph" w:styleId="Heading7">
    <w:name w:val="heading 7"/>
    <w:basedOn w:val="Heading1"/>
    <w:next w:val="Normal"/>
    <w:link w:val="Heading7Char"/>
    <w:uiPriority w:val="99"/>
    <w:qFormat/>
    <w:rsid w:val="00FB1AE6"/>
    <w:pPr>
      <w:numPr>
        <w:ilvl w:val="6"/>
      </w:numPr>
      <w:outlineLvl w:val="6"/>
    </w:pPr>
  </w:style>
  <w:style w:type="paragraph" w:styleId="Heading8">
    <w:name w:val="heading 8"/>
    <w:basedOn w:val="Normal"/>
    <w:next w:val="Normal"/>
    <w:link w:val="Heading8Char"/>
    <w:uiPriority w:val="99"/>
    <w:qFormat/>
    <w:rsid w:val="00E97BFA"/>
    <w:pPr>
      <w:numPr>
        <w:ilvl w:val="7"/>
        <w:numId w:val="16"/>
      </w:numPr>
      <w:spacing w:before="240" w:after="60"/>
      <w:outlineLvl w:val="7"/>
    </w:pPr>
    <w:rPr>
      <w:b/>
      <w:szCs w:val="20"/>
    </w:rPr>
  </w:style>
  <w:style w:type="paragraph" w:styleId="Heading9">
    <w:name w:val="heading 9"/>
    <w:basedOn w:val="Normal"/>
    <w:next w:val="Normal"/>
    <w:link w:val="Heading9Char"/>
    <w:uiPriority w:val="99"/>
    <w:qFormat/>
    <w:rsid w:val="006E559A"/>
    <w:pPr>
      <w:numPr>
        <w:ilvl w:val="8"/>
        <w:numId w:val="16"/>
      </w:numPr>
      <w:spacing w:before="240" w:after="60"/>
      <w:outlineLvl w:val="8"/>
    </w:pPr>
    <w:rPr>
      <w:b/>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SubHeading">
    <w:name w:val="Title - SubHeading"/>
    <w:basedOn w:val="Normal"/>
    <w:rsid w:val="00CC015A"/>
    <w:pPr>
      <w:spacing w:before="200"/>
      <w:ind w:left="714"/>
    </w:pPr>
    <w:rPr>
      <w:b/>
      <w:spacing w:val="40"/>
      <w:sz w:val="24"/>
    </w:rPr>
  </w:style>
  <w:style w:type="paragraph" w:styleId="Footer">
    <w:name w:val="footer"/>
    <w:basedOn w:val="Normal"/>
    <w:link w:val="FooterChar"/>
    <w:rsid w:val="00091C03"/>
    <w:pPr>
      <w:tabs>
        <w:tab w:val="center" w:pos="4320"/>
        <w:tab w:val="right" w:pos="8640"/>
      </w:tabs>
    </w:pPr>
  </w:style>
  <w:style w:type="paragraph" w:styleId="TOC1">
    <w:name w:val="toc 1"/>
    <w:basedOn w:val="Normal"/>
    <w:next w:val="Normal"/>
    <w:autoRedefine/>
    <w:uiPriority w:val="39"/>
    <w:rsid w:val="00191590"/>
    <w:pPr>
      <w:tabs>
        <w:tab w:val="left" w:pos="709"/>
        <w:tab w:val="right" w:leader="dot" w:pos="9156"/>
      </w:tabs>
      <w:spacing w:before="300" w:after="120" w:line="240" w:lineRule="atLeast"/>
      <w:ind w:right="85"/>
    </w:pPr>
    <w:rPr>
      <w:b/>
      <w:bCs/>
      <w:noProof/>
      <w:szCs w:val="18"/>
    </w:rPr>
  </w:style>
  <w:style w:type="paragraph" w:styleId="TOC2">
    <w:name w:val="toc 2"/>
    <w:basedOn w:val="Normal"/>
    <w:next w:val="Normal"/>
    <w:autoRedefine/>
    <w:uiPriority w:val="39"/>
    <w:rsid w:val="00191590"/>
    <w:pPr>
      <w:tabs>
        <w:tab w:val="left" w:pos="709"/>
        <w:tab w:val="right" w:leader="dot" w:pos="9156"/>
      </w:tabs>
      <w:spacing w:before="120" w:after="120" w:line="240" w:lineRule="atLeast"/>
      <w:ind w:left="709" w:right="85" w:hanging="709"/>
    </w:pPr>
    <w:rPr>
      <w:noProof/>
      <w:szCs w:val="18"/>
    </w:rPr>
  </w:style>
  <w:style w:type="paragraph" w:styleId="TOC3">
    <w:name w:val="toc 3"/>
    <w:basedOn w:val="Normal"/>
    <w:next w:val="Normal"/>
    <w:autoRedefine/>
    <w:uiPriority w:val="39"/>
    <w:rsid w:val="0022463C"/>
    <w:pPr>
      <w:tabs>
        <w:tab w:val="left" w:pos="709"/>
        <w:tab w:val="right" w:leader="dot" w:pos="9156"/>
      </w:tabs>
      <w:spacing w:before="100" w:after="100" w:line="240" w:lineRule="atLeast"/>
      <w:ind w:right="85"/>
    </w:pPr>
    <w:rPr>
      <w:iCs/>
      <w:noProof/>
      <w:szCs w:val="20"/>
    </w:rPr>
  </w:style>
  <w:style w:type="paragraph" w:styleId="TOC4">
    <w:name w:val="toc 4"/>
    <w:basedOn w:val="Normal"/>
    <w:next w:val="Normal"/>
    <w:autoRedefine/>
    <w:rsid w:val="00091C03"/>
    <w:pPr>
      <w:spacing w:after="0" w:line="240" w:lineRule="auto"/>
      <w:ind w:left="720"/>
    </w:pPr>
    <w:rPr>
      <w:rFonts w:ascii="Century Gothic" w:hAnsi="Century Gothic"/>
      <w:sz w:val="18"/>
      <w:szCs w:val="18"/>
    </w:rPr>
  </w:style>
  <w:style w:type="paragraph" w:styleId="TOC5">
    <w:name w:val="toc 5"/>
    <w:basedOn w:val="Normal"/>
    <w:next w:val="Normal"/>
    <w:autoRedefine/>
    <w:rsid w:val="00091C03"/>
    <w:pPr>
      <w:spacing w:after="0" w:line="240" w:lineRule="auto"/>
      <w:ind w:left="960"/>
    </w:pPr>
    <w:rPr>
      <w:rFonts w:ascii="Century Gothic" w:hAnsi="Century Gothic"/>
      <w:sz w:val="18"/>
      <w:szCs w:val="18"/>
    </w:rPr>
  </w:style>
  <w:style w:type="paragraph" w:customStyle="1" w:styleId="11FigureNo">
    <w:name w:val="1.1 Figure No."/>
    <w:basedOn w:val="Normal"/>
    <w:rsid w:val="00CC015A"/>
    <w:pPr>
      <w:pBdr>
        <w:bottom w:val="single" w:sz="2" w:space="4" w:color="000000"/>
      </w:pBdr>
      <w:spacing w:before="400" w:after="120" w:line="240" w:lineRule="auto"/>
      <w:ind w:left="11" w:right="6"/>
      <w:jc w:val="left"/>
    </w:pPr>
    <w:rPr>
      <w:b/>
      <w:caps/>
      <w:spacing w:val="20"/>
      <w:sz w:val="14"/>
    </w:rPr>
  </w:style>
  <w:style w:type="paragraph" w:styleId="FootnoteText">
    <w:name w:val="footnote text"/>
    <w:basedOn w:val="Normal"/>
    <w:link w:val="FootnoteTextChar"/>
    <w:semiHidden/>
    <w:rsid w:val="00F55C03"/>
    <w:rPr>
      <w:szCs w:val="20"/>
    </w:rPr>
  </w:style>
  <w:style w:type="paragraph" w:customStyle="1" w:styleId="Heading10ptbold">
    <w:name w:val="Heading 10pt bold"/>
    <w:rsid w:val="006312D6"/>
    <w:pPr>
      <w:spacing w:after="80"/>
    </w:pPr>
    <w:rPr>
      <w:rFonts w:ascii="Arial" w:hAnsi="Arial"/>
      <w:b/>
      <w:caps/>
      <w:spacing w:val="10"/>
      <w:szCs w:val="24"/>
      <w:lang w:eastAsia="en-US"/>
    </w:rPr>
  </w:style>
  <w:style w:type="paragraph" w:customStyle="1" w:styleId="TitleforDocument">
    <w:name w:val="Title for Document"/>
    <w:rsid w:val="00CC015A"/>
    <w:pPr>
      <w:spacing w:before="200" w:after="200" w:line="700" w:lineRule="exact"/>
      <w:ind w:left="-108" w:right="17"/>
    </w:pPr>
    <w:rPr>
      <w:rFonts w:ascii="Arial" w:hAnsi="Arial"/>
      <w:sz w:val="72"/>
      <w:szCs w:val="52"/>
      <w:lang w:eastAsia="en-US"/>
    </w:rPr>
  </w:style>
  <w:style w:type="table" w:styleId="TableGrid">
    <w:name w:val="Table Grid"/>
    <w:basedOn w:val="TableNormal"/>
    <w:uiPriority w:val="59"/>
    <w:rsid w:val="00CC015A"/>
    <w:rPr>
      <w:rFonts w:ascii="Arial" w:hAnsi="Arial"/>
    </w:rPr>
    <w:tblPr>
      <w:tblBorders>
        <w:top w:val="single" w:sz="2" w:space="0" w:color="000000"/>
        <w:bottom w:val="single" w:sz="2" w:space="0" w:color="000000"/>
        <w:insideH w:val="single" w:sz="2" w:space="0" w:color="000000"/>
        <w:insideV w:val="single" w:sz="2" w:space="0" w:color="000000"/>
      </w:tblBorders>
    </w:tblPr>
    <w:tcPr>
      <w:noWrap/>
      <w:vAlign w:val="center"/>
    </w:tcPr>
  </w:style>
  <w:style w:type="paragraph" w:customStyle="1" w:styleId="Headingnonumbers">
    <w:name w:val="Heading (no numbers)"/>
    <w:rsid w:val="00CC015A"/>
    <w:pPr>
      <w:pBdr>
        <w:bottom w:val="single" w:sz="2" w:space="1" w:color="000000"/>
      </w:pBdr>
      <w:spacing w:before="1400" w:after="400"/>
      <w:ind w:right="85"/>
    </w:pPr>
    <w:rPr>
      <w:rFonts w:ascii="Arial" w:hAnsi="Arial"/>
      <w:sz w:val="52"/>
      <w:lang w:eastAsia="en-US"/>
    </w:rPr>
  </w:style>
  <w:style w:type="paragraph" w:styleId="Header">
    <w:name w:val="header"/>
    <w:basedOn w:val="Normal"/>
    <w:link w:val="HeaderChar"/>
    <w:rsid w:val="00CC015A"/>
    <w:pPr>
      <w:tabs>
        <w:tab w:val="center" w:pos="4320"/>
        <w:tab w:val="right" w:pos="8640"/>
      </w:tabs>
    </w:pPr>
  </w:style>
  <w:style w:type="paragraph" w:customStyle="1" w:styleId="PictureSpacing">
    <w:name w:val="Picture Spacing"/>
    <w:basedOn w:val="Normal"/>
    <w:rsid w:val="00CC015A"/>
    <w:pPr>
      <w:spacing w:line="240" w:lineRule="auto"/>
      <w:ind w:right="6"/>
    </w:pPr>
  </w:style>
  <w:style w:type="character" w:styleId="Hyperlink">
    <w:name w:val="Hyperlink"/>
    <w:rsid w:val="00585491"/>
    <w:rPr>
      <w:color w:val="0000FF"/>
      <w:u w:val="single"/>
    </w:rPr>
  </w:style>
  <w:style w:type="paragraph" w:styleId="TableofFigures">
    <w:name w:val="table of figures"/>
    <w:basedOn w:val="Normal"/>
    <w:next w:val="Normal"/>
    <w:uiPriority w:val="99"/>
    <w:rsid w:val="00E027E1"/>
  </w:style>
  <w:style w:type="paragraph" w:customStyle="1" w:styleId="List1">
    <w:name w:val="List 1"/>
    <w:basedOn w:val="Normal"/>
    <w:link w:val="List1Char"/>
    <w:autoRedefine/>
    <w:rsid w:val="008C1338"/>
    <w:pPr>
      <w:numPr>
        <w:numId w:val="2"/>
      </w:numPr>
      <w:spacing w:after="40"/>
      <w:ind w:left="709" w:right="6" w:hanging="357"/>
    </w:pPr>
  </w:style>
  <w:style w:type="paragraph" w:styleId="NoSpacing">
    <w:name w:val="No Spacing"/>
    <w:uiPriority w:val="1"/>
    <w:qFormat/>
    <w:rsid w:val="0060612E"/>
    <w:pPr>
      <w:jc w:val="both"/>
    </w:pPr>
    <w:rPr>
      <w:rFonts w:ascii="Arial" w:hAnsi="Arial"/>
      <w:szCs w:val="24"/>
      <w:lang w:eastAsia="en-US"/>
    </w:rPr>
  </w:style>
  <w:style w:type="paragraph" w:customStyle="1" w:styleId="Notesheading">
    <w:name w:val="Notes heading"/>
    <w:basedOn w:val="Normal"/>
    <w:rsid w:val="00C41410"/>
    <w:pPr>
      <w:ind w:right="4"/>
    </w:pPr>
    <w:rPr>
      <w:u w:val="single"/>
    </w:rPr>
  </w:style>
  <w:style w:type="paragraph" w:customStyle="1" w:styleId="Indentedtext">
    <w:name w:val="Indented text"/>
    <w:basedOn w:val="Normal"/>
    <w:rsid w:val="0092387A"/>
    <w:pPr>
      <w:ind w:left="567"/>
    </w:pPr>
  </w:style>
  <w:style w:type="paragraph" w:customStyle="1" w:styleId="StyleHeading1Right001cmBottomNoborder">
    <w:name w:val="Style Heading 1 + Right:  0.01 cm Bottom: (No border)"/>
    <w:basedOn w:val="Heading1"/>
    <w:rsid w:val="00733403"/>
    <w:pPr>
      <w:ind w:right="4"/>
    </w:pPr>
  </w:style>
  <w:style w:type="paragraph" w:customStyle="1" w:styleId="StyleHeading1Right001cmBottomNoborder1">
    <w:name w:val="Style Heading 1 + Right:  0.01 cm Bottom: (No border)1"/>
    <w:basedOn w:val="Heading1"/>
    <w:rsid w:val="00733403"/>
    <w:pPr>
      <w:ind w:right="4"/>
    </w:pPr>
  </w:style>
  <w:style w:type="paragraph" w:customStyle="1" w:styleId="StyleHeading1Right001cmBottomNoborder2">
    <w:name w:val="Style Heading 1 + Right:  0.01 cm Bottom: (No border)2"/>
    <w:basedOn w:val="Heading1"/>
    <w:next w:val="Bodycopy"/>
    <w:rsid w:val="00733403"/>
    <w:pPr>
      <w:ind w:right="6"/>
    </w:pPr>
  </w:style>
  <w:style w:type="paragraph" w:styleId="Caption">
    <w:name w:val="caption"/>
    <w:basedOn w:val="Normal"/>
    <w:next w:val="Normal"/>
    <w:link w:val="CaptionChar"/>
    <w:uiPriority w:val="35"/>
    <w:qFormat/>
    <w:rsid w:val="00B54F75"/>
    <w:pPr>
      <w:spacing w:before="120" w:after="120" w:line="240" w:lineRule="auto"/>
    </w:pPr>
    <w:rPr>
      <w:b/>
      <w:bCs/>
      <w:sz w:val="18"/>
      <w:szCs w:val="20"/>
    </w:rPr>
  </w:style>
  <w:style w:type="character" w:customStyle="1" w:styleId="CaptionChar">
    <w:name w:val="Caption Char"/>
    <w:link w:val="Caption"/>
    <w:rsid w:val="00B54F75"/>
    <w:rPr>
      <w:rFonts w:ascii="Arial" w:hAnsi="Arial"/>
      <w:b/>
      <w:bCs/>
      <w:sz w:val="18"/>
      <w:lang w:val="en-AU"/>
    </w:rPr>
  </w:style>
  <w:style w:type="paragraph" w:customStyle="1" w:styleId="TableHeadingLeft">
    <w:name w:val="Table Heading Left"/>
    <w:basedOn w:val="Normal"/>
    <w:link w:val="TableHeadingLeftChar"/>
    <w:rsid w:val="004465C1"/>
    <w:pPr>
      <w:spacing w:before="80" w:after="80" w:line="240" w:lineRule="exact"/>
      <w:ind w:right="6"/>
      <w:jc w:val="left"/>
    </w:pPr>
    <w:rPr>
      <w:b/>
      <w:szCs w:val="20"/>
      <w:lang w:val="en-US"/>
    </w:rPr>
  </w:style>
  <w:style w:type="paragraph" w:customStyle="1" w:styleId="TableHeadingRight">
    <w:name w:val="Table Heading Right"/>
    <w:basedOn w:val="Normal"/>
    <w:rsid w:val="004465C1"/>
    <w:pPr>
      <w:spacing w:before="80" w:after="80" w:line="240" w:lineRule="exact"/>
      <w:ind w:right="6"/>
      <w:jc w:val="right"/>
    </w:pPr>
    <w:rPr>
      <w:b/>
      <w:szCs w:val="20"/>
      <w:lang w:val="en-US"/>
    </w:rPr>
  </w:style>
  <w:style w:type="paragraph" w:customStyle="1" w:styleId="TablebodycopyLEFT">
    <w:name w:val="Table body copy LEFT"/>
    <w:basedOn w:val="Normal"/>
    <w:rsid w:val="004465C1"/>
    <w:pPr>
      <w:spacing w:before="80" w:after="80" w:line="240" w:lineRule="exact"/>
      <w:ind w:right="6"/>
      <w:jc w:val="left"/>
    </w:pPr>
    <w:rPr>
      <w:szCs w:val="20"/>
      <w:lang w:val="en-US"/>
    </w:rPr>
  </w:style>
  <w:style w:type="paragraph" w:customStyle="1" w:styleId="TablebodycopyRIGHT">
    <w:name w:val="Table body copy RIGHT"/>
    <w:basedOn w:val="Normal"/>
    <w:rsid w:val="004465C1"/>
    <w:pPr>
      <w:spacing w:before="80" w:after="80" w:line="240" w:lineRule="exact"/>
      <w:ind w:right="6"/>
      <w:jc w:val="right"/>
    </w:pPr>
    <w:rPr>
      <w:szCs w:val="20"/>
      <w:lang w:val="en-US"/>
    </w:rPr>
  </w:style>
  <w:style w:type="paragraph" w:customStyle="1" w:styleId="Tablefootnote">
    <w:name w:val="Table footnote"/>
    <w:basedOn w:val="Normal"/>
    <w:rsid w:val="004465C1"/>
    <w:pPr>
      <w:spacing w:before="60" w:after="60" w:line="240" w:lineRule="auto"/>
      <w:ind w:right="6"/>
      <w:jc w:val="left"/>
    </w:pPr>
    <w:rPr>
      <w:sz w:val="16"/>
      <w:szCs w:val="16"/>
      <w:lang w:val="en-US"/>
    </w:rPr>
  </w:style>
  <w:style w:type="paragraph" w:customStyle="1" w:styleId="Bullets1">
    <w:name w:val="Bullets 1"/>
    <w:basedOn w:val="List1"/>
    <w:qFormat/>
    <w:rsid w:val="00A64631"/>
    <w:pPr>
      <w:numPr>
        <w:numId w:val="3"/>
      </w:numPr>
      <w:tabs>
        <w:tab w:val="left" w:pos="1134"/>
      </w:tabs>
      <w:spacing w:after="0"/>
      <w:ind w:right="0"/>
    </w:pPr>
  </w:style>
  <w:style w:type="paragraph" w:customStyle="1" w:styleId="Bullets">
    <w:name w:val="Bullets"/>
    <w:basedOn w:val="Normal"/>
    <w:rsid w:val="00343DB2"/>
    <w:pPr>
      <w:numPr>
        <w:ilvl w:val="1"/>
        <w:numId w:val="1"/>
      </w:numPr>
    </w:pPr>
  </w:style>
  <w:style w:type="paragraph" w:customStyle="1" w:styleId="Bullets2">
    <w:name w:val="Bullets 2"/>
    <w:qFormat/>
    <w:rsid w:val="00FB41F3"/>
    <w:pPr>
      <w:numPr>
        <w:numId w:val="4"/>
      </w:numPr>
      <w:tabs>
        <w:tab w:val="left" w:pos="1701"/>
      </w:tabs>
      <w:spacing w:before="40" w:line="280" w:lineRule="exact"/>
      <w:ind w:left="1701" w:hanging="567"/>
    </w:pPr>
    <w:rPr>
      <w:rFonts w:ascii="Arial" w:hAnsi="Arial"/>
      <w:szCs w:val="24"/>
      <w:lang w:eastAsia="en-US"/>
    </w:rPr>
  </w:style>
  <w:style w:type="paragraph" w:customStyle="1" w:styleId="CVName">
    <w:name w:val="CV Name"/>
    <w:basedOn w:val="Normal"/>
    <w:rsid w:val="004465C1"/>
    <w:pPr>
      <w:spacing w:before="1200" w:after="40" w:line="240" w:lineRule="auto"/>
      <w:ind w:right="6"/>
      <w:jc w:val="left"/>
    </w:pPr>
    <w:rPr>
      <w:rFonts w:ascii="Times New Roman" w:hAnsi="Times New Roman"/>
      <w:b/>
      <w:szCs w:val="20"/>
      <w:lang w:val="en-US"/>
    </w:rPr>
  </w:style>
  <w:style w:type="paragraph" w:customStyle="1" w:styleId="CVTitle">
    <w:name w:val="CV Title"/>
    <w:basedOn w:val="Normal"/>
    <w:rsid w:val="004465C1"/>
    <w:pPr>
      <w:spacing w:after="0" w:line="240" w:lineRule="auto"/>
      <w:ind w:right="4"/>
      <w:jc w:val="left"/>
    </w:pPr>
    <w:rPr>
      <w:rFonts w:ascii="Times New Roman" w:hAnsi="Times New Roman"/>
      <w:szCs w:val="20"/>
      <w:lang w:val="en-US"/>
    </w:rPr>
  </w:style>
  <w:style w:type="paragraph" w:customStyle="1" w:styleId="CVHeading">
    <w:name w:val="CV Heading"/>
    <w:basedOn w:val="Normal"/>
    <w:rsid w:val="004465C1"/>
    <w:pPr>
      <w:spacing w:before="360" w:after="120" w:line="240" w:lineRule="auto"/>
      <w:ind w:right="6"/>
      <w:jc w:val="left"/>
    </w:pPr>
    <w:rPr>
      <w:rFonts w:ascii="Times New Roman" w:hAnsi="Times New Roman"/>
      <w:b/>
      <w:szCs w:val="20"/>
      <w:lang w:val="en-US"/>
    </w:rPr>
  </w:style>
  <w:style w:type="paragraph" w:customStyle="1" w:styleId="Bodycopy">
    <w:name w:val="Body copy"/>
    <w:basedOn w:val="Normal"/>
    <w:rsid w:val="004465C1"/>
    <w:pPr>
      <w:spacing w:after="240" w:line="240" w:lineRule="auto"/>
      <w:ind w:right="6"/>
      <w:jc w:val="left"/>
    </w:pPr>
    <w:rPr>
      <w:rFonts w:cs="Arial"/>
      <w:szCs w:val="20"/>
      <w:lang w:val="en-US"/>
    </w:rPr>
  </w:style>
  <w:style w:type="paragraph" w:customStyle="1" w:styleId="TableHeading">
    <w:name w:val="Table Heading"/>
    <w:basedOn w:val="Normal"/>
    <w:rsid w:val="00B54F75"/>
    <w:pPr>
      <w:spacing w:line="180" w:lineRule="exact"/>
      <w:jc w:val="left"/>
    </w:pPr>
    <w:rPr>
      <w:b/>
      <w:bCs/>
      <w:sz w:val="14"/>
      <w:szCs w:val="14"/>
    </w:rPr>
  </w:style>
  <w:style w:type="paragraph" w:customStyle="1" w:styleId="HeadingNOnumbering">
    <w:name w:val="Heading NO numbering"/>
    <w:basedOn w:val="StyleHeading1Right001cmBottomNoborder2"/>
    <w:rsid w:val="00507A32"/>
  </w:style>
  <w:style w:type="paragraph" w:customStyle="1" w:styleId="Headingunnumbered">
    <w:name w:val="Heading unnumbered"/>
    <w:basedOn w:val="Heading1"/>
    <w:next w:val="Normal"/>
    <w:link w:val="HeadingunnumberedChar"/>
    <w:autoRedefine/>
    <w:qFormat/>
    <w:rsid w:val="00C23343"/>
    <w:pPr>
      <w:numPr>
        <w:numId w:val="0"/>
      </w:numPr>
      <w:spacing w:before="0"/>
    </w:pPr>
  </w:style>
  <w:style w:type="paragraph" w:customStyle="1" w:styleId="Heading2NOnumbers">
    <w:name w:val="Heading 2 NO numbers"/>
    <w:next w:val="Bodycopy"/>
    <w:rsid w:val="008B63BA"/>
    <w:pPr>
      <w:spacing w:before="240" w:after="120"/>
    </w:pPr>
    <w:rPr>
      <w:rFonts w:ascii="Arial" w:hAnsi="Arial"/>
      <w:b/>
      <w:caps/>
      <w:spacing w:val="20"/>
      <w:lang w:eastAsia="en-US"/>
    </w:rPr>
  </w:style>
  <w:style w:type="paragraph" w:customStyle="1" w:styleId="FIGUREHEADING">
    <w:name w:val="FIGURE HEADING"/>
    <w:basedOn w:val="TableHeading"/>
    <w:rsid w:val="00F86C52"/>
  </w:style>
  <w:style w:type="paragraph" w:customStyle="1" w:styleId="Bullets3">
    <w:name w:val="Bullets 3"/>
    <w:qFormat/>
    <w:rsid w:val="00FB41F3"/>
    <w:pPr>
      <w:numPr>
        <w:numId w:val="5"/>
      </w:numPr>
      <w:tabs>
        <w:tab w:val="left" w:pos="2268"/>
      </w:tabs>
      <w:spacing w:line="280" w:lineRule="exact"/>
      <w:ind w:left="2268" w:hanging="567"/>
    </w:pPr>
    <w:rPr>
      <w:rFonts w:ascii="Arial" w:hAnsi="Arial"/>
      <w:szCs w:val="24"/>
      <w:lang w:eastAsia="en-US"/>
    </w:rPr>
  </w:style>
  <w:style w:type="character" w:styleId="FootnoteReference">
    <w:name w:val="footnote reference"/>
    <w:semiHidden/>
    <w:rsid w:val="00F55C03"/>
    <w:rPr>
      <w:vertAlign w:val="superscript"/>
    </w:rPr>
  </w:style>
  <w:style w:type="paragraph" w:styleId="DocumentMap">
    <w:name w:val="Document Map"/>
    <w:basedOn w:val="Normal"/>
    <w:link w:val="DocumentMapChar"/>
    <w:semiHidden/>
    <w:rsid w:val="00F55C03"/>
    <w:pPr>
      <w:shd w:val="clear" w:color="auto" w:fill="000080"/>
    </w:pPr>
    <w:rPr>
      <w:rFonts w:ascii="Tahoma" w:hAnsi="Tahoma" w:cs="Tahoma"/>
      <w:szCs w:val="20"/>
    </w:rPr>
  </w:style>
  <w:style w:type="character" w:styleId="PageNumber">
    <w:name w:val="page number"/>
    <w:basedOn w:val="DefaultParagraphFont"/>
    <w:rsid w:val="003C601E"/>
  </w:style>
  <w:style w:type="paragraph" w:customStyle="1" w:styleId="footsyle1">
    <w:name w:val="footsyle1"/>
    <w:basedOn w:val="Normal"/>
    <w:rsid w:val="00F55C03"/>
    <w:pPr>
      <w:spacing w:line="240" w:lineRule="auto"/>
    </w:pPr>
  </w:style>
  <w:style w:type="paragraph" w:customStyle="1" w:styleId="StyleHeadingNOnumbersBefore40pt">
    <w:name w:val="Style Heading NO numbers + Before:  40 pt"/>
    <w:basedOn w:val="Headingunnumbered"/>
    <w:rsid w:val="003F21F4"/>
  </w:style>
  <w:style w:type="paragraph" w:styleId="BalloonText">
    <w:name w:val="Balloon Text"/>
    <w:basedOn w:val="Normal"/>
    <w:link w:val="BalloonTextChar"/>
    <w:uiPriority w:val="99"/>
    <w:semiHidden/>
    <w:unhideWhenUsed/>
    <w:rsid w:val="00ED17E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D17ED"/>
    <w:rPr>
      <w:rFonts w:ascii="Tahoma" w:hAnsi="Tahoma" w:cs="Tahoma"/>
      <w:sz w:val="16"/>
      <w:szCs w:val="16"/>
      <w:lang w:eastAsia="en-US"/>
    </w:rPr>
  </w:style>
  <w:style w:type="paragraph" w:customStyle="1" w:styleId="AppTable">
    <w:name w:val="App Table"/>
    <w:basedOn w:val="TableHeading"/>
    <w:rsid w:val="00C86BDA"/>
    <w:pPr>
      <w:numPr>
        <w:numId w:val="6"/>
      </w:numPr>
    </w:pPr>
    <w:rPr>
      <w:sz w:val="20"/>
    </w:rPr>
  </w:style>
  <w:style w:type="character" w:styleId="CommentReference">
    <w:name w:val="annotation reference"/>
    <w:uiPriority w:val="99"/>
    <w:semiHidden/>
    <w:unhideWhenUsed/>
    <w:rsid w:val="001935A3"/>
    <w:rPr>
      <w:sz w:val="16"/>
      <w:szCs w:val="16"/>
    </w:rPr>
  </w:style>
  <w:style w:type="paragraph" w:styleId="CommentText">
    <w:name w:val="annotation text"/>
    <w:basedOn w:val="Normal"/>
    <w:link w:val="CommentTextChar"/>
    <w:uiPriority w:val="99"/>
    <w:unhideWhenUsed/>
    <w:rsid w:val="001935A3"/>
    <w:pPr>
      <w:spacing w:line="240" w:lineRule="auto"/>
    </w:pPr>
    <w:rPr>
      <w:szCs w:val="20"/>
    </w:rPr>
  </w:style>
  <w:style w:type="character" w:customStyle="1" w:styleId="CommentTextChar">
    <w:name w:val="Comment Text Char"/>
    <w:link w:val="CommentText"/>
    <w:uiPriority w:val="99"/>
    <w:rsid w:val="001935A3"/>
    <w:rPr>
      <w:rFonts w:ascii="Arial" w:hAnsi="Arial"/>
      <w:lang w:eastAsia="en-US"/>
    </w:rPr>
  </w:style>
  <w:style w:type="paragraph" w:styleId="CommentSubject">
    <w:name w:val="annotation subject"/>
    <w:basedOn w:val="CommentText"/>
    <w:next w:val="CommentText"/>
    <w:link w:val="CommentSubjectChar"/>
    <w:uiPriority w:val="99"/>
    <w:semiHidden/>
    <w:unhideWhenUsed/>
    <w:rsid w:val="001935A3"/>
    <w:rPr>
      <w:b/>
      <w:bCs/>
    </w:rPr>
  </w:style>
  <w:style w:type="character" w:customStyle="1" w:styleId="CommentSubjectChar">
    <w:name w:val="Comment Subject Char"/>
    <w:link w:val="CommentSubject"/>
    <w:uiPriority w:val="99"/>
    <w:semiHidden/>
    <w:rsid w:val="001935A3"/>
    <w:rPr>
      <w:rFonts w:ascii="Arial" w:hAnsi="Arial"/>
      <w:b/>
      <w:bCs/>
      <w:lang w:eastAsia="en-US"/>
    </w:rPr>
  </w:style>
  <w:style w:type="paragraph" w:customStyle="1" w:styleId="AppendixHeading1">
    <w:name w:val="Appendix Heading 1"/>
    <w:basedOn w:val="Headingunnumbered"/>
    <w:next w:val="Normal"/>
    <w:link w:val="AppendixHeading1Char"/>
    <w:rsid w:val="00A770DD"/>
    <w:pPr>
      <w:numPr>
        <w:numId w:val="8"/>
      </w:numPr>
    </w:pPr>
  </w:style>
  <w:style w:type="character" w:customStyle="1" w:styleId="Heading1Char">
    <w:name w:val="Heading 1 Char"/>
    <w:link w:val="Heading1"/>
    <w:uiPriority w:val="99"/>
    <w:rsid w:val="00614391"/>
    <w:rPr>
      <w:rFonts w:ascii="Arial" w:hAnsi="Arial"/>
      <w:sz w:val="44"/>
      <w:lang w:eastAsia="en-US"/>
    </w:rPr>
  </w:style>
  <w:style w:type="character" w:customStyle="1" w:styleId="HeadingunnumberedChar">
    <w:name w:val="Heading unnumbered Char"/>
    <w:link w:val="Headingunnumbered"/>
    <w:rsid w:val="00701613"/>
    <w:rPr>
      <w:rFonts w:ascii="Arial" w:hAnsi="Arial"/>
      <w:sz w:val="44"/>
      <w:lang w:eastAsia="en-US"/>
    </w:rPr>
  </w:style>
  <w:style w:type="character" w:customStyle="1" w:styleId="AppendixHeading1Char">
    <w:name w:val="Appendix Heading 1 Char"/>
    <w:link w:val="AppendixHeading1"/>
    <w:rsid w:val="00A770DD"/>
    <w:rPr>
      <w:rFonts w:ascii="Arial" w:hAnsi="Arial"/>
      <w:sz w:val="44"/>
      <w:lang w:eastAsia="en-US"/>
    </w:rPr>
  </w:style>
  <w:style w:type="numbering" w:customStyle="1" w:styleId="Style1">
    <w:name w:val="Style1"/>
    <w:uiPriority w:val="99"/>
    <w:rsid w:val="000C3D07"/>
    <w:pPr>
      <w:numPr>
        <w:numId w:val="7"/>
      </w:numPr>
    </w:pPr>
  </w:style>
  <w:style w:type="paragraph" w:styleId="ListParagraph">
    <w:name w:val="List Paragraph"/>
    <w:basedOn w:val="Normal"/>
    <w:link w:val="ListParagraphChar"/>
    <w:uiPriority w:val="34"/>
    <w:qFormat/>
    <w:rsid w:val="00074AD2"/>
    <w:pPr>
      <w:ind w:left="720"/>
      <w:contextualSpacing/>
    </w:pPr>
  </w:style>
  <w:style w:type="paragraph" w:customStyle="1" w:styleId="Table">
    <w:name w:val="Table"/>
    <w:basedOn w:val="TableHeadingLeft"/>
    <w:link w:val="TableChar"/>
    <w:rsid w:val="000F50EC"/>
    <w:pPr>
      <w:spacing w:before="60" w:after="60" w:line="280" w:lineRule="exact"/>
      <w:jc w:val="center"/>
    </w:pPr>
    <w:rPr>
      <w:b w:val="0"/>
      <w:sz w:val="18"/>
      <w:szCs w:val="18"/>
      <w:lang w:val="en-AU"/>
    </w:rPr>
  </w:style>
  <w:style w:type="table" w:customStyle="1" w:styleId="Calendar1">
    <w:name w:val="Calendar 1"/>
    <w:basedOn w:val="TableNormal"/>
    <w:uiPriority w:val="99"/>
    <w:qFormat/>
    <w:rsid w:val="000F50EC"/>
    <w:rPr>
      <w:rFonts w:ascii="Calibri" w:hAnsi="Calibri"/>
      <w:sz w:val="22"/>
      <w:szCs w:val="22"/>
      <w:lang w:val="en-US"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TableHeadingLeftChar">
    <w:name w:val="Table Heading Left Char"/>
    <w:link w:val="TableHeadingLeft"/>
    <w:rsid w:val="000F50EC"/>
    <w:rPr>
      <w:rFonts w:ascii="Arial" w:hAnsi="Arial"/>
      <w:b/>
      <w:lang w:val="en-US" w:eastAsia="en-US"/>
    </w:rPr>
  </w:style>
  <w:style w:type="character" w:customStyle="1" w:styleId="TableChar">
    <w:name w:val="Table Char"/>
    <w:link w:val="Table"/>
    <w:rsid w:val="000F50EC"/>
    <w:rPr>
      <w:rFonts w:ascii="Arial" w:hAnsi="Arial"/>
      <w:b w:val="0"/>
      <w:sz w:val="18"/>
      <w:szCs w:val="18"/>
      <w:lang w:val="en-US" w:eastAsia="en-US"/>
    </w:rPr>
  </w:style>
  <w:style w:type="character" w:styleId="FollowedHyperlink">
    <w:name w:val="FollowedHyperlink"/>
    <w:uiPriority w:val="99"/>
    <w:semiHidden/>
    <w:unhideWhenUsed/>
    <w:rsid w:val="00C96D82"/>
    <w:rPr>
      <w:color w:val="800080"/>
      <w:u w:val="single"/>
    </w:rPr>
  </w:style>
  <w:style w:type="paragraph" w:customStyle="1" w:styleId="AppendixHeading0">
    <w:name w:val="Appendix Heading"/>
    <w:basedOn w:val="Headingunnumbered"/>
    <w:next w:val="Normal"/>
    <w:qFormat/>
    <w:rsid w:val="00C40464"/>
    <w:pPr>
      <w:numPr>
        <w:numId w:val="9"/>
      </w:numPr>
      <w:spacing w:before="400"/>
    </w:pPr>
    <w:rPr>
      <w:szCs w:val="24"/>
    </w:rPr>
  </w:style>
  <w:style w:type="character" w:customStyle="1" w:styleId="FooterChar">
    <w:name w:val="Footer Char"/>
    <w:link w:val="Footer"/>
    <w:uiPriority w:val="99"/>
    <w:rsid w:val="00483414"/>
    <w:rPr>
      <w:rFonts w:ascii="Arial" w:hAnsi="Arial"/>
      <w:szCs w:val="24"/>
      <w:lang w:eastAsia="en-US"/>
    </w:rPr>
  </w:style>
  <w:style w:type="character" w:customStyle="1" w:styleId="ListParagraphChar">
    <w:name w:val="List Paragraph Char"/>
    <w:link w:val="ListParagraph"/>
    <w:uiPriority w:val="34"/>
    <w:locked/>
    <w:rsid w:val="00BC43C9"/>
    <w:rPr>
      <w:rFonts w:ascii="Arial" w:hAnsi="Arial"/>
      <w:szCs w:val="24"/>
      <w:lang w:eastAsia="en-US"/>
    </w:rPr>
  </w:style>
  <w:style w:type="table" w:customStyle="1" w:styleId="TableGrid1">
    <w:name w:val="Table Grid1"/>
    <w:basedOn w:val="TableNormal"/>
    <w:next w:val="TableGrid"/>
    <w:rsid w:val="000838B3"/>
    <w:rPr>
      <w:rFonts w:ascii="Arial" w:hAnsi="Arial"/>
      <w:sz w:val="22"/>
      <w:szCs w:val="22"/>
    </w:rPr>
    <w:tblPr>
      <w:tblBorders>
        <w:top w:val="single" w:sz="2" w:space="0" w:color="000000"/>
        <w:bottom w:val="single" w:sz="2" w:space="0" w:color="000000"/>
        <w:insideH w:val="single" w:sz="2" w:space="0" w:color="000000"/>
        <w:insideV w:val="single" w:sz="2" w:space="0" w:color="000000"/>
      </w:tblBorders>
    </w:tblPr>
    <w:tcPr>
      <w:noWrap/>
      <w:vAlign w:val="center"/>
    </w:tcPr>
  </w:style>
  <w:style w:type="paragraph" w:customStyle="1" w:styleId="xl68">
    <w:name w:val="xl68"/>
    <w:basedOn w:val="Normal"/>
    <w:rsid w:val="00B35ECC"/>
    <w:pPr>
      <w:spacing w:before="100" w:beforeAutospacing="1" w:after="100" w:afterAutospacing="1" w:line="240" w:lineRule="auto"/>
      <w:jc w:val="left"/>
    </w:pPr>
    <w:rPr>
      <w:rFonts w:cs="Arial"/>
      <w:sz w:val="18"/>
      <w:szCs w:val="18"/>
      <w:lang w:val="en-US"/>
    </w:rPr>
  </w:style>
  <w:style w:type="paragraph" w:customStyle="1" w:styleId="xl69">
    <w:name w:val="xl69"/>
    <w:basedOn w:val="Normal"/>
    <w:rsid w:val="00B35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sz w:val="18"/>
      <w:szCs w:val="18"/>
      <w:lang w:val="en-US"/>
    </w:rPr>
  </w:style>
  <w:style w:type="paragraph" w:customStyle="1" w:styleId="xl70">
    <w:name w:val="xl70"/>
    <w:basedOn w:val="Normal"/>
    <w:rsid w:val="00B35ECC"/>
    <w:pPr>
      <w:spacing w:before="100" w:beforeAutospacing="1" w:after="100" w:afterAutospacing="1" w:line="240" w:lineRule="auto"/>
      <w:jc w:val="left"/>
    </w:pPr>
    <w:rPr>
      <w:rFonts w:cs="Arial"/>
      <w:sz w:val="18"/>
      <w:szCs w:val="18"/>
      <w:lang w:val="en-US"/>
    </w:rPr>
  </w:style>
  <w:style w:type="paragraph" w:customStyle="1" w:styleId="xl71">
    <w:name w:val="xl71"/>
    <w:basedOn w:val="Normal"/>
    <w:rsid w:val="00B35ECC"/>
    <w:pPr>
      <w:spacing w:before="100" w:beforeAutospacing="1" w:after="100" w:afterAutospacing="1" w:line="240" w:lineRule="auto"/>
      <w:jc w:val="center"/>
    </w:pPr>
    <w:rPr>
      <w:rFonts w:cs="Arial"/>
      <w:sz w:val="18"/>
      <w:szCs w:val="18"/>
      <w:lang w:val="en-US"/>
    </w:rPr>
  </w:style>
  <w:style w:type="paragraph" w:customStyle="1" w:styleId="xl72">
    <w:name w:val="xl72"/>
    <w:basedOn w:val="Normal"/>
    <w:rsid w:val="00B35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sz w:val="18"/>
      <w:szCs w:val="18"/>
      <w:lang w:val="en-US"/>
    </w:rPr>
  </w:style>
  <w:style w:type="paragraph" w:customStyle="1" w:styleId="xl73">
    <w:name w:val="xl73"/>
    <w:basedOn w:val="Normal"/>
    <w:rsid w:val="00B35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sz w:val="18"/>
      <w:szCs w:val="18"/>
      <w:lang w:val="en-US"/>
    </w:rPr>
  </w:style>
  <w:style w:type="paragraph" w:customStyle="1" w:styleId="xl74">
    <w:name w:val="xl74"/>
    <w:basedOn w:val="Normal"/>
    <w:rsid w:val="00B35ECC"/>
    <w:pPr>
      <w:spacing w:before="100" w:beforeAutospacing="1" w:after="100" w:afterAutospacing="1" w:line="240" w:lineRule="auto"/>
      <w:jc w:val="left"/>
    </w:pPr>
    <w:rPr>
      <w:rFonts w:cs="Arial"/>
      <w:sz w:val="18"/>
      <w:szCs w:val="18"/>
      <w:lang w:val="en-US"/>
    </w:rPr>
  </w:style>
  <w:style w:type="paragraph" w:customStyle="1" w:styleId="xl75">
    <w:name w:val="xl75"/>
    <w:basedOn w:val="Normal"/>
    <w:rsid w:val="00B35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sz w:val="18"/>
      <w:szCs w:val="18"/>
      <w:lang w:val="en-US"/>
    </w:rPr>
  </w:style>
  <w:style w:type="paragraph" w:customStyle="1" w:styleId="xl76">
    <w:name w:val="xl76"/>
    <w:basedOn w:val="Normal"/>
    <w:rsid w:val="00B35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sz w:val="18"/>
      <w:szCs w:val="18"/>
      <w:lang w:val="en-US"/>
    </w:rPr>
  </w:style>
  <w:style w:type="paragraph" w:customStyle="1" w:styleId="xl77">
    <w:name w:val="xl77"/>
    <w:basedOn w:val="Normal"/>
    <w:rsid w:val="00B35ECC"/>
    <w:pPr>
      <w:pBdr>
        <w:top w:val="single" w:sz="4" w:space="0" w:color="auto"/>
        <w:left w:val="single" w:sz="4" w:space="0" w:color="auto"/>
      </w:pBdr>
      <w:spacing w:before="100" w:beforeAutospacing="1" w:after="100" w:afterAutospacing="1" w:line="240" w:lineRule="auto"/>
      <w:jc w:val="left"/>
    </w:pPr>
    <w:rPr>
      <w:rFonts w:cs="Arial"/>
      <w:sz w:val="18"/>
      <w:szCs w:val="18"/>
      <w:lang w:val="en-US"/>
    </w:rPr>
  </w:style>
  <w:style w:type="paragraph" w:customStyle="1" w:styleId="xl78">
    <w:name w:val="xl78"/>
    <w:basedOn w:val="Normal"/>
    <w:rsid w:val="00B35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Arial"/>
      <w:b/>
      <w:bCs/>
      <w:sz w:val="18"/>
      <w:szCs w:val="18"/>
      <w:lang w:val="en-US"/>
    </w:rPr>
  </w:style>
  <w:style w:type="paragraph" w:customStyle="1" w:styleId="xl79">
    <w:name w:val="xl79"/>
    <w:basedOn w:val="Normal"/>
    <w:rsid w:val="00B35ECC"/>
    <w:pPr>
      <w:pBdr>
        <w:top w:val="single" w:sz="4" w:space="0" w:color="auto"/>
        <w:left w:val="single" w:sz="4" w:space="0" w:color="auto"/>
        <w:bottom w:val="single" w:sz="4" w:space="0" w:color="auto"/>
      </w:pBdr>
      <w:spacing w:before="100" w:beforeAutospacing="1" w:after="100" w:afterAutospacing="1" w:line="240" w:lineRule="auto"/>
      <w:jc w:val="right"/>
    </w:pPr>
    <w:rPr>
      <w:rFonts w:cs="Arial"/>
      <w:b/>
      <w:bCs/>
      <w:sz w:val="18"/>
      <w:szCs w:val="18"/>
      <w:lang w:val="en-US"/>
    </w:rPr>
  </w:style>
  <w:style w:type="paragraph" w:customStyle="1" w:styleId="xl80">
    <w:name w:val="xl80"/>
    <w:basedOn w:val="Normal"/>
    <w:rsid w:val="00B35ECC"/>
    <w:pPr>
      <w:pBdr>
        <w:top w:val="single" w:sz="4" w:space="0" w:color="auto"/>
        <w:bottom w:val="single" w:sz="4" w:space="0" w:color="auto"/>
        <w:right w:val="single" w:sz="4" w:space="0" w:color="auto"/>
      </w:pBdr>
      <w:spacing w:before="100" w:beforeAutospacing="1" w:after="100" w:afterAutospacing="1" w:line="240" w:lineRule="auto"/>
      <w:jc w:val="right"/>
    </w:pPr>
    <w:rPr>
      <w:rFonts w:cs="Arial"/>
      <w:b/>
      <w:bCs/>
      <w:sz w:val="18"/>
      <w:szCs w:val="18"/>
      <w:lang w:val="en-US"/>
    </w:rPr>
  </w:style>
  <w:style w:type="paragraph" w:customStyle="1" w:styleId="xl81">
    <w:name w:val="xl81"/>
    <w:basedOn w:val="Normal"/>
    <w:rsid w:val="00B35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sz w:val="18"/>
      <w:szCs w:val="18"/>
      <w:lang w:val="en-US"/>
    </w:rPr>
  </w:style>
  <w:style w:type="paragraph" w:customStyle="1" w:styleId="xl82">
    <w:name w:val="xl82"/>
    <w:basedOn w:val="Normal"/>
    <w:rsid w:val="00B35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8"/>
      <w:szCs w:val="18"/>
      <w:lang w:val="en-US"/>
    </w:rPr>
  </w:style>
  <w:style w:type="paragraph" w:customStyle="1" w:styleId="xl83">
    <w:name w:val="xl83"/>
    <w:basedOn w:val="Normal"/>
    <w:rsid w:val="00B35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8"/>
      <w:szCs w:val="18"/>
      <w:lang w:val="en-US"/>
    </w:rPr>
  </w:style>
  <w:style w:type="paragraph" w:customStyle="1" w:styleId="xl84">
    <w:name w:val="xl84"/>
    <w:basedOn w:val="Normal"/>
    <w:rsid w:val="00B35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8"/>
      <w:szCs w:val="18"/>
      <w:lang w:val="en-US"/>
    </w:rPr>
  </w:style>
  <w:style w:type="paragraph" w:customStyle="1" w:styleId="font5">
    <w:name w:val="font5"/>
    <w:basedOn w:val="Normal"/>
    <w:rsid w:val="00B35ECC"/>
    <w:pPr>
      <w:spacing w:before="100" w:beforeAutospacing="1" w:after="100" w:afterAutospacing="1" w:line="240" w:lineRule="auto"/>
      <w:jc w:val="left"/>
    </w:pPr>
    <w:rPr>
      <w:rFonts w:ascii="Arial Narrow" w:hAnsi="Arial Narrow"/>
      <w:color w:val="000000"/>
      <w:sz w:val="18"/>
      <w:szCs w:val="18"/>
      <w:lang w:val="en-US"/>
    </w:rPr>
  </w:style>
  <w:style w:type="paragraph" w:styleId="Revision">
    <w:name w:val="Revision"/>
    <w:hidden/>
    <w:uiPriority w:val="99"/>
    <w:semiHidden/>
    <w:rsid w:val="00B35ECC"/>
    <w:rPr>
      <w:rFonts w:ascii="Arial" w:hAnsi="Arial"/>
      <w:szCs w:val="24"/>
      <w:lang w:eastAsia="en-US"/>
    </w:rPr>
  </w:style>
  <w:style w:type="paragraph" w:styleId="NormalWeb">
    <w:name w:val="Normal (Web)"/>
    <w:basedOn w:val="Normal"/>
    <w:uiPriority w:val="99"/>
    <w:unhideWhenUsed/>
    <w:rsid w:val="00B35ECC"/>
    <w:pPr>
      <w:spacing w:before="100" w:beforeAutospacing="1" w:after="100" w:afterAutospacing="1" w:line="240" w:lineRule="auto"/>
      <w:jc w:val="left"/>
    </w:pPr>
    <w:rPr>
      <w:rFonts w:ascii="Times New Roman" w:hAnsi="Times New Roman"/>
      <w:sz w:val="24"/>
      <w:lang w:val="en-US"/>
    </w:rPr>
  </w:style>
  <w:style w:type="paragraph" w:customStyle="1" w:styleId="xl66">
    <w:name w:val="xl66"/>
    <w:basedOn w:val="Normal"/>
    <w:rsid w:val="00B35ECC"/>
    <w:pPr>
      <w:spacing w:before="100" w:beforeAutospacing="1" w:after="100" w:afterAutospacing="1" w:line="240" w:lineRule="auto"/>
      <w:jc w:val="left"/>
    </w:pPr>
    <w:rPr>
      <w:rFonts w:cs="Arial"/>
      <w:sz w:val="18"/>
      <w:szCs w:val="18"/>
      <w:lang w:val="en-US"/>
    </w:rPr>
  </w:style>
  <w:style w:type="paragraph" w:customStyle="1" w:styleId="xl67">
    <w:name w:val="xl67"/>
    <w:basedOn w:val="Normal"/>
    <w:rsid w:val="00B35ECC"/>
    <w:pPr>
      <w:spacing w:before="100" w:beforeAutospacing="1" w:after="100" w:afterAutospacing="1" w:line="240" w:lineRule="auto"/>
      <w:jc w:val="left"/>
    </w:pPr>
    <w:rPr>
      <w:rFonts w:cs="Arial"/>
      <w:sz w:val="18"/>
      <w:szCs w:val="18"/>
      <w:lang w:val="en-US"/>
    </w:rPr>
  </w:style>
  <w:style w:type="table" w:customStyle="1" w:styleId="ELATable">
    <w:name w:val="ELA Table"/>
    <w:basedOn w:val="TableGrid2"/>
    <w:uiPriority w:val="99"/>
    <w:rsid w:val="00D82B27"/>
    <w:pPr>
      <w:spacing w:before="60" w:after="60"/>
    </w:pPr>
    <w:rPr>
      <w:rFonts w:ascii="Arial" w:hAnsi="Arial"/>
      <w:sz w:val="18"/>
      <w:lang w:val="en-US" w:eastAsia="en-US"/>
    </w:rPr>
    <w:tblPr>
      <w:tblBorders>
        <w:top w:val="single" w:sz="4" w:space="0" w:color="auto"/>
        <w:bottom w:val="single" w:sz="4" w:space="0" w:color="auto"/>
        <w:insideH w:val="single" w:sz="4" w:space="0" w:color="auto"/>
        <w:insideV w:val="single" w:sz="4" w:space="0" w:color="auto"/>
      </w:tblBorders>
    </w:tblPr>
    <w:tcPr>
      <w:shd w:val="clear" w:color="auto" w:fill="auto"/>
    </w:tcPr>
    <w:tblStylePr w:type="firstRow">
      <w:rPr>
        <w:b w:val="0"/>
        <w:bCs/>
      </w:rPr>
      <w:tblPr/>
      <w:tcPr>
        <w:tcBorders>
          <w:tl2br w:val="none" w:sz="0" w:space="0" w:color="auto"/>
          <w:tr2bl w:val="none" w:sz="0" w:space="0" w:color="auto"/>
        </w:tcBorders>
        <w:shd w:val="clear" w:color="auto" w:fill="D9D9D9"/>
      </w:tcPr>
    </w:tblStylePr>
    <w:tblStylePr w:type="lastRow">
      <w:rPr>
        <w:b/>
        <w:bCs/>
      </w:rPr>
      <w:tblPr/>
      <w:tcPr>
        <w:tcBorders>
          <w:top w:val="single" w:sz="6" w:space="0" w:color="000000"/>
          <w:tl2br w:val="none" w:sz="0" w:space="0" w:color="auto"/>
          <w:tr2bl w:val="none" w:sz="0" w:space="0" w:color="auto"/>
        </w:tcBorders>
      </w:tcPr>
    </w:tblStylePr>
    <w:tblStylePr w:type="firstCol">
      <w:rPr>
        <w:b w:val="0"/>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B35ECC"/>
    <w:pPr>
      <w:spacing w:after="200" w:line="280" w:lineRule="exact"/>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B35ECC"/>
    <w:pPr>
      <w:spacing w:after="0" w:line="240" w:lineRule="auto"/>
      <w:contextualSpacing/>
      <w:jc w:val="left"/>
    </w:pPr>
    <w:rPr>
      <w:rFonts w:ascii="Cambria" w:hAnsi="Cambria"/>
      <w:spacing w:val="-10"/>
      <w:kern w:val="28"/>
      <w:sz w:val="56"/>
      <w:szCs w:val="56"/>
    </w:rPr>
  </w:style>
  <w:style w:type="character" w:customStyle="1" w:styleId="TitleChar">
    <w:name w:val="Title Char"/>
    <w:link w:val="Title"/>
    <w:uiPriority w:val="10"/>
    <w:rsid w:val="00B35ECC"/>
    <w:rPr>
      <w:rFonts w:ascii="Cambria" w:eastAsia="Times New Roman" w:hAnsi="Cambria" w:cs="Times New Roman"/>
      <w:spacing w:val="-10"/>
      <w:kern w:val="28"/>
      <w:sz w:val="56"/>
      <w:szCs w:val="56"/>
      <w:lang w:eastAsia="en-US"/>
    </w:rPr>
  </w:style>
  <w:style w:type="table" w:styleId="PlainTable2">
    <w:name w:val="Plain Table 2"/>
    <w:basedOn w:val="TableNormal"/>
    <w:uiPriority w:val="42"/>
    <w:rsid w:val="00B35ECC"/>
    <w:rPr>
      <w:rFonts w:ascii="Calibri" w:eastAsia="Calibri" w:hAnsi="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HeaderChar">
    <w:name w:val="Header Char"/>
    <w:link w:val="Header"/>
    <w:uiPriority w:val="99"/>
    <w:rsid w:val="00B35ECC"/>
    <w:rPr>
      <w:rFonts w:ascii="Arial" w:hAnsi="Arial"/>
      <w:szCs w:val="24"/>
      <w:lang w:eastAsia="en-US"/>
    </w:rPr>
  </w:style>
  <w:style w:type="paragraph" w:customStyle="1" w:styleId="Style9ptBoldAllcapsAfter0ptExpandedby1ptLines">
    <w:name w:val="Style 9 pt Bold All caps After:  0 pt Expanded by  1 pt Line s..."/>
    <w:basedOn w:val="Normal"/>
    <w:rsid w:val="00E809F1"/>
    <w:pPr>
      <w:spacing w:after="0" w:line="240" w:lineRule="atLeast"/>
    </w:pPr>
    <w:rPr>
      <w:b/>
      <w:bCs/>
      <w:caps/>
      <w:spacing w:val="20"/>
      <w:sz w:val="18"/>
      <w:szCs w:val="20"/>
    </w:rPr>
  </w:style>
  <w:style w:type="paragraph" w:customStyle="1" w:styleId="HeadingNOnumbers0">
    <w:name w:val="Heading NO numbers"/>
    <w:basedOn w:val="Headingnonumbers"/>
    <w:next w:val="Normal"/>
    <w:rsid w:val="00E809F1"/>
    <w:pPr>
      <w:pBdr>
        <w:bottom w:val="none" w:sz="0" w:space="0" w:color="auto"/>
      </w:pBdr>
    </w:pPr>
  </w:style>
  <w:style w:type="paragraph" w:customStyle="1" w:styleId="TaskHeadings">
    <w:name w:val="Task Headings"/>
    <w:basedOn w:val="Caption"/>
    <w:qFormat/>
    <w:rsid w:val="00E809F1"/>
    <w:pPr>
      <w:numPr>
        <w:numId w:val="11"/>
      </w:numPr>
      <w:tabs>
        <w:tab w:val="clear" w:pos="1080"/>
        <w:tab w:val="left" w:pos="1134"/>
      </w:tabs>
      <w:spacing w:line="360" w:lineRule="auto"/>
      <w:ind w:left="1134" w:hanging="1134"/>
    </w:pPr>
    <w:rPr>
      <w:rFonts w:cs="Arial"/>
      <w:sz w:val="20"/>
    </w:rPr>
  </w:style>
  <w:style w:type="paragraph" w:styleId="PlainText">
    <w:name w:val="Plain Text"/>
    <w:basedOn w:val="Normal"/>
    <w:link w:val="PlainTextChar"/>
    <w:uiPriority w:val="99"/>
    <w:semiHidden/>
    <w:unhideWhenUsed/>
    <w:rsid w:val="00E809F1"/>
    <w:pPr>
      <w:spacing w:after="0" w:line="240" w:lineRule="auto"/>
      <w:jc w:val="left"/>
    </w:pPr>
    <w:rPr>
      <w:rFonts w:ascii="Verdana" w:eastAsia="Calibri" w:hAnsi="Verdana"/>
      <w:szCs w:val="20"/>
    </w:rPr>
  </w:style>
  <w:style w:type="character" w:customStyle="1" w:styleId="PlainTextChar">
    <w:name w:val="Plain Text Char"/>
    <w:link w:val="PlainText"/>
    <w:uiPriority w:val="99"/>
    <w:semiHidden/>
    <w:rsid w:val="00E809F1"/>
    <w:rPr>
      <w:rFonts w:ascii="Verdana" w:eastAsia="Calibri" w:hAnsi="Verdana"/>
      <w:lang w:eastAsia="en-US"/>
    </w:rPr>
  </w:style>
  <w:style w:type="character" w:styleId="Emphasis">
    <w:name w:val="Emphasis"/>
    <w:uiPriority w:val="20"/>
    <w:qFormat/>
    <w:rsid w:val="00E809F1"/>
    <w:rPr>
      <w:i/>
      <w:iCs/>
    </w:rPr>
  </w:style>
  <w:style w:type="character" w:customStyle="1" w:styleId="Heading2Char">
    <w:name w:val="Heading 2 Char"/>
    <w:link w:val="Heading2"/>
    <w:uiPriority w:val="99"/>
    <w:rsid w:val="00E809F1"/>
    <w:rPr>
      <w:rFonts w:ascii="Arial Bold" w:hAnsi="Arial Bold"/>
      <w:b/>
      <w:spacing w:val="20"/>
      <w:lang w:eastAsia="en-US"/>
    </w:rPr>
  </w:style>
  <w:style w:type="character" w:customStyle="1" w:styleId="Heading3Char">
    <w:name w:val="Heading 3 Char"/>
    <w:link w:val="Heading3"/>
    <w:uiPriority w:val="99"/>
    <w:rsid w:val="00E809F1"/>
    <w:rPr>
      <w:rFonts w:ascii="Arial" w:hAnsi="Arial"/>
      <w:b/>
      <w:lang w:eastAsia="en-US"/>
    </w:rPr>
  </w:style>
  <w:style w:type="character" w:customStyle="1" w:styleId="Heading4Char">
    <w:name w:val="Heading 4 Char"/>
    <w:aliases w:val="Appendix level 2 Char"/>
    <w:link w:val="Heading4"/>
    <w:rsid w:val="00E809F1"/>
    <w:rPr>
      <w:rFonts w:ascii="Arial" w:hAnsi="Arial"/>
      <w:i/>
      <w:lang w:eastAsia="en-US"/>
    </w:rPr>
  </w:style>
  <w:style w:type="character" w:customStyle="1" w:styleId="Heading5Char">
    <w:name w:val="Heading 5 Char"/>
    <w:link w:val="Heading5"/>
    <w:uiPriority w:val="99"/>
    <w:rsid w:val="00E809F1"/>
    <w:rPr>
      <w:rFonts w:ascii="Arial" w:hAnsi="Arial"/>
      <w:lang w:eastAsia="en-US"/>
    </w:rPr>
  </w:style>
  <w:style w:type="character" w:customStyle="1" w:styleId="Heading6Char">
    <w:name w:val="Heading 6 Char"/>
    <w:aliases w:val="LTIM Appendix heading Char"/>
    <w:link w:val="Heading6"/>
    <w:uiPriority w:val="99"/>
    <w:rsid w:val="009158FE"/>
    <w:rPr>
      <w:rFonts w:ascii="Arial" w:hAnsi="Arial"/>
      <w:sz w:val="44"/>
      <w:lang w:eastAsia="en-US"/>
    </w:rPr>
  </w:style>
  <w:style w:type="character" w:customStyle="1" w:styleId="Heading7Char">
    <w:name w:val="Heading 7 Char"/>
    <w:link w:val="Heading7"/>
    <w:uiPriority w:val="99"/>
    <w:rsid w:val="00FB1AE6"/>
    <w:rPr>
      <w:rFonts w:ascii="Arial" w:hAnsi="Arial"/>
      <w:sz w:val="44"/>
      <w:lang w:eastAsia="en-US"/>
    </w:rPr>
  </w:style>
  <w:style w:type="character" w:customStyle="1" w:styleId="Heading8Char">
    <w:name w:val="Heading 8 Char"/>
    <w:link w:val="Heading8"/>
    <w:uiPriority w:val="99"/>
    <w:rsid w:val="00E97BFA"/>
    <w:rPr>
      <w:rFonts w:ascii="Arial" w:hAnsi="Arial"/>
      <w:b/>
      <w:lang w:eastAsia="en-US"/>
    </w:rPr>
  </w:style>
  <w:style w:type="character" w:customStyle="1" w:styleId="Heading9Char">
    <w:name w:val="Heading 9 Char"/>
    <w:link w:val="Heading9"/>
    <w:uiPriority w:val="99"/>
    <w:rsid w:val="006E559A"/>
    <w:rPr>
      <w:rFonts w:ascii="Arial" w:hAnsi="Arial"/>
      <w:b/>
      <w:lang w:eastAsia="en-US"/>
    </w:rPr>
  </w:style>
  <w:style w:type="character" w:customStyle="1" w:styleId="FootnoteTextChar">
    <w:name w:val="Footnote Text Char"/>
    <w:link w:val="FootnoteText"/>
    <w:semiHidden/>
    <w:rsid w:val="00E809F1"/>
    <w:rPr>
      <w:rFonts w:ascii="Arial" w:hAnsi="Arial"/>
      <w:lang w:eastAsia="en-US"/>
    </w:rPr>
  </w:style>
  <w:style w:type="character" w:customStyle="1" w:styleId="DocumentMapChar">
    <w:name w:val="Document Map Char"/>
    <w:link w:val="DocumentMap"/>
    <w:semiHidden/>
    <w:rsid w:val="00E809F1"/>
    <w:rPr>
      <w:rFonts w:ascii="Tahoma" w:hAnsi="Tahoma" w:cs="Tahoma"/>
      <w:shd w:val="clear" w:color="auto" w:fill="000080"/>
      <w:lang w:eastAsia="en-US"/>
    </w:rPr>
  </w:style>
  <w:style w:type="paragraph" w:customStyle="1" w:styleId="Default">
    <w:name w:val="Default"/>
    <w:rsid w:val="00E809F1"/>
    <w:pPr>
      <w:autoSpaceDE w:val="0"/>
      <w:autoSpaceDN w:val="0"/>
      <w:adjustRightInd w:val="0"/>
    </w:pPr>
    <w:rPr>
      <w:rFonts w:ascii="Calibri" w:hAnsi="Calibri" w:cs="Calibri"/>
      <w:color w:val="000000"/>
      <w:sz w:val="24"/>
      <w:szCs w:val="24"/>
    </w:rPr>
  </w:style>
  <w:style w:type="paragraph" w:customStyle="1" w:styleId="applevel2">
    <w:name w:val="app level 2"/>
    <w:next w:val="Normal"/>
    <w:qFormat/>
    <w:rsid w:val="00E809F1"/>
    <w:pPr>
      <w:spacing w:before="120" w:after="120" w:line="360" w:lineRule="atLeast"/>
      <w:ind w:left="357" w:hanging="357"/>
    </w:pPr>
    <w:rPr>
      <w:rFonts w:ascii="Arial Bold" w:hAnsi="Arial Bold"/>
      <w:spacing w:val="20"/>
      <w:szCs w:val="24"/>
      <w:lang w:eastAsia="en-US"/>
    </w:rPr>
  </w:style>
  <w:style w:type="numbering" w:customStyle="1" w:styleId="AppendixHeadings">
    <w:name w:val="Appendix Headings"/>
    <w:uiPriority w:val="99"/>
    <w:rsid w:val="00E809F1"/>
    <w:pPr>
      <w:numPr>
        <w:numId w:val="13"/>
      </w:numPr>
    </w:pPr>
  </w:style>
  <w:style w:type="character" w:styleId="HTMLCite">
    <w:name w:val="HTML Cite"/>
    <w:uiPriority w:val="99"/>
    <w:semiHidden/>
    <w:unhideWhenUsed/>
    <w:rsid w:val="00E809F1"/>
    <w:rPr>
      <w:i/>
      <w:iCs/>
    </w:rPr>
  </w:style>
  <w:style w:type="character" w:customStyle="1" w:styleId="author">
    <w:name w:val="author"/>
    <w:basedOn w:val="DefaultParagraphFont"/>
    <w:rsid w:val="00E809F1"/>
  </w:style>
  <w:style w:type="character" w:customStyle="1" w:styleId="pubyear">
    <w:name w:val="pubyear"/>
    <w:basedOn w:val="DefaultParagraphFont"/>
    <w:rsid w:val="00E809F1"/>
  </w:style>
  <w:style w:type="character" w:customStyle="1" w:styleId="articletitle">
    <w:name w:val="articletitle"/>
    <w:basedOn w:val="DefaultParagraphFont"/>
    <w:rsid w:val="00E809F1"/>
  </w:style>
  <w:style w:type="character" w:customStyle="1" w:styleId="journaltitle2">
    <w:name w:val="journaltitle2"/>
    <w:rsid w:val="00E809F1"/>
    <w:rPr>
      <w:i/>
      <w:iCs/>
    </w:rPr>
  </w:style>
  <w:style w:type="character" w:customStyle="1" w:styleId="vol2">
    <w:name w:val="vol2"/>
    <w:rsid w:val="00E809F1"/>
    <w:rPr>
      <w:b/>
      <w:bCs/>
    </w:rPr>
  </w:style>
  <w:style w:type="character" w:customStyle="1" w:styleId="pagefirst">
    <w:name w:val="pagefirst"/>
    <w:basedOn w:val="DefaultParagraphFont"/>
    <w:rsid w:val="00E809F1"/>
  </w:style>
  <w:style w:type="character" w:customStyle="1" w:styleId="pagelast">
    <w:name w:val="pagelast"/>
    <w:basedOn w:val="DefaultParagraphFont"/>
    <w:rsid w:val="00E809F1"/>
  </w:style>
  <w:style w:type="character" w:customStyle="1" w:styleId="smallcaps2">
    <w:name w:val="smallcaps2"/>
    <w:rsid w:val="00E809F1"/>
    <w:rPr>
      <w:smallCaps/>
    </w:rPr>
  </w:style>
  <w:style w:type="character" w:customStyle="1" w:styleId="booktitle2">
    <w:name w:val="booktitle2"/>
    <w:rsid w:val="00E809F1"/>
    <w:rPr>
      <w:i/>
      <w:iCs/>
    </w:rPr>
  </w:style>
  <w:style w:type="paragraph" w:styleId="TOC6">
    <w:name w:val="toc 6"/>
    <w:basedOn w:val="Normal"/>
    <w:next w:val="Normal"/>
    <w:autoRedefine/>
    <w:uiPriority w:val="39"/>
    <w:unhideWhenUsed/>
    <w:rsid w:val="00E809F1"/>
    <w:pPr>
      <w:spacing w:after="100" w:line="276" w:lineRule="auto"/>
      <w:ind w:left="1100"/>
      <w:jc w:val="left"/>
    </w:pPr>
    <w:rPr>
      <w:rFonts w:ascii="Calibri" w:hAnsi="Calibri"/>
      <w:sz w:val="22"/>
      <w:szCs w:val="22"/>
      <w:lang w:eastAsia="en-AU"/>
    </w:rPr>
  </w:style>
  <w:style w:type="paragraph" w:styleId="TOC7">
    <w:name w:val="toc 7"/>
    <w:basedOn w:val="Normal"/>
    <w:next w:val="Normal"/>
    <w:autoRedefine/>
    <w:uiPriority w:val="39"/>
    <w:unhideWhenUsed/>
    <w:rsid w:val="00E809F1"/>
    <w:pPr>
      <w:spacing w:after="100" w:line="276" w:lineRule="auto"/>
      <w:ind w:left="1320"/>
      <w:jc w:val="left"/>
    </w:pPr>
    <w:rPr>
      <w:rFonts w:ascii="Calibri" w:hAnsi="Calibri"/>
      <w:sz w:val="22"/>
      <w:szCs w:val="22"/>
      <w:lang w:eastAsia="en-AU"/>
    </w:rPr>
  </w:style>
  <w:style w:type="paragraph" w:styleId="TOC8">
    <w:name w:val="toc 8"/>
    <w:basedOn w:val="Normal"/>
    <w:next w:val="Normal"/>
    <w:autoRedefine/>
    <w:uiPriority w:val="39"/>
    <w:unhideWhenUsed/>
    <w:rsid w:val="00E809F1"/>
    <w:pPr>
      <w:spacing w:after="100" w:line="276" w:lineRule="auto"/>
      <w:ind w:left="1540"/>
      <w:jc w:val="left"/>
    </w:pPr>
    <w:rPr>
      <w:rFonts w:ascii="Calibri" w:hAnsi="Calibri"/>
      <w:sz w:val="22"/>
      <w:szCs w:val="22"/>
      <w:lang w:eastAsia="en-AU"/>
    </w:rPr>
  </w:style>
  <w:style w:type="paragraph" w:styleId="TOC9">
    <w:name w:val="toc 9"/>
    <w:basedOn w:val="Normal"/>
    <w:next w:val="Normal"/>
    <w:autoRedefine/>
    <w:uiPriority w:val="39"/>
    <w:unhideWhenUsed/>
    <w:rsid w:val="00E809F1"/>
    <w:pPr>
      <w:spacing w:after="100" w:line="276" w:lineRule="auto"/>
      <w:ind w:left="1760"/>
      <w:jc w:val="left"/>
    </w:pPr>
    <w:rPr>
      <w:rFonts w:ascii="Calibri" w:hAnsi="Calibri"/>
      <w:sz w:val="22"/>
      <w:szCs w:val="22"/>
      <w:lang w:eastAsia="en-AU"/>
    </w:rPr>
  </w:style>
  <w:style w:type="paragraph" w:customStyle="1" w:styleId="Appendheading2">
    <w:name w:val="Append heading 2"/>
    <w:basedOn w:val="Heading2"/>
    <w:link w:val="Appendheading2Char"/>
    <w:qFormat/>
    <w:rsid w:val="00E809F1"/>
    <w:pPr>
      <w:numPr>
        <w:ilvl w:val="0"/>
        <w:numId w:val="0"/>
      </w:numPr>
      <w:tabs>
        <w:tab w:val="clear" w:pos="567"/>
        <w:tab w:val="left" w:pos="0"/>
        <w:tab w:val="num" w:pos="1152"/>
      </w:tabs>
      <w:ind w:left="1152" w:hanging="576"/>
    </w:pPr>
    <w:rPr>
      <w:rFonts w:eastAsia="Calibri" w:cs="Calibri"/>
    </w:rPr>
  </w:style>
  <w:style w:type="paragraph" w:customStyle="1" w:styleId="AppendixHeading">
    <w:name w:val="Appendix Heading:"/>
    <w:basedOn w:val="Heading1"/>
    <w:next w:val="Normal"/>
    <w:autoRedefine/>
    <w:qFormat/>
    <w:rsid w:val="00E809F1"/>
    <w:pPr>
      <w:keepNext w:val="0"/>
      <w:widowControl w:val="0"/>
      <w:numPr>
        <w:numId w:val="14"/>
      </w:numPr>
      <w:tabs>
        <w:tab w:val="clear" w:pos="567"/>
        <w:tab w:val="left" w:pos="0"/>
      </w:tabs>
      <w:ind w:left="426" w:hanging="426"/>
      <w:contextualSpacing/>
      <w:jc w:val="left"/>
    </w:pPr>
    <w:rPr>
      <w:rFonts w:eastAsia="Calibri" w:cs="Calibri"/>
      <w:sz w:val="52"/>
      <w:lang w:eastAsia="en-AU"/>
    </w:rPr>
  </w:style>
  <w:style w:type="character" w:customStyle="1" w:styleId="Appendheading2Char">
    <w:name w:val="Append heading 2 Char"/>
    <w:link w:val="Appendheading2"/>
    <w:rsid w:val="00E809F1"/>
    <w:rPr>
      <w:rFonts w:ascii="Arial Bold" w:eastAsia="Calibri" w:hAnsi="Arial Bold" w:cs="Calibri"/>
      <w:b/>
      <w:spacing w:val="20"/>
      <w:lang w:eastAsia="en-US"/>
    </w:rPr>
  </w:style>
  <w:style w:type="paragraph" w:customStyle="1" w:styleId="Numbers">
    <w:name w:val="Numbers"/>
    <w:basedOn w:val="List1"/>
    <w:link w:val="NumbersChar"/>
    <w:qFormat/>
    <w:rsid w:val="00E809F1"/>
    <w:pPr>
      <w:numPr>
        <w:numId w:val="0"/>
      </w:numPr>
      <w:tabs>
        <w:tab w:val="num" w:pos="720"/>
      </w:tabs>
      <w:ind w:left="720" w:hanging="363"/>
      <w:contextualSpacing/>
    </w:pPr>
  </w:style>
  <w:style w:type="character" w:customStyle="1" w:styleId="List1Char">
    <w:name w:val="List 1 Char"/>
    <w:link w:val="List1"/>
    <w:rsid w:val="00E809F1"/>
    <w:rPr>
      <w:rFonts w:ascii="Arial" w:hAnsi="Arial"/>
      <w:szCs w:val="24"/>
      <w:lang w:eastAsia="en-US"/>
    </w:rPr>
  </w:style>
  <w:style w:type="character" w:customStyle="1" w:styleId="NumbersChar">
    <w:name w:val="Numbers Char"/>
    <w:link w:val="Numbers"/>
    <w:rsid w:val="00E809F1"/>
    <w:rPr>
      <w:rFonts w:ascii="Arial" w:hAnsi="Arial"/>
      <w:szCs w:val="24"/>
      <w:lang w:eastAsia="en-US"/>
    </w:rPr>
  </w:style>
  <w:style w:type="paragraph" w:styleId="ListBullet">
    <w:name w:val="List Bullet"/>
    <w:basedOn w:val="ListParagraph"/>
    <w:uiPriority w:val="22"/>
    <w:qFormat/>
    <w:rsid w:val="00E809F1"/>
    <w:pPr>
      <w:numPr>
        <w:numId w:val="12"/>
      </w:numPr>
      <w:spacing w:after="160" w:line="240" w:lineRule="auto"/>
      <w:ind w:left="357" w:hanging="357"/>
      <w:jc w:val="left"/>
    </w:pPr>
    <w:rPr>
      <w:rFonts w:ascii="Calibri" w:hAnsi="Calibri" w:cs="Arial"/>
      <w:color w:val="000000"/>
      <w:kern w:val="28"/>
      <w:sz w:val="22"/>
      <w:szCs w:val="22"/>
    </w:rPr>
  </w:style>
  <w:style w:type="paragraph" w:customStyle="1" w:styleId="bodytextLTIMtender">
    <w:name w:val="body text LTIM tender"/>
    <w:basedOn w:val="Normal"/>
    <w:link w:val="bodytextLTIMtenderChar"/>
    <w:qFormat/>
    <w:rsid w:val="00E809F1"/>
    <w:pPr>
      <w:tabs>
        <w:tab w:val="right" w:pos="9029"/>
      </w:tabs>
      <w:spacing w:line="340" w:lineRule="atLeast"/>
      <w:jc w:val="left"/>
    </w:pPr>
    <w:rPr>
      <w:rFonts w:ascii="Cambria" w:eastAsia="Calibri" w:hAnsi="Cambria" w:cs="Arial"/>
      <w:sz w:val="24"/>
      <w:szCs w:val="20"/>
      <w:lang w:val="en-GB"/>
    </w:rPr>
  </w:style>
  <w:style w:type="character" w:customStyle="1" w:styleId="bodytextLTIMtenderChar">
    <w:name w:val="body text LTIM tender Char"/>
    <w:link w:val="bodytextLTIMtender"/>
    <w:rsid w:val="00E809F1"/>
    <w:rPr>
      <w:rFonts w:ascii="Cambria" w:eastAsia="Calibri" w:hAnsi="Cambria" w:cs="Arial"/>
      <w:sz w:val="24"/>
      <w:lang w:val="en-GB" w:eastAsia="en-US"/>
    </w:rPr>
  </w:style>
  <w:style w:type="paragraph" w:customStyle="1" w:styleId="SubHeading1-FinalReport">
    <w:name w:val="Sub Heading 1 - Final Report"/>
    <w:basedOn w:val="Normal"/>
    <w:next w:val="Normal"/>
    <w:rsid w:val="00E809F1"/>
    <w:pPr>
      <w:numPr>
        <w:ilvl w:val="1"/>
        <w:numId w:val="15"/>
      </w:numPr>
      <w:spacing w:before="260" w:after="260" w:line="260" w:lineRule="atLeast"/>
    </w:pPr>
    <w:rPr>
      <w:rFonts w:ascii="Times New Roman" w:hAnsi="Times New Roman"/>
      <w:b/>
      <w:sz w:val="22"/>
      <w:szCs w:val="20"/>
    </w:rPr>
  </w:style>
  <w:style w:type="paragraph" w:customStyle="1" w:styleId="SubHeading2-FinalReport">
    <w:name w:val="Sub Heading 2 - Final Report"/>
    <w:basedOn w:val="Normal"/>
    <w:next w:val="Normal"/>
    <w:rsid w:val="00E809F1"/>
    <w:pPr>
      <w:numPr>
        <w:ilvl w:val="2"/>
        <w:numId w:val="15"/>
      </w:numPr>
      <w:spacing w:before="260" w:after="260" w:line="260" w:lineRule="atLeast"/>
    </w:pPr>
    <w:rPr>
      <w:rFonts w:ascii="Times New Roman" w:hAnsi="Times New Roman"/>
      <w:b/>
      <w:i/>
      <w:sz w:val="22"/>
      <w:szCs w:val="20"/>
    </w:rPr>
  </w:style>
  <w:style w:type="paragraph" w:customStyle="1" w:styleId="SubHeading3-FinalReport">
    <w:name w:val="Sub Heading 3 - Final Report"/>
    <w:basedOn w:val="Normal"/>
    <w:next w:val="Normal"/>
    <w:rsid w:val="00E809F1"/>
    <w:pPr>
      <w:numPr>
        <w:ilvl w:val="3"/>
        <w:numId w:val="15"/>
      </w:numPr>
      <w:spacing w:before="260" w:after="260" w:line="260" w:lineRule="atLeast"/>
    </w:pPr>
    <w:rPr>
      <w:rFonts w:ascii="Times New Roman" w:hAnsi="Times New Roman"/>
      <w:i/>
      <w:sz w:val="22"/>
      <w:szCs w:val="20"/>
    </w:rPr>
  </w:style>
  <w:style w:type="paragraph" w:customStyle="1" w:styleId="ChapterTitle-FinalReport">
    <w:name w:val="Chapter Title - Final Report"/>
    <w:basedOn w:val="Normal"/>
    <w:next w:val="Normal"/>
    <w:rsid w:val="00E809F1"/>
    <w:pPr>
      <w:numPr>
        <w:numId w:val="15"/>
      </w:numPr>
      <w:spacing w:before="320" w:after="320" w:line="360" w:lineRule="auto"/>
    </w:pPr>
    <w:rPr>
      <w:rFonts w:ascii="Times New Roman" w:hAnsi="Times New Roman"/>
      <w:b/>
      <w:caps/>
      <w:sz w:val="28"/>
      <w:szCs w:val="20"/>
    </w:rPr>
  </w:style>
  <w:style w:type="paragraph" w:styleId="BodyText">
    <w:name w:val="Body Text"/>
    <w:basedOn w:val="Normal"/>
    <w:link w:val="BodyTextChar"/>
    <w:rsid w:val="00E809F1"/>
    <w:pPr>
      <w:spacing w:after="0" w:line="260" w:lineRule="atLeast"/>
    </w:pPr>
    <w:rPr>
      <w:rFonts w:ascii="Times New Roman" w:hAnsi="Times New Roman"/>
      <w:i/>
      <w:iCs/>
      <w:sz w:val="22"/>
      <w:szCs w:val="20"/>
    </w:rPr>
  </w:style>
  <w:style w:type="character" w:customStyle="1" w:styleId="BodyTextChar">
    <w:name w:val="Body Text Char"/>
    <w:link w:val="BodyText"/>
    <w:rsid w:val="00E809F1"/>
    <w:rPr>
      <w:i/>
      <w:iCs/>
      <w:sz w:val="22"/>
      <w:lang w:eastAsia="en-US"/>
    </w:rPr>
  </w:style>
  <w:style w:type="paragraph" w:customStyle="1" w:styleId="References">
    <w:name w:val="References"/>
    <w:basedOn w:val="Normal"/>
    <w:next w:val="Normal"/>
    <w:link w:val="ReferencesChar"/>
    <w:rsid w:val="00E809F1"/>
    <w:pPr>
      <w:spacing w:after="220" w:line="240" w:lineRule="atLeast"/>
      <w:ind w:left="851" w:hanging="851"/>
    </w:pPr>
    <w:rPr>
      <w:rFonts w:ascii="Times New Roman" w:hAnsi="Times New Roman"/>
      <w:sz w:val="22"/>
      <w:szCs w:val="20"/>
    </w:rPr>
  </w:style>
  <w:style w:type="character" w:customStyle="1" w:styleId="ReferencesChar">
    <w:name w:val="References Char"/>
    <w:link w:val="References"/>
    <w:rsid w:val="00E809F1"/>
    <w:rPr>
      <w:sz w:val="22"/>
      <w:lang w:eastAsia="en-US"/>
    </w:rPr>
  </w:style>
  <w:style w:type="table" w:styleId="LightShading">
    <w:name w:val="Light Shading"/>
    <w:basedOn w:val="TableNormal"/>
    <w:uiPriority w:val="60"/>
    <w:rsid w:val="00E809F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igureCaption">
    <w:name w:val="Figure Caption"/>
    <w:basedOn w:val="Normal"/>
    <w:next w:val="Normal"/>
    <w:link w:val="FigureCaptionChar"/>
    <w:rsid w:val="00E809F1"/>
    <w:pPr>
      <w:tabs>
        <w:tab w:val="left" w:pos="1418"/>
      </w:tabs>
      <w:spacing w:before="100" w:after="0" w:line="260" w:lineRule="atLeast"/>
      <w:ind w:left="1418" w:hanging="1418"/>
    </w:pPr>
    <w:rPr>
      <w:rFonts w:ascii="Times New Roman" w:hAnsi="Times New Roman"/>
      <w:sz w:val="22"/>
      <w:szCs w:val="20"/>
    </w:rPr>
  </w:style>
  <w:style w:type="paragraph" w:customStyle="1" w:styleId="TableCaption">
    <w:name w:val="Table Caption"/>
    <w:basedOn w:val="Normal"/>
    <w:link w:val="TableCaptionChar"/>
    <w:rsid w:val="00E809F1"/>
    <w:pPr>
      <w:spacing w:after="100" w:line="260" w:lineRule="atLeast"/>
      <w:ind w:left="1418" w:hanging="1418"/>
    </w:pPr>
    <w:rPr>
      <w:rFonts w:ascii="Times New Roman" w:hAnsi="Times New Roman"/>
      <w:sz w:val="22"/>
      <w:szCs w:val="20"/>
    </w:rPr>
  </w:style>
  <w:style w:type="character" w:customStyle="1" w:styleId="TableCaptionChar">
    <w:name w:val="Table Caption Char"/>
    <w:link w:val="TableCaption"/>
    <w:rsid w:val="00E809F1"/>
    <w:rPr>
      <w:sz w:val="22"/>
      <w:lang w:eastAsia="en-US"/>
    </w:rPr>
  </w:style>
  <w:style w:type="character" w:customStyle="1" w:styleId="FigureCaptionChar">
    <w:name w:val="Figure Caption Char"/>
    <w:link w:val="FigureCaption"/>
    <w:rsid w:val="00E809F1"/>
    <w:rPr>
      <w:sz w:val="22"/>
      <w:lang w:eastAsia="en-US"/>
    </w:rPr>
  </w:style>
  <w:style w:type="paragraph" w:styleId="Bibliography">
    <w:name w:val="Bibliography"/>
    <w:basedOn w:val="Normal"/>
    <w:next w:val="Normal"/>
    <w:uiPriority w:val="37"/>
    <w:unhideWhenUsed/>
    <w:rsid w:val="00E809F1"/>
  </w:style>
  <w:style w:type="character" w:customStyle="1" w:styleId="xbe">
    <w:name w:val="_xbe"/>
    <w:basedOn w:val="DefaultParagraphFont"/>
    <w:rsid w:val="00E809F1"/>
  </w:style>
  <w:style w:type="character" w:styleId="BookTitle">
    <w:name w:val="Book Title"/>
    <w:uiPriority w:val="33"/>
    <w:qFormat/>
    <w:rsid w:val="00DB4624"/>
    <w:rPr>
      <w:b/>
      <w:bCs/>
      <w:i/>
      <w:iCs/>
      <w:spacing w:val="5"/>
    </w:rPr>
  </w:style>
  <w:style w:type="paragraph" w:customStyle="1" w:styleId="EndNoteBibliography">
    <w:name w:val="EndNote Bibliography"/>
    <w:basedOn w:val="Normal"/>
    <w:link w:val="EndNoteBibliographyChar"/>
    <w:rsid w:val="00223954"/>
    <w:pPr>
      <w:spacing w:line="240" w:lineRule="auto"/>
      <w:jc w:val="left"/>
    </w:pPr>
    <w:rPr>
      <w:rFonts w:ascii="Calibri" w:eastAsia="Calibri" w:hAnsi="Calibri"/>
      <w:noProof/>
      <w:sz w:val="22"/>
      <w:szCs w:val="22"/>
      <w:lang w:val="en-US"/>
    </w:rPr>
  </w:style>
  <w:style w:type="character" w:customStyle="1" w:styleId="EndNoteBibliographyChar">
    <w:name w:val="EndNote Bibliography Char"/>
    <w:link w:val="EndNoteBibliography"/>
    <w:rsid w:val="00223954"/>
    <w:rPr>
      <w:rFonts w:ascii="Calibri" w:eastAsia="Calibri" w:hAnsi="Calibri" w:cs="Times New Roman"/>
      <w:noProof/>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744103">
      <w:bodyDiv w:val="1"/>
      <w:marLeft w:val="0"/>
      <w:marRight w:val="0"/>
      <w:marTop w:val="0"/>
      <w:marBottom w:val="0"/>
      <w:divBdr>
        <w:top w:val="none" w:sz="0" w:space="0" w:color="auto"/>
        <w:left w:val="none" w:sz="0" w:space="0" w:color="auto"/>
        <w:bottom w:val="none" w:sz="0" w:space="0" w:color="auto"/>
        <w:right w:val="none" w:sz="0" w:space="0" w:color="auto"/>
      </w:divBdr>
    </w:div>
    <w:div w:id="241838108">
      <w:bodyDiv w:val="1"/>
      <w:marLeft w:val="0"/>
      <w:marRight w:val="0"/>
      <w:marTop w:val="0"/>
      <w:marBottom w:val="0"/>
      <w:divBdr>
        <w:top w:val="none" w:sz="0" w:space="0" w:color="auto"/>
        <w:left w:val="none" w:sz="0" w:space="0" w:color="auto"/>
        <w:bottom w:val="none" w:sz="0" w:space="0" w:color="auto"/>
        <w:right w:val="none" w:sz="0" w:space="0" w:color="auto"/>
      </w:divBdr>
    </w:div>
    <w:div w:id="849612292">
      <w:bodyDiv w:val="1"/>
      <w:marLeft w:val="0"/>
      <w:marRight w:val="0"/>
      <w:marTop w:val="0"/>
      <w:marBottom w:val="0"/>
      <w:divBdr>
        <w:top w:val="none" w:sz="0" w:space="0" w:color="auto"/>
        <w:left w:val="none" w:sz="0" w:space="0" w:color="auto"/>
        <w:bottom w:val="none" w:sz="0" w:space="0" w:color="auto"/>
        <w:right w:val="none" w:sz="0" w:space="0" w:color="auto"/>
      </w:divBdr>
    </w:div>
    <w:div w:id="1220822180">
      <w:bodyDiv w:val="1"/>
      <w:marLeft w:val="0"/>
      <w:marRight w:val="0"/>
      <w:marTop w:val="0"/>
      <w:marBottom w:val="0"/>
      <w:divBdr>
        <w:top w:val="none" w:sz="0" w:space="0" w:color="auto"/>
        <w:left w:val="none" w:sz="0" w:space="0" w:color="auto"/>
        <w:bottom w:val="none" w:sz="0" w:space="0" w:color="auto"/>
        <w:right w:val="none" w:sz="0" w:space="0" w:color="auto"/>
      </w:divBdr>
    </w:div>
    <w:div w:id="1969621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24.xml"/><Relationship Id="rId21" Type="http://schemas.openxmlformats.org/officeDocument/2006/relationships/chart" Target="charts/chart6.xml"/><Relationship Id="rId42" Type="http://schemas.openxmlformats.org/officeDocument/2006/relationships/image" Target="media/image7.png"/><Relationship Id="rId63" Type="http://schemas.openxmlformats.org/officeDocument/2006/relationships/chart" Target="charts/chart20.xml"/><Relationship Id="rId84" Type="http://schemas.openxmlformats.org/officeDocument/2006/relationships/image" Target="media/image18.png"/><Relationship Id="rId138" Type="http://schemas.openxmlformats.org/officeDocument/2006/relationships/image" Target="media/image37.png"/><Relationship Id="rId159" Type="http://schemas.openxmlformats.org/officeDocument/2006/relationships/header" Target="header36.xml"/><Relationship Id="rId170" Type="http://schemas.openxmlformats.org/officeDocument/2006/relationships/footer" Target="footer26.xml"/><Relationship Id="rId191" Type="http://schemas.openxmlformats.org/officeDocument/2006/relationships/footer" Target="footer28.xml"/><Relationship Id="rId205" Type="http://schemas.openxmlformats.org/officeDocument/2006/relationships/chart" Target="charts/chart50.xml"/><Relationship Id="rId107" Type="http://schemas.openxmlformats.org/officeDocument/2006/relationships/footer" Target="footer15.xml"/><Relationship Id="rId11" Type="http://schemas.openxmlformats.org/officeDocument/2006/relationships/header" Target="header3.xml"/><Relationship Id="rId32" Type="http://schemas.openxmlformats.org/officeDocument/2006/relationships/header" Target="header7.xml"/><Relationship Id="rId37" Type="http://schemas.openxmlformats.org/officeDocument/2006/relationships/header" Target="header9.xml"/><Relationship Id="rId53" Type="http://schemas.openxmlformats.org/officeDocument/2006/relationships/chart" Target="charts/chart16.xml"/><Relationship Id="rId58" Type="http://schemas.openxmlformats.org/officeDocument/2006/relationships/image" Target="media/image11.jpeg"/><Relationship Id="rId74" Type="http://schemas.openxmlformats.org/officeDocument/2006/relationships/image" Target="media/image14.jpeg"/><Relationship Id="rId79" Type="http://schemas.openxmlformats.org/officeDocument/2006/relationships/chart" Target="charts/chart34.xml"/><Relationship Id="rId102" Type="http://schemas.openxmlformats.org/officeDocument/2006/relationships/chart" Target="charts/chart39.xml"/><Relationship Id="rId123" Type="http://schemas.openxmlformats.org/officeDocument/2006/relationships/header" Target="header27.xml"/><Relationship Id="rId128" Type="http://schemas.openxmlformats.org/officeDocument/2006/relationships/header" Target="header30.xml"/><Relationship Id="rId144" Type="http://schemas.openxmlformats.org/officeDocument/2006/relationships/image" Target="media/image43.png"/><Relationship Id="rId149" Type="http://schemas.openxmlformats.org/officeDocument/2006/relationships/header" Target="header33.xml"/><Relationship Id="rId5" Type="http://schemas.openxmlformats.org/officeDocument/2006/relationships/footnotes" Target="footnotes.xml"/><Relationship Id="rId90" Type="http://schemas.openxmlformats.org/officeDocument/2006/relationships/chart" Target="charts/chart37.xml"/><Relationship Id="rId95" Type="http://schemas.openxmlformats.org/officeDocument/2006/relationships/header" Target="header16.xml"/><Relationship Id="rId160" Type="http://schemas.openxmlformats.org/officeDocument/2006/relationships/footer" Target="footer23.xml"/><Relationship Id="rId165" Type="http://schemas.openxmlformats.org/officeDocument/2006/relationships/header" Target="header38.xml"/><Relationship Id="rId181" Type="http://schemas.openxmlformats.org/officeDocument/2006/relationships/image" Target="media/image56.jpeg"/><Relationship Id="rId186" Type="http://schemas.openxmlformats.org/officeDocument/2006/relationships/image" Target="media/image61.jpeg"/><Relationship Id="rId211" Type="http://schemas.openxmlformats.org/officeDocument/2006/relationships/header" Target="header48.xml"/><Relationship Id="rId22" Type="http://schemas.openxmlformats.org/officeDocument/2006/relationships/header" Target="header5.xml"/><Relationship Id="rId27" Type="http://schemas.openxmlformats.org/officeDocument/2006/relationships/image" Target="media/image3.jpeg"/><Relationship Id="rId43" Type="http://schemas.openxmlformats.org/officeDocument/2006/relationships/image" Target="media/image8.png"/><Relationship Id="rId48" Type="http://schemas.openxmlformats.org/officeDocument/2006/relationships/chart" Target="charts/chart12.xml"/><Relationship Id="rId64" Type="http://schemas.openxmlformats.org/officeDocument/2006/relationships/chart" Target="charts/chart21.xml"/><Relationship Id="rId69" Type="http://schemas.openxmlformats.org/officeDocument/2006/relationships/chart" Target="charts/chart26.xml"/><Relationship Id="rId113" Type="http://schemas.openxmlformats.org/officeDocument/2006/relationships/footer" Target="footer17.xml"/><Relationship Id="rId118" Type="http://schemas.openxmlformats.org/officeDocument/2006/relationships/header" Target="header25.xml"/><Relationship Id="rId134" Type="http://schemas.openxmlformats.org/officeDocument/2006/relationships/image" Target="media/image33.png"/><Relationship Id="rId139" Type="http://schemas.openxmlformats.org/officeDocument/2006/relationships/image" Target="media/image38.png"/><Relationship Id="rId80" Type="http://schemas.openxmlformats.org/officeDocument/2006/relationships/chart" Target="charts/chart35.xml"/><Relationship Id="rId85" Type="http://schemas.openxmlformats.org/officeDocument/2006/relationships/header" Target="header14.xml"/><Relationship Id="rId150" Type="http://schemas.openxmlformats.org/officeDocument/2006/relationships/chart" Target="charts/chart45.xml"/><Relationship Id="rId155" Type="http://schemas.openxmlformats.org/officeDocument/2006/relationships/header" Target="header35.xml"/><Relationship Id="rId171" Type="http://schemas.openxmlformats.org/officeDocument/2006/relationships/image" Target="media/image49.jpeg"/><Relationship Id="rId176" Type="http://schemas.openxmlformats.org/officeDocument/2006/relationships/hyperlink" Target="http://doi.org/10.1371/journal.pone.0077704" TargetMode="External"/><Relationship Id="rId192" Type="http://schemas.openxmlformats.org/officeDocument/2006/relationships/image" Target="media/image64.jpeg"/><Relationship Id="rId197" Type="http://schemas.openxmlformats.org/officeDocument/2006/relationships/footer" Target="footer30.xml"/><Relationship Id="rId206" Type="http://schemas.openxmlformats.org/officeDocument/2006/relationships/chart" Target="charts/chart51.xml"/><Relationship Id="rId201" Type="http://schemas.openxmlformats.org/officeDocument/2006/relationships/header" Target="header46.xml"/><Relationship Id="rId12" Type="http://schemas.openxmlformats.org/officeDocument/2006/relationships/footer" Target="footer3.xml"/><Relationship Id="rId17" Type="http://schemas.openxmlformats.org/officeDocument/2006/relationships/chart" Target="charts/chart2.xml"/><Relationship Id="rId33" Type="http://schemas.openxmlformats.org/officeDocument/2006/relationships/footer" Target="footer6.xml"/><Relationship Id="rId38" Type="http://schemas.openxmlformats.org/officeDocument/2006/relationships/footer" Target="footer8.xml"/><Relationship Id="rId59" Type="http://schemas.openxmlformats.org/officeDocument/2006/relationships/image" Target="media/image12.jpeg"/><Relationship Id="rId103" Type="http://schemas.openxmlformats.org/officeDocument/2006/relationships/header" Target="header20.xml"/><Relationship Id="rId108" Type="http://schemas.openxmlformats.org/officeDocument/2006/relationships/chart" Target="charts/chart40.xml"/><Relationship Id="rId124" Type="http://schemas.openxmlformats.org/officeDocument/2006/relationships/header" Target="header28.xml"/><Relationship Id="rId129" Type="http://schemas.openxmlformats.org/officeDocument/2006/relationships/footer" Target="footer20.xml"/><Relationship Id="rId54" Type="http://schemas.openxmlformats.org/officeDocument/2006/relationships/header" Target="header12.xml"/><Relationship Id="rId70" Type="http://schemas.openxmlformats.org/officeDocument/2006/relationships/chart" Target="charts/chart27.xml"/><Relationship Id="rId75" Type="http://schemas.openxmlformats.org/officeDocument/2006/relationships/chart" Target="charts/chart30.xml"/><Relationship Id="rId91" Type="http://schemas.openxmlformats.org/officeDocument/2006/relationships/chart" Target="charts/chart38.xml"/><Relationship Id="rId96" Type="http://schemas.openxmlformats.org/officeDocument/2006/relationships/footer" Target="footer12.xml"/><Relationship Id="rId140" Type="http://schemas.openxmlformats.org/officeDocument/2006/relationships/image" Target="media/image39.jpeg"/><Relationship Id="rId145" Type="http://schemas.openxmlformats.org/officeDocument/2006/relationships/chart" Target="charts/chart44.xml"/><Relationship Id="rId161" Type="http://schemas.openxmlformats.org/officeDocument/2006/relationships/header" Target="header37.xml"/><Relationship Id="rId166" Type="http://schemas.openxmlformats.org/officeDocument/2006/relationships/footer" Target="footer25.xml"/><Relationship Id="rId182" Type="http://schemas.openxmlformats.org/officeDocument/2006/relationships/image" Target="media/image57.jpeg"/><Relationship Id="rId187" Type="http://schemas.openxmlformats.org/officeDocument/2006/relationships/image" Target="media/image62.jpe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footer" Target="footer33.xml"/><Relationship Id="rId23" Type="http://schemas.openxmlformats.org/officeDocument/2006/relationships/footer" Target="footer5.xml"/><Relationship Id="rId28" Type="http://schemas.openxmlformats.org/officeDocument/2006/relationships/image" Target="media/image4.jpeg"/><Relationship Id="rId49" Type="http://schemas.openxmlformats.org/officeDocument/2006/relationships/chart" Target="charts/chart13.xml"/><Relationship Id="rId114" Type="http://schemas.openxmlformats.org/officeDocument/2006/relationships/image" Target="media/image25.jpeg"/><Relationship Id="rId119" Type="http://schemas.openxmlformats.org/officeDocument/2006/relationships/footer" Target="footer18.xml"/><Relationship Id="rId44" Type="http://schemas.openxmlformats.org/officeDocument/2006/relationships/image" Target="media/image9.png"/><Relationship Id="rId60" Type="http://schemas.openxmlformats.org/officeDocument/2006/relationships/chart" Target="charts/chart17.xml"/><Relationship Id="rId65" Type="http://schemas.openxmlformats.org/officeDocument/2006/relationships/chart" Target="charts/chart22.xml"/><Relationship Id="rId81" Type="http://schemas.openxmlformats.org/officeDocument/2006/relationships/image" Target="media/image15.png"/><Relationship Id="rId86" Type="http://schemas.openxmlformats.org/officeDocument/2006/relationships/footer" Target="footer11.xml"/><Relationship Id="rId130" Type="http://schemas.openxmlformats.org/officeDocument/2006/relationships/image" Target="media/image31.png"/><Relationship Id="rId135" Type="http://schemas.openxmlformats.org/officeDocument/2006/relationships/image" Target="media/image34.png"/><Relationship Id="rId151" Type="http://schemas.openxmlformats.org/officeDocument/2006/relationships/chart" Target="charts/chart46.xml"/><Relationship Id="rId156" Type="http://schemas.openxmlformats.org/officeDocument/2006/relationships/footer" Target="footer22.xml"/><Relationship Id="rId177" Type="http://schemas.openxmlformats.org/officeDocument/2006/relationships/header" Target="header41.xml"/><Relationship Id="rId198" Type="http://schemas.openxmlformats.org/officeDocument/2006/relationships/image" Target="media/image66.png"/><Relationship Id="rId172" Type="http://schemas.openxmlformats.org/officeDocument/2006/relationships/image" Target="media/image50.png"/><Relationship Id="rId193" Type="http://schemas.openxmlformats.org/officeDocument/2006/relationships/image" Target="media/image65.jpeg"/><Relationship Id="rId202" Type="http://schemas.openxmlformats.org/officeDocument/2006/relationships/footer" Target="footer31.xml"/><Relationship Id="rId207" Type="http://schemas.openxmlformats.org/officeDocument/2006/relationships/chart" Target="charts/chart52.xml"/><Relationship Id="rId13" Type="http://schemas.openxmlformats.org/officeDocument/2006/relationships/image" Target="media/image1.jpeg"/><Relationship Id="rId18" Type="http://schemas.openxmlformats.org/officeDocument/2006/relationships/chart" Target="charts/chart3.xml"/><Relationship Id="rId39" Type="http://schemas.openxmlformats.org/officeDocument/2006/relationships/hyperlink" Target="http://www.bom.gov.au/nsw/observations/map.shtml" TargetMode="External"/><Relationship Id="rId109" Type="http://schemas.openxmlformats.org/officeDocument/2006/relationships/chart" Target="charts/chart41.xml"/><Relationship Id="rId34" Type="http://schemas.openxmlformats.org/officeDocument/2006/relationships/chart" Target="charts/chart8.xml"/><Relationship Id="rId50" Type="http://schemas.openxmlformats.org/officeDocument/2006/relationships/header" Target="header11.xml"/><Relationship Id="rId55" Type="http://schemas.openxmlformats.org/officeDocument/2006/relationships/image" Target="media/image10.jpeg"/><Relationship Id="rId76" Type="http://schemas.openxmlformats.org/officeDocument/2006/relationships/chart" Target="charts/chart31.xml"/><Relationship Id="rId97" Type="http://schemas.openxmlformats.org/officeDocument/2006/relationships/image" Target="media/image23.jpeg"/><Relationship Id="rId104" Type="http://schemas.openxmlformats.org/officeDocument/2006/relationships/footer" Target="footer14.xml"/><Relationship Id="rId120" Type="http://schemas.openxmlformats.org/officeDocument/2006/relationships/header" Target="header26.xml"/><Relationship Id="rId125" Type="http://schemas.openxmlformats.org/officeDocument/2006/relationships/footer" Target="footer19.xml"/><Relationship Id="rId141" Type="http://schemas.openxmlformats.org/officeDocument/2006/relationships/image" Target="media/image40.jpeg"/><Relationship Id="rId146" Type="http://schemas.openxmlformats.org/officeDocument/2006/relationships/header" Target="header31.xml"/><Relationship Id="rId167" Type="http://schemas.openxmlformats.org/officeDocument/2006/relationships/header" Target="header39.xml"/><Relationship Id="rId188" Type="http://schemas.openxmlformats.org/officeDocument/2006/relationships/image" Target="media/image63.jpeg"/><Relationship Id="rId7" Type="http://schemas.openxmlformats.org/officeDocument/2006/relationships/header" Target="header1.xml"/><Relationship Id="rId71" Type="http://schemas.openxmlformats.org/officeDocument/2006/relationships/chart" Target="charts/chart28.xml"/><Relationship Id="rId92" Type="http://schemas.openxmlformats.org/officeDocument/2006/relationships/image" Target="media/image21.png"/><Relationship Id="rId162" Type="http://schemas.openxmlformats.org/officeDocument/2006/relationships/footer" Target="footer24.xml"/><Relationship Id="rId183" Type="http://schemas.openxmlformats.org/officeDocument/2006/relationships/image" Target="media/image58.jpeg"/><Relationship Id="rId21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5.jpeg"/><Relationship Id="rId24" Type="http://schemas.openxmlformats.org/officeDocument/2006/relationships/image" Target="media/image2.jpeg"/><Relationship Id="rId40" Type="http://schemas.openxmlformats.org/officeDocument/2006/relationships/header" Target="header10.xml"/><Relationship Id="rId45" Type="http://schemas.openxmlformats.org/officeDocument/2006/relationships/chart" Target="charts/chart9.xml"/><Relationship Id="rId66" Type="http://schemas.openxmlformats.org/officeDocument/2006/relationships/chart" Target="charts/chart23.xml"/><Relationship Id="rId87" Type="http://schemas.openxmlformats.org/officeDocument/2006/relationships/image" Target="media/image19.jpeg"/><Relationship Id="rId110" Type="http://schemas.openxmlformats.org/officeDocument/2006/relationships/header" Target="header22.xml"/><Relationship Id="rId115" Type="http://schemas.openxmlformats.org/officeDocument/2006/relationships/image" Target="media/image26.jpeg"/><Relationship Id="rId131" Type="http://schemas.openxmlformats.org/officeDocument/2006/relationships/image" Target="media/image32.png"/><Relationship Id="rId136" Type="http://schemas.openxmlformats.org/officeDocument/2006/relationships/image" Target="media/image35.png"/><Relationship Id="rId157" Type="http://schemas.openxmlformats.org/officeDocument/2006/relationships/chart" Target="charts/chart47.xml"/><Relationship Id="rId178" Type="http://schemas.openxmlformats.org/officeDocument/2006/relationships/footer" Target="footer27.xml"/><Relationship Id="rId61" Type="http://schemas.openxmlformats.org/officeDocument/2006/relationships/chart" Target="charts/chart18.xml"/><Relationship Id="rId82" Type="http://schemas.openxmlformats.org/officeDocument/2006/relationships/image" Target="media/image16.png"/><Relationship Id="rId152" Type="http://schemas.openxmlformats.org/officeDocument/2006/relationships/image" Target="media/image44.jpeg"/><Relationship Id="rId173" Type="http://schemas.openxmlformats.org/officeDocument/2006/relationships/image" Target="media/image51.png"/><Relationship Id="rId194" Type="http://schemas.openxmlformats.org/officeDocument/2006/relationships/header" Target="header44.xml"/><Relationship Id="rId199" Type="http://schemas.openxmlformats.org/officeDocument/2006/relationships/chart" Target="charts/chart48.xml"/><Relationship Id="rId203" Type="http://schemas.openxmlformats.org/officeDocument/2006/relationships/header" Target="header47.xml"/><Relationship Id="rId208" Type="http://schemas.openxmlformats.org/officeDocument/2006/relationships/chart" Target="charts/chart53.xml"/><Relationship Id="rId19" Type="http://schemas.openxmlformats.org/officeDocument/2006/relationships/chart" Target="charts/chart4.xml"/><Relationship Id="rId14" Type="http://schemas.openxmlformats.org/officeDocument/2006/relationships/header" Target="header4.xml"/><Relationship Id="rId30" Type="http://schemas.openxmlformats.org/officeDocument/2006/relationships/header" Target="header6.xml"/><Relationship Id="rId35" Type="http://schemas.openxmlformats.org/officeDocument/2006/relationships/header" Target="header8.xml"/><Relationship Id="rId56" Type="http://schemas.openxmlformats.org/officeDocument/2006/relationships/header" Target="header13.xml"/><Relationship Id="rId77" Type="http://schemas.openxmlformats.org/officeDocument/2006/relationships/chart" Target="charts/chart32.xml"/><Relationship Id="rId100" Type="http://schemas.openxmlformats.org/officeDocument/2006/relationships/footer" Target="footer13.xml"/><Relationship Id="rId105" Type="http://schemas.openxmlformats.org/officeDocument/2006/relationships/image" Target="media/image24.jpeg"/><Relationship Id="rId126" Type="http://schemas.openxmlformats.org/officeDocument/2006/relationships/header" Target="header29.xml"/><Relationship Id="rId147" Type="http://schemas.openxmlformats.org/officeDocument/2006/relationships/header" Target="header32.xml"/><Relationship Id="rId168" Type="http://schemas.openxmlformats.org/officeDocument/2006/relationships/image" Target="media/image48.jpeg"/><Relationship Id="rId8" Type="http://schemas.openxmlformats.org/officeDocument/2006/relationships/header" Target="header2.xml"/><Relationship Id="rId51" Type="http://schemas.openxmlformats.org/officeDocument/2006/relationships/chart" Target="charts/chart14.xml"/><Relationship Id="rId72" Type="http://schemas.openxmlformats.org/officeDocument/2006/relationships/chart" Target="charts/chart29.xml"/><Relationship Id="rId93" Type="http://schemas.openxmlformats.org/officeDocument/2006/relationships/image" Target="media/image22.png"/><Relationship Id="rId98" Type="http://schemas.openxmlformats.org/officeDocument/2006/relationships/header" Target="header17.xml"/><Relationship Id="rId121" Type="http://schemas.openxmlformats.org/officeDocument/2006/relationships/image" Target="media/image28.png"/><Relationship Id="rId142" Type="http://schemas.openxmlformats.org/officeDocument/2006/relationships/image" Target="media/image41.png"/><Relationship Id="rId163" Type="http://schemas.openxmlformats.org/officeDocument/2006/relationships/image" Target="media/image47.jpeg"/><Relationship Id="rId184" Type="http://schemas.openxmlformats.org/officeDocument/2006/relationships/image" Target="media/image59.jpeg"/><Relationship Id="rId189" Type="http://schemas.openxmlformats.org/officeDocument/2006/relationships/header" Target="header42.xml"/><Relationship Id="rId3" Type="http://schemas.openxmlformats.org/officeDocument/2006/relationships/settings" Target="settings.xml"/><Relationship Id="rId214" Type="http://schemas.openxmlformats.org/officeDocument/2006/relationships/theme" Target="theme/theme1.xml"/><Relationship Id="rId25" Type="http://schemas.openxmlformats.org/officeDocument/2006/relationships/hyperlink" Target="http://glovis.usgs.gov/" TargetMode="External"/><Relationship Id="rId46" Type="http://schemas.openxmlformats.org/officeDocument/2006/relationships/chart" Target="charts/chart10.xml"/><Relationship Id="rId67" Type="http://schemas.openxmlformats.org/officeDocument/2006/relationships/chart" Target="charts/chart24.xml"/><Relationship Id="rId116" Type="http://schemas.openxmlformats.org/officeDocument/2006/relationships/image" Target="media/image27.jpeg"/><Relationship Id="rId137" Type="http://schemas.openxmlformats.org/officeDocument/2006/relationships/image" Target="media/image36.png"/><Relationship Id="rId158" Type="http://schemas.openxmlformats.org/officeDocument/2006/relationships/image" Target="media/image46.jpeg"/><Relationship Id="rId20" Type="http://schemas.openxmlformats.org/officeDocument/2006/relationships/chart" Target="charts/chart5.xml"/><Relationship Id="rId41" Type="http://schemas.openxmlformats.org/officeDocument/2006/relationships/footer" Target="footer9.xml"/><Relationship Id="rId62" Type="http://schemas.openxmlformats.org/officeDocument/2006/relationships/chart" Target="charts/chart19.xml"/><Relationship Id="rId83" Type="http://schemas.openxmlformats.org/officeDocument/2006/relationships/image" Target="media/image17.png"/><Relationship Id="rId88" Type="http://schemas.openxmlformats.org/officeDocument/2006/relationships/image" Target="media/image20.jpeg"/><Relationship Id="rId111" Type="http://schemas.openxmlformats.org/officeDocument/2006/relationships/footer" Target="footer16.xml"/><Relationship Id="rId132" Type="http://schemas.openxmlformats.org/officeDocument/2006/relationships/chart" Target="charts/chart42.xml"/><Relationship Id="rId153" Type="http://schemas.openxmlformats.org/officeDocument/2006/relationships/image" Target="media/image45.jpeg"/><Relationship Id="rId174" Type="http://schemas.openxmlformats.org/officeDocument/2006/relationships/image" Target="media/image52.png"/><Relationship Id="rId179" Type="http://schemas.openxmlformats.org/officeDocument/2006/relationships/image" Target="media/image54.jpeg"/><Relationship Id="rId195" Type="http://schemas.openxmlformats.org/officeDocument/2006/relationships/footer" Target="footer29.xml"/><Relationship Id="rId209" Type="http://schemas.openxmlformats.org/officeDocument/2006/relationships/image" Target="media/image67.png"/><Relationship Id="rId190" Type="http://schemas.openxmlformats.org/officeDocument/2006/relationships/header" Target="header43.xml"/><Relationship Id="rId204" Type="http://schemas.openxmlformats.org/officeDocument/2006/relationships/footer" Target="footer32.xml"/><Relationship Id="rId15" Type="http://schemas.openxmlformats.org/officeDocument/2006/relationships/footer" Target="footer4.xml"/><Relationship Id="rId36" Type="http://schemas.openxmlformats.org/officeDocument/2006/relationships/footer" Target="footer7.xml"/><Relationship Id="rId57" Type="http://schemas.openxmlformats.org/officeDocument/2006/relationships/footer" Target="footer10.xml"/><Relationship Id="rId106" Type="http://schemas.openxmlformats.org/officeDocument/2006/relationships/header" Target="header21.xml"/><Relationship Id="rId127" Type="http://schemas.openxmlformats.org/officeDocument/2006/relationships/image" Target="media/image30.png"/><Relationship Id="rId10" Type="http://schemas.openxmlformats.org/officeDocument/2006/relationships/footer" Target="footer2.xml"/><Relationship Id="rId31" Type="http://schemas.openxmlformats.org/officeDocument/2006/relationships/image" Target="media/image6.jpeg"/><Relationship Id="rId52" Type="http://schemas.openxmlformats.org/officeDocument/2006/relationships/chart" Target="charts/chart15.xml"/><Relationship Id="rId73" Type="http://schemas.openxmlformats.org/officeDocument/2006/relationships/image" Target="media/image13.jpeg"/><Relationship Id="rId78" Type="http://schemas.openxmlformats.org/officeDocument/2006/relationships/chart" Target="charts/chart33.xml"/><Relationship Id="rId94" Type="http://schemas.openxmlformats.org/officeDocument/2006/relationships/header" Target="header15.xml"/><Relationship Id="rId99" Type="http://schemas.openxmlformats.org/officeDocument/2006/relationships/header" Target="header18.xml"/><Relationship Id="rId101" Type="http://schemas.openxmlformats.org/officeDocument/2006/relationships/header" Target="header19.xml"/><Relationship Id="rId122" Type="http://schemas.openxmlformats.org/officeDocument/2006/relationships/image" Target="media/image29.png"/><Relationship Id="rId143" Type="http://schemas.openxmlformats.org/officeDocument/2006/relationships/image" Target="media/image42.png"/><Relationship Id="rId148" Type="http://schemas.openxmlformats.org/officeDocument/2006/relationships/footer" Target="footer21.xml"/><Relationship Id="rId164" Type="http://schemas.openxmlformats.org/officeDocument/2006/relationships/hyperlink" Target="http://www.dpi.nsw.gov.au/__data/assets/pdf_file/0005/636530/FR17-olive-perchlet.pdf" TargetMode="External"/><Relationship Id="rId169" Type="http://schemas.openxmlformats.org/officeDocument/2006/relationships/header" Target="header40.xml"/><Relationship Id="rId185" Type="http://schemas.openxmlformats.org/officeDocument/2006/relationships/image" Target="media/image60.jpeg"/><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55.jpeg"/><Relationship Id="rId210" Type="http://schemas.openxmlformats.org/officeDocument/2006/relationships/chart" Target="charts/chart54.xml"/><Relationship Id="rId26" Type="http://schemas.openxmlformats.org/officeDocument/2006/relationships/chart" Target="charts/chart7.xml"/><Relationship Id="rId47" Type="http://schemas.openxmlformats.org/officeDocument/2006/relationships/chart" Target="charts/chart11.xml"/><Relationship Id="rId68" Type="http://schemas.openxmlformats.org/officeDocument/2006/relationships/chart" Target="charts/chart25.xml"/><Relationship Id="rId89" Type="http://schemas.openxmlformats.org/officeDocument/2006/relationships/chart" Target="charts/chart36.xml"/><Relationship Id="rId112" Type="http://schemas.openxmlformats.org/officeDocument/2006/relationships/header" Target="header23.xml"/><Relationship Id="rId133" Type="http://schemas.openxmlformats.org/officeDocument/2006/relationships/chart" Target="charts/chart43.xml"/><Relationship Id="rId154" Type="http://schemas.openxmlformats.org/officeDocument/2006/relationships/header" Target="header34.xml"/><Relationship Id="rId175" Type="http://schemas.openxmlformats.org/officeDocument/2006/relationships/image" Target="media/image53.png"/><Relationship Id="rId196" Type="http://schemas.openxmlformats.org/officeDocument/2006/relationships/header" Target="header45.xml"/><Relationship Id="rId200" Type="http://schemas.openxmlformats.org/officeDocument/2006/relationships/chart" Target="charts/chart49.xml"/><Relationship Id="rId16"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wtsoi\Dropbox\Ecohealth\CEWO\01.Gwydir\Gwydir%20Reports\2015-16\Pally%20output\LTIM_Gwydir_PallyWQ_2015-16_final.xls"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wtsoi\Dropbox\Ecohealth\CEWO\01.Gwydir\Gwydir%20Reports\2015-16\Pally%20output\LTIM_Gwydir_PallyWQ_2015-16_final.xls"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wtsoi\Dropbox\Ecohealth\CEWO\01.Gwydir\Gwydir%20Reports\2015-16\Pally%20output\LTIM_Gwydir_PallyWQ_2015-16_final.xls"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wtsoi\Dropbox\Ecohealth\CEWO\01.Gwydir\Gwydir%20Reports\2015-16\Pally%20output\LTIM_Gwydir_PallyWQ_2015-16_final.xls"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wtsoi\Dropbox\Ecohealth\CEWO\01.Gwydir\Gwydir%20Reports\2015-16\Flow\Pally%20flows%20for%20Iris%20with%20CEW.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wtsoi\Dropbox\Ecohealth\CEWO\01.Gwydir\Gwydir%20Reports\2015-16\Flow\Pally%20flows%20for%20Iris%20with%20CEW.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wtsoi\Dropbox\Ecohealth\CEWO\01.Gwydir\Gwydir%20Reports\2015-16\Flow\Pally%20flows%20for%20Iris%20with%20CEW.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wtsoi\Dropbox\Ecohealth\CEWO\01.Gwydir\Gwydir%20Reports\2015-16\Micro_WQ\LTIM_Gwydir_Water%20Quality_2015-16_final.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wtsoi\Dropbox\Ecohealth\CEWO\01.Gwydir\Gwydir%20Reports\2015-16\Micro_WQ\LTIM_Gwydir_Water%20Quality_2015-16_final.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wtsoi\Dropbox\Ecohealth\CEWO\01.Gwydir\Gwydir%20Reports\2015-16\Micro_WQ\LTIM_Gwydir_Water%20Quality_2015-16_final.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ecoarmdc\Netsuite\Projects\15ARM\2427%20Gwydir%20LTIM%20Stage%202%20-%20Year%202\Indicators\Indicators%20(Y2)\Hydrology%20(river)\Analysis\Longitudinal%20Connectivity.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wtsoi\Dropbox\Ecohealth\CEWO\01.Gwydir\Gwydir%20Reports\2015-16\Micro_WQ\LTIM_Gwydir_Water%20Quality_2015-16_final.xlsx" TargetMode="Externa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wtsoi\Dropbox\Ecohealth\CEWO\01.Gwydir\Gwydir%20Reports\2015-16\Micro_WQ\LTIM_Gwydir_Water%20Quality_2015-16_final.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1.bin"/></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2.bin"/></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wtsoi\Dropbox\Ecohealth\CEWO\01.Gwydir\Gwydir%20Reports\2015-16\Micro_Metabolism\LTIM_Gwydir_Metabolism_2015-16_final.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wtsoi\Dropbox\Ecohealth\CEWO\01.Gwydir\Gwydir%20Reports\2015-16\Micro_Metabolism\LTIM_Gwydir_Metabolism_2015-16_final.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wtsoi\Dropbox\Ecohealth\CEWO\01.Gwydir\Gwydir%20Reports\2015-16\Micro_Metabolism\LTIM_Gwydir_Metabolism_2015-16_final.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wtsoi\Dropbox\Ecohealth\CEWO\01.Gwydir\Gwydir%20Reports\2015-16\Micro_Micro\LTIM_Gwydir_MicroUni_2015-16_final.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wtsoi\Dropbox\Ecohealth\CEWO\01.Gwydir\Gwydir%20Reports\2015-16\Micro_Micro\LTIM_Gwydir_MicroUni_2015-16_final.xlsx" TargetMode="External"/></Relationships>
</file>

<file path=word/charts/_rels/chart32.xml.rels><?xml version="1.0" encoding="UTF-8" standalone="yes"?>
<Relationships xmlns="http://schemas.openxmlformats.org/package/2006/relationships"><Relationship Id="rId2" Type="http://schemas.openxmlformats.org/officeDocument/2006/relationships/oleObject" Target="file:///C:\Users\wtsoi\Dropbox\Ecohealth\CEWO\01.Gwydir\Gwydir%20Reports\2015-16\Micro_Micro\LTIM_Gwydir_MicroUni_2015-16_final.xlsx" TargetMode="External"/><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oleObject" Target="file:///C:\Users\wtsoi\Dropbox\Ecohealth\CEWO\01.Gwydir\Gwydir%20Reports\2015-16\Micro_Micro\LTIM_Gwydir_MicroUni_2015-16_final.xlsx" TargetMode="External"/><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marks\AppData\Local\Microsoft\Windows\Temporary%20Internet%20Files\Content.Outlook\13T0QN7N\LTIM%20Gwydir%202015-16%20Micro%20figures%20to%20Mark.xlsx"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marks\AppData\Local\Microsoft\Windows\Temporary%20Internet%20Files\Content.Outlook\13T0QN7N\LTIM%20Gwydir%202015-16%20Micro%20figures%20to%20Mark.xlsx"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ecoarmdc\Netsuite\Projects\15ARM\2427%20Gwydir%20LTIM%20Stage%202%20-%20Year%202\Indicators\Indicators%20(Y2)\Macroinvertebrates\Gwydir%20Macro%20figures%20to%20Mark.xlsx"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ecoarmdc\Netsuite\Projects\15ARM\2427%20Gwydir%20LTIM%20Stage%202%20-%20Year%202\Indicators\Indicators%20(Y2)\Macroinvertebrates\Gwydir%20Macro%20figures%20to%20Mark.xlsx"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ecoarmdc\Netsuite\Projects\15ARM\2427%20Gwydir%20LTIM%20Stage%202%20-%20Year%202\Indicators\Indicators%20(Y2)\Macroinvertebrates\Gwydir%20Macro%20figures%20to%20Mark.xlsx" TargetMode="Externa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ecoarmdc\Netsuite\Projects\15ARM\2427%20Gwydir%20LTIM%20Stage%202%20-%20Year%202\Indicators\Indicators%20(Y2)\Ecosystem%20Type\Ecosystem%20Type%20Analysis%20v1.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ecoarmdc\Netsuite\Projects\15ARM\2427%20Gwydir%20LTIM%20Stage%202%20-%20Year%202\Indicators\Indicators%20(Y2)\Hydrology%20(river)\Analysis\Longitudinal%20Connectivity.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ecoarmdc\Netsuite\Projects\15ARM\2427%20Gwydir%20LTIM%20Stage%202%20-%20Year%202\Indicators\Indicators%20(Y2)\Ecosystem%20Type\Ecosystem%20Type%20Analysis%20v1.xlsx" TargetMode="Externa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ecoarmdc\Netsuite\Projects\15ARM\2427%20Gwydir%20LTIM%20Stage%202%20-%20Year%202\Indicators\Indicators%20(Y2)\Ecosystem%20Type\Ecosystem%20Type%20Analysis%20v1.xlsx" TargetMode="Externa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Chart%20in%20Microsoft%20Word"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ecoarmdc\Netsuite\Projects\15ARM\2427%20Gwydir%20LTIM%20Stage%202%20-%20Year%202\Indicators\Indicators%20(Y2)\Frogs%20and%20small%20fish\flow%20data.xlsx" TargetMode="Externa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ecoarmdc\Netsuite\Projects\15ARM\2427%20Gwydir%20LTIM%20Stage%202%20-%20Year%202\Indicators\Indicators%20(Y2)\Frogs_small%20fish\Field%20data%20Dec%202015\Frog%20and%20fish%20data%20Combined.xlsx" TargetMode="Externa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ecoarmdc\Netsuite\Projects\15ARM\2427%20Gwydir%20LTIM%20Stage%202%20-%20Year%202\Indicators\Indicators%20(Y2)\Waterbird%20diversity\STATS\Summaries\Tables%20and%20Figures_Vb.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Chart%202%20in%20Microsoft%20Word" TargetMode="Externa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ecoarmdc\Netsuite\Projects\15ARM\2427%20Gwydir%20LTIM%20Stage%202%20-%20Year%202\Indicators\Indicators%20(Y2)\Waterbird%20diversity\STATS\MDS\Site%20types%20MDMS.xlsx"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wtsoi\Dropbox\Ecohealth\CEWO\01.Gwydir\Gwydir%20Reports\2015-16\Pally%20output\LTIM_Gwydir_PallyWQ_2015-16_final.xls"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575691942616761"/>
          <c:y val="4.4187667250640127E-2"/>
          <c:w val="0.85201130406644376"/>
          <c:h val="0.67225539481208996"/>
        </c:manualLayout>
      </c:layout>
      <c:lineChart>
        <c:grouping val="standard"/>
        <c:varyColors val="0"/>
        <c:ser>
          <c:idx val="0"/>
          <c:order val="0"/>
          <c:tx>
            <c:strRef>
              <c:f>Gwydir!$B$1</c:f>
              <c:strCache>
                <c:ptCount val="1"/>
                <c:pt idx="0">
                  <c:v>418026 - Gwydir River DS Copeton Dam</c:v>
                </c:pt>
              </c:strCache>
            </c:strRef>
          </c:tx>
          <c:spPr>
            <a:ln>
              <a:solidFill>
                <a:srgbClr val="FF0000"/>
              </a:solidFill>
              <a:prstDash val="sysDash"/>
            </a:ln>
          </c:spPr>
          <c:marker>
            <c:symbol val="none"/>
          </c:marker>
          <c:cat>
            <c:numRef>
              <c:f>Gwydir!$A$5:$A$370</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Gwydir!$B$5:$B$370</c:f>
              <c:numCache>
                <c:formatCode>General</c:formatCode>
                <c:ptCount val="366"/>
                <c:pt idx="0">
                  <c:v>18.966000000000001</c:v>
                </c:pt>
                <c:pt idx="1">
                  <c:v>18.812999999999999</c:v>
                </c:pt>
                <c:pt idx="2">
                  <c:v>18.763000000000002</c:v>
                </c:pt>
                <c:pt idx="3">
                  <c:v>18.721</c:v>
                </c:pt>
                <c:pt idx="4">
                  <c:v>18.783999999999999</c:v>
                </c:pt>
                <c:pt idx="5">
                  <c:v>18.664000000000001</c:v>
                </c:pt>
                <c:pt idx="6">
                  <c:v>18.663</c:v>
                </c:pt>
                <c:pt idx="7">
                  <c:v>18.655000000000001</c:v>
                </c:pt>
                <c:pt idx="8">
                  <c:v>18.82</c:v>
                </c:pt>
                <c:pt idx="9">
                  <c:v>18.838000000000001</c:v>
                </c:pt>
                <c:pt idx="10">
                  <c:v>18.977</c:v>
                </c:pt>
                <c:pt idx="11">
                  <c:v>19.013000000000002</c:v>
                </c:pt>
                <c:pt idx="12">
                  <c:v>19.210999999999999</c:v>
                </c:pt>
                <c:pt idx="13">
                  <c:v>19.100000000000001</c:v>
                </c:pt>
                <c:pt idx="14">
                  <c:v>19.027999999999999</c:v>
                </c:pt>
                <c:pt idx="15">
                  <c:v>19.105</c:v>
                </c:pt>
                <c:pt idx="16">
                  <c:v>19.12</c:v>
                </c:pt>
                <c:pt idx="17">
                  <c:v>19.042000000000002</c:v>
                </c:pt>
                <c:pt idx="18">
                  <c:v>19.102</c:v>
                </c:pt>
                <c:pt idx="19">
                  <c:v>19.178000000000001</c:v>
                </c:pt>
                <c:pt idx="20">
                  <c:v>19.196000000000002</c:v>
                </c:pt>
                <c:pt idx="21">
                  <c:v>19.350000000000001</c:v>
                </c:pt>
                <c:pt idx="22">
                  <c:v>19.762</c:v>
                </c:pt>
                <c:pt idx="23">
                  <c:v>21.919</c:v>
                </c:pt>
                <c:pt idx="24">
                  <c:v>22.47</c:v>
                </c:pt>
                <c:pt idx="25">
                  <c:v>20.036000000000001</c:v>
                </c:pt>
                <c:pt idx="26">
                  <c:v>19.652999999999999</c:v>
                </c:pt>
                <c:pt idx="27">
                  <c:v>19.48</c:v>
                </c:pt>
                <c:pt idx="28">
                  <c:v>19.43</c:v>
                </c:pt>
                <c:pt idx="29">
                  <c:v>19.446000000000002</c:v>
                </c:pt>
                <c:pt idx="30">
                  <c:v>19.861999999999998</c:v>
                </c:pt>
                <c:pt idx="31">
                  <c:v>20.225999999999999</c:v>
                </c:pt>
                <c:pt idx="32">
                  <c:v>20.527000000000001</c:v>
                </c:pt>
                <c:pt idx="33">
                  <c:v>20.51</c:v>
                </c:pt>
                <c:pt idx="34">
                  <c:v>20.219000000000001</c:v>
                </c:pt>
                <c:pt idx="35">
                  <c:v>20.309000000000001</c:v>
                </c:pt>
                <c:pt idx="36">
                  <c:v>20.239000000000001</c:v>
                </c:pt>
                <c:pt idx="37">
                  <c:v>20.164000000000001</c:v>
                </c:pt>
                <c:pt idx="38">
                  <c:v>20.161999999999999</c:v>
                </c:pt>
                <c:pt idx="39">
                  <c:v>20.047999999999998</c:v>
                </c:pt>
                <c:pt idx="40">
                  <c:v>20.094000000000001</c:v>
                </c:pt>
                <c:pt idx="41">
                  <c:v>20.151</c:v>
                </c:pt>
                <c:pt idx="42">
                  <c:v>20.053000000000001</c:v>
                </c:pt>
                <c:pt idx="43">
                  <c:v>20.137</c:v>
                </c:pt>
                <c:pt idx="44">
                  <c:v>20.184999999999999</c:v>
                </c:pt>
                <c:pt idx="45">
                  <c:v>20.193000000000001</c:v>
                </c:pt>
                <c:pt idx="46">
                  <c:v>20.213000000000001</c:v>
                </c:pt>
                <c:pt idx="47">
                  <c:v>20.318000000000001</c:v>
                </c:pt>
                <c:pt idx="48">
                  <c:v>20.51</c:v>
                </c:pt>
                <c:pt idx="49">
                  <c:v>20.68</c:v>
                </c:pt>
                <c:pt idx="50">
                  <c:v>20.745000000000001</c:v>
                </c:pt>
                <c:pt idx="51">
                  <c:v>21.239000000000001</c:v>
                </c:pt>
                <c:pt idx="52">
                  <c:v>21.404</c:v>
                </c:pt>
                <c:pt idx="53">
                  <c:v>20.399999999999999</c:v>
                </c:pt>
                <c:pt idx="54">
                  <c:v>31.140999999999998</c:v>
                </c:pt>
                <c:pt idx="55">
                  <c:v>25.19</c:v>
                </c:pt>
                <c:pt idx="56">
                  <c:v>21.867000000000001</c:v>
                </c:pt>
                <c:pt idx="57">
                  <c:v>21.797999999999998</c:v>
                </c:pt>
                <c:pt idx="58">
                  <c:v>21.681000000000001</c:v>
                </c:pt>
                <c:pt idx="59">
                  <c:v>21.094000000000001</c:v>
                </c:pt>
                <c:pt idx="60">
                  <c:v>20.931999999999999</c:v>
                </c:pt>
                <c:pt idx="61">
                  <c:v>21.096</c:v>
                </c:pt>
                <c:pt idx="62">
                  <c:v>21.268999999999998</c:v>
                </c:pt>
                <c:pt idx="63">
                  <c:v>20.87</c:v>
                </c:pt>
                <c:pt idx="64">
                  <c:v>22.119</c:v>
                </c:pt>
                <c:pt idx="65">
                  <c:v>21.809000000000001</c:v>
                </c:pt>
                <c:pt idx="66">
                  <c:v>20.751000000000001</c:v>
                </c:pt>
                <c:pt idx="67">
                  <c:v>20.341000000000001</c:v>
                </c:pt>
                <c:pt idx="68">
                  <c:v>20.193999999999999</c:v>
                </c:pt>
                <c:pt idx="69">
                  <c:v>19.262</c:v>
                </c:pt>
                <c:pt idx="70">
                  <c:v>19.149999999999999</c:v>
                </c:pt>
                <c:pt idx="71">
                  <c:v>19.12</c:v>
                </c:pt>
                <c:pt idx="72">
                  <c:v>18.992000000000001</c:v>
                </c:pt>
                <c:pt idx="73">
                  <c:v>18.763999999999999</c:v>
                </c:pt>
                <c:pt idx="74">
                  <c:v>18.027000000000001</c:v>
                </c:pt>
                <c:pt idx="75">
                  <c:v>17.433</c:v>
                </c:pt>
                <c:pt idx="76">
                  <c:v>16.95</c:v>
                </c:pt>
                <c:pt idx="77">
                  <c:v>16.013000000000002</c:v>
                </c:pt>
                <c:pt idx="78">
                  <c:v>14.824999999999999</c:v>
                </c:pt>
                <c:pt idx="79">
                  <c:v>15.026</c:v>
                </c:pt>
                <c:pt idx="80">
                  <c:v>15.582000000000001</c:v>
                </c:pt>
                <c:pt idx="81">
                  <c:v>15.307</c:v>
                </c:pt>
                <c:pt idx="82">
                  <c:v>15.156000000000001</c:v>
                </c:pt>
                <c:pt idx="83">
                  <c:v>15.27</c:v>
                </c:pt>
                <c:pt idx="84">
                  <c:v>15.202</c:v>
                </c:pt>
                <c:pt idx="85">
                  <c:v>15.442</c:v>
                </c:pt>
                <c:pt idx="86">
                  <c:v>15.492000000000001</c:v>
                </c:pt>
                <c:pt idx="87">
                  <c:v>15.683</c:v>
                </c:pt>
                <c:pt idx="88">
                  <c:v>15.734</c:v>
                </c:pt>
                <c:pt idx="89">
                  <c:v>15.662000000000001</c:v>
                </c:pt>
                <c:pt idx="90">
                  <c:v>15.467000000000001</c:v>
                </c:pt>
                <c:pt idx="91">
                  <c:v>15.33</c:v>
                </c:pt>
                <c:pt idx="92">
                  <c:v>14.663</c:v>
                </c:pt>
                <c:pt idx="93">
                  <c:v>14.032999999999999</c:v>
                </c:pt>
                <c:pt idx="94">
                  <c:v>13.856999999999999</c:v>
                </c:pt>
                <c:pt idx="95">
                  <c:v>13.423</c:v>
                </c:pt>
                <c:pt idx="96">
                  <c:v>13.308999999999999</c:v>
                </c:pt>
                <c:pt idx="97">
                  <c:v>12.891</c:v>
                </c:pt>
                <c:pt idx="98">
                  <c:v>12.997</c:v>
                </c:pt>
                <c:pt idx="99">
                  <c:v>13.292</c:v>
                </c:pt>
                <c:pt idx="100">
                  <c:v>13.871</c:v>
                </c:pt>
                <c:pt idx="101">
                  <c:v>13.766</c:v>
                </c:pt>
                <c:pt idx="102">
                  <c:v>13.696</c:v>
                </c:pt>
                <c:pt idx="103">
                  <c:v>13.856999999999999</c:v>
                </c:pt>
                <c:pt idx="104">
                  <c:v>14.339</c:v>
                </c:pt>
                <c:pt idx="105">
                  <c:v>17.135000000000002</c:v>
                </c:pt>
                <c:pt idx="106">
                  <c:v>90.706999999999994</c:v>
                </c:pt>
                <c:pt idx="107">
                  <c:v>262.44200000000001</c:v>
                </c:pt>
                <c:pt idx="108">
                  <c:v>304.32</c:v>
                </c:pt>
                <c:pt idx="109">
                  <c:v>306.339</c:v>
                </c:pt>
                <c:pt idx="110">
                  <c:v>322.70100000000002</c:v>
                </c:pt>
                <c:pt idx="111">
                  <c:v>342.55799999999999</c:v>
                </c:pt>
                <c:pt idx="112">
                  <c:v>396.99</c:v>
                </c:pt>
                <c:pt idx="113">
                  <c:v>610.43799999999999</c:v>
                </c:pt>
                <c:pt idx="114">
                  <c:v>772.43100000000004</c:v>
                </c:pt>
                <c:pt idx="115">
                  <c:v>772.20399999999995</c:v>
                </c:pt>
                <c:pt idx="116">
                  <c:v>772.76300000000003</c:v>
                </c:pt>
                <c:pt idx="117">
                  <c:v>740.947</c:v>
                </c:pt>
                <c:pt idx="118">
                  <c:v>589.03899999999999</c:v>
                </c:pt>
                <c:pt idx="119">
                  <c:v>435.51499999999999</c:v>
                </c:pt>
                <c:pt idx="120">
                  <c:v>454.18400000000003</c:v>
                </c:pt>
                <c:pt idx="121">
                  <c:v>326.98099999999999</c:v>
                </c:pt>
                <c:pt idx="122">
                  <c:v>20.119</c:v>
                </c:pt>
                <c:pt idx="123">
                  <c:v>16.077999999999999</c:v>
                </c:pt>
                <c:pt idx="124">
                  <c:v>16.457999999999998</c:v>
                </c:pt>
                <c:pt idx="125">
                  <c:v>15.11</c:v>
                </c:pt>
                <c:pt idx="126">
                  <c:v>14.404</c:v>
                </c:pt>
                <c:pt idx="127">
                  <c:v>44.258000000000003</c:v>
                </c:pt>
                <c:pt idx="128">
                  <c:v>25.401</c:v>
                </c:pt>
                <c:pt idx="129">
                  <c:v>18.466999999999999</c:v>
                </c:pt>
                <c:pt idx="130">
                  <c:v>17.053999999999998</c:v>
                </c:pt>
                <c:pt idx="131">
                  <c:v>16.919</c:v>
                </c:pt>
                <c:pt idx="132">
                  <c:v>16.030999999999999</c:v>
                </c:pt>
                <c:pt idx="133">
                  <c:v>15.621</c:v>
                </c:pt>
                <c:pt idx="134">
                  <c:v>15.829000000000001</c:v>
                </c:pt>
                <c:pt idx="135">
                  <c:v>18.436</c:v>
                </c:pt>
                <c:pt idx="136">
                  <c:v>18.489000000000001</c:v>
                </c:pt>
                <c:pt idx="137">
                  <c:v>19.614000000000001</c:v>
                </c:pt>
                <c:pt idx="138">
                  <c:v>20.076000000000001</c:v>
                </c:pt>
                <c:pt idx="139">
                  <c:v>19.794</c:v>
                </c:pt>
                <c:pt idx="140">
                  <c:v>19.198</c:v>
                </c:pt>
                <c:pt idx="141">
                  <c:v>57.654000000000003</c:v>
                </c:pt>
                <c:pt idx="142">
                  <c:v>118.51600000000001</c:v>
                </c:pt>
                <c:pt idx="143">
                  <c:v>118.104</c:v>
                </c:pt>
                <c:pt idx="144">
                  <c:v>117.518</c:v>
                </c:pt>
                <c:pt idx="145">
                  <c:v>117.221</c:v>
                </c:pt>
                <c:pt idx="146">
                  <c:v>116.881</c:v>
                </c:pt>
                <c:pt idx="147">
                  <c:v>115.998</c:v>
                </c:pt>
                <c:pt idx="148">
                  <c:v>115.565</c:v>
                </c:pt>
                <c:pt idx="149">
                  <c:v>115.955</c:v>
                </c:pt>
                <c:pt idx="150">
                  <c:v>115.961</c:v>
                </c:pt>
                <c:pt idx="151">
                  <c:v>115.188</c:v>
                </c:pt>
                <c:pt idx="152">
                  <c:v>116.063</c:v>
                </c:pt>
                <c:pt idx="153">
                  <c:v>116.003</c:v>
                </c:pt>
                <c:pt idx="154">
                  <c:v>291.42099999999999</c:v>
                </c:pt>
                <c:pt idx="155">
                  <c:v>448.048</c:v>
                </c:pt>
                <c:pt idx="156">
                  <c:v>500.91699999999997</c:v>
                </c:pt>
                <c:pt idx="157">
                  <c:v>544.63099999999997</c:v>
                </c:pt>
                <c:pt idx="158">
                  <c:v>544.92399999999998</c:v>
                </c:pt>
                <c:pt idx="159">
                  <c:v>545.375</c:v>
                </c:pt>
                <c:pt idx="160">
                  <c:v>546.03099999999995</c:v>
                </c:pt>
                <c:pt idx="161">
                  <c:v>555.78300000000002</c:v>
                </c:pt>
                <c:pt idx="162">
                  <c:v>541.07500000000005</c:v>
                </c:pt>
                <c:pt idx="163">
                  <c:v>752.68</c:v>
                </c:pt>
                <c:pt idx="164">
                  <c:v>995.38300000000004</c:v>
                </c:pt>
                <c:pt idx="165">
                  <c:v>987.07500000000005</c:v>
                </c:pt>
                <c:pt idx="166">
                  <c:v>1410.547</c:v>
                </c:pt>
                <c:pt idx="167">
                  <c:v>1702.527</c:v>
                </c:pt>
                <c:pt idx="168">
                  <c:v>2036.943</c:v>
                </c:pt>
                <c:pt idx="169">
                  <c:v>2253.2739999999999</c:v>
                </c:pt>
                <c:pt idx="170">
                  <c:v>2159.0070000000001</c:v>
                </c:pt>
                <c:pt idx="171">
                  <c:v>2156.991</c:v>
                </c:pt>
                <c:pt idx="172">
                  <c:v>2156.16</c:v>
                </c:pt>
                <c:pt idx="173">
                  <c:v>2155.567</c:v>
                </c:pt>
                <c:pt idx="174">
                  <c:v>2041.0840000000001</c:v>
                </c:pt>
                <c:pt idx="175">
                  <c:v>1852.038</c:v>
                </c:pt>
                <c:pt idx="176">
                  <c:v>1947.164</c:v>
                </c:pt>
                <c:pt idx="177">
                  <c:v>1960.6969999999999</c:v>
                </c:pt>
                <c:pt idx="178">
                  <c:v>1946.7470000000001</c:v>
                </c:pt>
                <c:pt idx="179">
                  <c:v>1840.0329999999999</c:v>
                </c:pt>
                <c:pt idx="180">
                  <c:v>1697.998</c:v>
                </c:pt>
                <c:pt idx="181">
                  <c:v>1366.846</c:v>
                </c:pt>
                <c:pt idx="182">
                  <c:v>1182.9690000000001</c:v>
                </c:pt>
                <c:pt idx="183">
                  <c:v>1184.694</c:v>
                </c:pt>
                <c:pt idx="184">
                  <c:v>931.04499999999996</c:v>
                </c:pt>
                <c:pt idx="185">
                  <c:v>442.36099999999999</c:v>
                </c:pt>
                <c:pt idx="186">
                  <c:v>411.38400000000001</c:v>
                </c:pt>
                <c:pt idx="187">
                  <c:v>242.80600000000001</c:v>
                </c:pt>
                <c:pt idx="188">
                  <c:v>111.65600000000001</c:v>
                </c:pt>
                <c:pt idx="189">
                  <c:v>111.78700000000001</c:v>
                </c:pt>
                <c:pt idx="190">
                  <c:v>109.883</c:v>
                </c:pt>
                <c:pt idx="191">
                  <c:v>379.73899999999998</c:v>
                </c:pt>
                <c:pt idx="192">
                  <c:v>834.25</c:v>
                </c:pt>
                <c:pt idx="193">
                  <c:v>884.28200000000004</c:v>
                </c:pt>
                <c:pt idx="194">
                  <c:v>885.03499999999997</c:v>
                </c:pt>
                <c:pt idx="195">
                  <c:v>887.14300000000003</c:v>
                </c:pt>
                <c:pt idx="196">
                  <c:v>1068.3879999999999</c:v>
                </c:pt>
                <c:pt idx="197">
                  <c:v>1891.2080000000001</c:v>
                </c:pt>
                <c:pt idx="198">
                  <c:v>2372.7530000000002</c:v>
                </c:pt>
                <c:pt idx="199">
                  <c:v>2305.5920000000001</c:v>
                </c:pt>
                <c:pt idx="200">
                  <c:v>2427.1460000000002</c:v>
                </c:pt>
                <c:pt idx="201">
                  <c:v>2424.2530000000002</c:v>
                </c:pt>
                <c:pt idx="202">
                  <c:v>2422.3939999999998</c:v>
                </c:pt>
                <c:pt idx="203">
                  <c:v>2422.375</c:v>
                </c:pt>
                <c:pt idx="204">
                  <c:v>2052.8009999999999</c:v>
                </c:pt>
                <c:pt idx="205">
                  <c:v>1590.626</c:v>
                </c:pt>
                <c:pt idx="206">
                  <c:v>1463.472</c:v>
                </c:pt>
                <c:pt idx="207">
                  <c:v>1504.63</c:v>
                </c:pt>
                <c:pt idx="208">
                  <c:v>1508.2360000000001</c:v>
                </c:pt>
                <c:pt idx="209">
                  <c:v>1506.92</c:v>
                </c:pt>
                <c:pt idx="210">
                  <c:v>1210.2</c:v>
                </c:pt>
                <c:pt idx="211">
                  <c:v>677.83900000000006</c:v>
                </c:pt>
                <c:pt idx="212">
                  <c:v>192.39500000000001</c:v>
                </c:pt>
                <c:pt idx="213">
                  <c:v>22.344999999999999</c:v>
                </c:pt>
                <c:pt idx="214">
                  <c:v>17.012</c:v>
                </c:pt>
                <c:pt idx="215">
                  <c:v>107.66500000000001</c:v>
                </c:pt>
                <c:pt idx="216">
                  <c:v>417.87900000000002</c:v>
                </c:pt>
                <c:pt idx="217">
                  <c:v>490.04500000000002</c:v>
                </c:pt>
                <c:pt idx="218">
                  <c:v>486.37599999999998</c:v>
                </c:pt>
                <c:pt idx="219">
                  <c:v>281.91300000000001</c:v>
                </c:pt>
                <c:pt idx="220">
                  <c:v>102.733</c:v>
                </c:pt>
                <c:pt idx="221">
                  <c:v>102.745</c:v>
                </c:pt>
                <c:pt idx="222">
                  <c:v>102.97</c:v>
                </c:pt>
                <c:pt idx="223">
                  <c:v>103.1</c:v>
                </c:pt>
                <c:pt idx="224">
                  <c:v>103.223</c:v>
                </c:pt>
                <c:pt idx="225">
                  <c:v>103.31399999999999</c:v>
                </c:pt>
                <c:pt idx="226">
                  <c:v>74.108000000000004</c:v>
                </c:pt>
                <c:pt idx="227">
                  <c:v>31.786999999999999</c:v>
                </c:pt>
                <c:pt idx="228">
                  <c:v>32.078000000000003</c:v>
                </c:pt>
                <c:pt idx="229">
                  <c:v>31.346</c:v>
                </c:pt>
                <c:pt idx="230">
                  <c:v>24.81</c:v>
                </c:pt>
                <c:pt idx="231">
                  <c:v>25.155000000000001</c:v>
                </c:pt>
                <c:pt idx="232">
                  <c:v>73.905000000000001</c:v>
                </c:pt>
                <c:pt idx="233">
                  <c:v>134.60499999999999</c:v>
                </c:pt>
                <c:pt idx="234">
                  <c:v>135.02199999999999</c:v>
                </c:pt>
                <c:pt idx="235">
                  <c:v>135.01499999999999</c:v>
                </c:pt>
                <c:pt idx="236">
                  <c:v>133.63800000000001</c:v>
                </c:pt>
                <c:pt idx="237">
                  <c:v>129.285</c:v>
                </c:pt>
                <c:pt idx="238">
                  <c:v>135.035</c:v>
                </c:pt>
                <c:pt idx="239">
                  <c:v>134.852</c:v>
                </c:pt>
                <c:pt idx="240">
                  <c:v>137.13200000000001</c:v>
                </c:pt>
                <c:pt idx="241">
                  <c:v>137.07300000000001</c:v>
                </c:pt>
                <c:pt idx="242">
                  <c:v>137.19999999999999</c:v>
                </c:pt>
                <c:pt idx="243">
                  <c:v>136.84800000000001</c:v>
                </c:pt>
                <c:pt idx="244">
                  <c:v>136.625</c:v>
                </c:pt>
                <c:pt idx="245">
                  <c:v>135.93899999999999</c:v>
                </c:pt>
                <c:pt idx="246">
                  <c:v>135.42699999999999</c:v>
                </c:pt>
                <c:pt idx="247">
                  <c:v>135.42699999999999</c:v>
                </c:pt>
                <c:pt idx="248">
                  <c:v>135.14099999999999</c:v>
                </c:pt>
                <c:pt idx="249">
                  <c:v>134.83000000000001</c:v>
                </c:pt>
                <c:pt idx="250">
                  <c:v>134.84</c:v>
                </c:pt>
                <c:pt idx="251">
                  <c:v>134.916</c:v>
                </c:pt>
                <c:pt idx="252">
                  <c:v>134.82300000000001</c:v>
                </c:pt>
                <c:pt idx="253">
                  <c:v>134.506</c:v>
                </c:pt>
                <c:pt idx="254">
                  <c:v>74.927999999999997</c:v>
                </c:pt>
                <c:pt idx="255">
                  <c:v>15.315</c:v>
                </c:pt>
                <c:pt idx="256">
                  <c:v>14.226000000000001</c:v>
                </c:pt>
                <c:pt idx="257">
                  <c:v>14.281000000000001</c:v>
                </c:pt>
                <c:pt idx="258">
                  <c:v>14.827</c:v>
                </c:pt>
                <c:pt idx="259">
                  <c:v>14.257</c:v>
                </c:pt>
                <c:pt idx="260">
                  <c:v>14.416</c:v>
                </c:pt>
                <c:pt idx="261">
                  <c:v>14.69</c:v>
                </c:pt>
                <c:pt idx="262">
                  <c:v>15.666</c:v>
                </c:pt>
                <c:pt idx="263">
                  <c:v>15.528</c:v>
                </c:pt>
                <c:pt idx="264">
                  <c:v>16.146000000000001</c:v>
                </c:pt>
                <c:pt idx="265">
                  <c:v>73.703000000000003</c:v>
                </c:pt>
                <c:pt idx="266">
                  <c:v>132.42400000000001</c:v>
                </c:pt>
                <c:pt idx="267">
                  <c:v>132.49299999999999</c:v>
                </c:pt>
                <c:pt idx="268">
                  <c:v>132.54499999999999</c:v>
                </c:pt>
                <c:pt idx="269">
                  <c:v>132.47399999999999</c:v>
                </c:pt>
                <c:pt idx="270">
                  <c:v>132.209</c:v>
                </c:pt>
                <c:pt idx="271">
                  <c:v>132.33600000000001</c:v>
                </c:pt>
                <c:pt idx="272">
                  <c:v>87.536000000000001</c:v>
                </c:pt>
                <c:pt idx="273">
                  <c:v>22.736000000000001</c:v>
                </c:pt>
                <c:pt idx="274">
                  <c:v>21.901</c:v>
                </c:pt>
                <c:pt idx="275">
                  <c:v>23.198</c:v>
                </c:pt>
                <c:pt idx="276">
                  <c:v>24.978000000000002</c:v>
                </c:pt>
                <c:pt idx="277">
                  <c:v>25.669</c:v>
                </c:pt>
                <c:pt idx="278">
                  <c:v>26.06</c:v>
                </c:pt>
                <c:pt idx="279">
                  <c:v>85.738</c:v>
                </c:pt>
                <c:pt idx="280">
                  <c:v>243.49299999999999</c:v>
                </c:pt>
                <c:pt idx="281">
                  <c:v>256.19200000000001</c:v>
                </c:pt>
                <c:pt idx="282">
                  <c:v>256.12700000000001</c:v>
                </c:pt>
                <c:pt idx="283">
                  <c:v>256.31099999999998</c:v>
                </c:pt>
                <c:pt idx="284">
                  <c:v>256.50099999999998</c:v>
                </c:pt>
                <c:pt idx="285">
                  <c:v>255.98400000000001</c:v>
                </c:pt>
                <c:pt idx="286">
                  <c:v>255.72800000000001</c:v>
                </c:pt>
                <c:pt idx="287">
                  <c:v>255.595</c:v>
                </c:pt>
                <c:pt idx="288">
                  <c:v>255.07900000000001</c:v>
                </c:pt>
                <c:pt idx="289">
                  <c:v>203.97300000000001</c:v>
                </c:pt>
                <c:pt idx="290">
                  <c:v>116.40900000000001</c:v>
                </c:pt>
                <c:pt idx="291">
                  <c:v>115.94799999999999</c:v>
                </c:pt>
                <c:pt idx="292">
                  <c:v>115.733</c:v>
                </c:pt>
                <c:pt idx="293">
                  <c:v>115.367</c:v>
                </c:pt>
                <c:pt idx="294">
                  <c:v>115.354</c:v>
                </c:pt>
                <c:pt idx="295">
                  <c:v>1.323</c:v>
                </c:pt>
                <c:pt idx="296">
                  <c:v>1.3240000000000001</c:v>
                </c:pt>
                <c:pt idx="297">
                  <c:v>1.3240000000000001</c:v>
                </c:pt>
                <c:pt idx="298">
                  <c:v>1.3240000000000001</c:v>
                </c:pt>
                <c:pt idx="299">
                  <c:v>1.3240000000000001</c:v>
                </c:pt>
                <c:pt idx="300">
                  <c:v>1.3240000000000001</c:v>
                </c:pt>
                <c:pt idx="301">
                  <c:v>1.379</c:v>
                </c:pt>
                <c:pt idx="302">
                  <c:v>1.44</c:v>
                </c:pt>
                <c:pt idx="303">
                  <c:v>1.44</c:v>
                </c:pt>
                <c:pt idx="304">
                  <c:v>1.44</c:v>
                </c:pt>
                <c:pt idx="305">
                  <c:v>1.44</c:v>
                </c:pt>
                <c:pt idx="306">
                  <c:v>1.44</c:v>
                </c:pt>
                <c:pt idx="307">
                  <c:v>1.5249999999999999</c:v>
                </c:pt>
                <c:pt idx="308">
                  <c:v>1.609</c:v>
                </c:pt>
                <c:pt idx="309">
                  <c:v>1.6080000000000001</c:v>
                </c:pt>
                <c:pt idx="310">
                  <c:v>1.607</c:v>
                </c:pt>
                <c:pt idx="311">
                  <c:v>1.6319999999999999</c:v>
                </c:pt>
                <c:pt idx="312">
                  <c:v>1.7649999999999999</c:v>
                </c:pt>
                <c:pt idx="313">
                  <c:v>1.786</c:v>
                </c:pt>
                <c:pt idx="314">
                  <c:v>1.7869999999999999</c:v>
                </c:pt>
                <c:pt idx="315">
                  <c:v>1.8149999999999999</c:v>
                </c:pt>
                <c:pt idx="316">
                  <c:v>1.875</c:v>
                </c:pt>
                <c:pt idx="317">
                  <c:v>1.855</c:v>
                </c:pt>
                <c:pt idx="318">
                  <c:v>1.863</c:v>
                </c:pt>
                <c:pt idx="319">
                  <c:v>1.8620000000000001</c:v>
                </c:pt>
                <c:pt idx="320">
                  <c:v>1.464</c:v>
                </c:pt>
                <c:pt idx="321">
                  <c:v>1.143</c:v>
                </c:pt>
                <c:pt idx="322">
                  <c:v>1.141</c:v>
                </c:pt>
                <c:pt idx="323">
                  <c:v>1.1399999999999999</c:v>
                </c:pt>
                <c:pt idx="324">
                  <c:v>1.139</c:v>
                </c:pt>
                <c:pt idx="325">
                  <c:v>1.1399999999999999</c:v>
                </c:pt>
                <c:pt idx="326">
                  <c:v>1.1399999999999999</c:v>
                </c:pt>
                <c:pt idx="327">
                  <c:v>1.139</c:v>
                </c:pt>
                <c:pt idx="328">
                  <c:v>1.139</c:v>
                </c:pt>
                <c:pt idx="329">
                  <c:v>1.139</c:v>
                </c:pt>
                <c:pt idx="330">
                  <c:v>1.1399999999999999</c:v>
                </c:pt>
                <c:pt idx="331">
                  <c:v>1.1439999999999999</c:v>
                </c:pt>
                <c:pt idx="332">
                  <c:v>1.127</c:v>
                </c:pt>
                <c:pt idx="333">
                  <c:v>1.071</c:v>
                </c:pt>
                <c:pt idx="334">
                  <c:v>1.07</c:v>
                </c:pt>
                <c:pt idx="335">
                  <c:v>1.071</c:v>
                </c:pt>
                <c:pt idx="336">
                  <c:v>1.077</c:v>
                </c:pt>
                <c:pt idx="337">
                  <c:v>1.081</c:v>
                </c:pt>
                <c:pt idx="338">
                  <c:v>1.085</c:v>
                </c:pt>
                <c:pt idx="339">
                  <c:v>1.0860000000000001</c:v>
                </c:pt>
                <c:pt idx="340">
                  <c:v>1.113</c:v>
                </c:pt>
                <c:pt idx="341">
                  <c:v>1.103</c:v>
                </c:pt>
                <c:pt idx="342">
                  <c:v>1.091</c:v>
                </c:pt>
                <c:pt idx="343">
                  <c:v>1.087</c:v>
                </c:pt>
                <c:pt idx="344">
                  <c:v>1.0860000000000001</c:v>
                </c:pt>
                <c:pt idx="345">
                  <c:v>1.0860000000000001</c:v>
                </c:pt>
                <c:pt idx="346">
                  <c:v>1.0860000000000001</c:v>
                </c:pt>
                <c:pt idx="347">
                  <c:v>1.0880000000000001</c:v>
                </c:pt>
                <c:pt idx="348">
                  <c:v>1.105</c:v>
                </c:pt>
                <c:pt idx="349">
                  <c:v>1.1040000000000001</c:v>
                </c:pt>
                <c:pt idx="350">
                  <c:v>1.089</c:v>
                </c:pt>
                <c:pt idx="351">
                  <c:v>1.0880000000000001</c:v>
                </c:pt>
                <c:pt idx="352">
                  <c:v>1.087</c:v>
                </c:pt>
                <c:pt idx="353">
                  <c:v>1.087</c:v>
                </c:pt>
                <c:pt idx="354">
                  <c:v>1.091</c:v>
                </c:pt>
                <c:pt idx="355">
                  <c:v>1.103</c:v>
                </c:pt>
                <c:pt idx="356">
                  <c:v>1.1160000000000001</c:v>
                </c:pt>
                <c:pt idx="357">
                  <c:v>1.101</c:v>
                </c:pt>
                <c:pt idx="358">
                  <c:v>1.0960000000000001</c:v>
                </c:pt>
                <c:pt idx="359">
                  <c:v>1.093</c:v>
                </c:pt>
                <c:pt idx="360">
                  <c:v>1.0980000000000001</c:v>
                </c:pt>
                <c:pt idx="361">
                  <c:v>1.0940000000000001</c:v>
                </c:pt>
                <c:pt idx="362">
                  <c:v>1.0920000000000001</c:v>
                </c:pt>
                <c:pt idx="363">
                  <c:v>1.091</c:v>
                </c:pt>
                <c:pt idx="364">
                  <c:v>1.089</c:v>
                </c:pt>
                <c:pt idx="365">
                  <c:v>1.0900000000000001</c:v>
                </c:pt>
              </c:numCache>
            </c:numRef>
          </c:val>
          <c:smooth val="0"/>
        </c:ser>
        <c:ser>
          <c:idx val="1"/>
          <c:order val="1"/>
          <c:tx>
            <c:strRef>
              <c:f>Gwydir!$C$1</c:f>
              <c:strCache>
                <c:ptCount val="1"/>
                <c:pt idx="0">
                  <c:v>418001 - Gwydir River @ Pallamallawa</c:v>
                </c:pt>
              </c:strCache>
            </c:strRef>
          </c:tx>
          <c:spPr>
            <a:ln>
              <a:solidFill>
                <a:srgbClr val="0070C0"/>
              </a:solidFill>
              <a:prstDash val="solid"/>
            </a:ln>
          </c:spPr>
          <c:marker>
            <c:symbol val="none"/>
          </c:marker>
          <c:cat>
            <c:numRef>
              <c:f>Gwydir!$A$5:$A$370</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Gwydir!$C$5:$C$370</c:f>
              <c:numCache>
                <c:formatCode>General</c:formatCode>
                <c:ptCount val="366"/>
                <c:pt idx="0">
                  <c:v>270.18099999999998</c:v>
                </c:pt>
                <c:pt idx="1">
                  <c:v>252.637</c:v>
                </c:pt>
                <c:pt idx="2">
                  <c:v>237.71100000000001</c:v>
                </c:pt>
                <c:pt idx="3">
                  <c:v>224.55600000000001</c:v>
                </c:pt>
                <c:pt idx="4">
                  <c:v>213.17400000000001</c:v>
                </c:pt>
                <c:pt idx="5">
                  <c:v>204.21199999999999</c:v>
                </c:pt>
                <c:pt idx="6">
                  <c:v>196.816</c:v>
                </c:pt>
                <c:pt idx="7">
                  <c:v>189.982</c:v>
                </c:pt>
                <c:pt idx="8">
                  <c:v>182.90799999999999</c:v>
                </c:pt>
                <c:pt idx="9">
                  <c:v>176.30600000000001</c:v>
                </c:pt>
                <c:pt idx="10">
                  <c:v>171.12200000000001</c:v>
                </c:pt>
                <c:pt idx="11">
                  <c:v>168.33</c:v>
                </c:pt>
                <c:pt idx="12">
                  <c:v>166.005</c:v>
                </c:pt>
                <c:pt idx="13">
                  <c:v>161.63499999999999</c:v>
                </c:pt>
                <c:pt idx="14">
                  <c:v>162.607</c:v>
                </c:pt>
                <c:pt idx="15">
                  <c:v>161.661</c:v>
                </c:pt>
                <c:pt idx="16">
                  <c:v>163.02500000000001</c:v>
                </c:pt>
                <c:pt idx="17">
                  <c:v>162.25200000000001</c:v>
                </c:pt>
                <c:pt idx="18">
                  <c:v>162.98099999999999</c:v>
                </c:pt>
                <c:pt idx="19">
                  <c:v>190.70599999999999</c:v>
                </c:pt>
                <c:pt idx="20">
                  <c:v>224.773</c:v>
                </c:pt>
                <c:pt idx="21">
                  <c:v>244.142</c:v>
                </c:pt>
                <c:pt idx="22">
                  <c:v>258.589</c:v>
                </c:pt>
                <c:pt idx="23">
                  <c:v>256.02800000000002</c:v>
                </c:pt>
                <c:pt idx="24">
                  <c:v>286.41199999999998</c:v>
                </c:pt>
                <c:pt idx="25">
                  <c:v>4203.0519999999997</c:v>
                </c:pt>
                <c:pt idx="26">
                  <c:v>4092.748</c:v>
                </c:pt>
                <c:pt idx="27">
                  <c:v>1434.655</c:v>
                </c:pt>
                <c:pt idx="28">
                  <c:v>911.68799999999999</c:v>
                </c:pt>
                <c:pt idx="29">
                  <c:v>689.34900000000005</c:v>
                </c:pt>
                <c:pt idx="30">
                  <c:v>567.18499999999995</c:v>
                </c:pt>
                <c:pt idx="31">
                  <c:v>482.90300000000002</c:v>
                </c:pt>
                <c:pt idx="32">
                  <c:v>419.56200000000001</c:v>
                </c:pt>
                <c:pt idx="33">
                  <c:v>372.995</c:v>
                </c:pt>
                <c:pt idx="34">
                  <c:v>336.49599999999998</c:v>
                </c:pt>
                <c:pt idx="35">
                  <c:v>307.036</c:v>
                </c:pt>
                <c:pt idx="36">
                  <c:v>282.161</c:v>
                </c:pt>
                <c:pt idx="37">
                  <c:v>261.92200000000003</c:v>
                </c:pt>
                <c:pt idx="38">
                  <c:v>245.97300000000001</c:v>
                </c:pt>
                <c:pt idx="39">
                  <c:v>232.69499999999999</c:v>
                </c:pt>
                <c:pt idx="40">
                  <c:v>220.839</c:v>
                </c:pt>
                <c:pt idx="41">
                  <c:v>210.87700000000001</c:v>
                </c:pt>
                <c:pt idx="42">
                  <c:v>201.36</c:v>
                </c:pt>
                <c:pt idx="43">
                  <c:v>193.93199999999999</c:v>
                </c:pt>
                <c:pt idx="44">
                  <c:v>182.53200000000001</c:v>
                </c:pt>
                <c:pt idx="45">
                  <c:v>170.029</c:v>
                </c:pt>
                <c:pt idx="46">
                  <c:v>170.01</c:v>
                </c:pt>
                <c:pt idx="47">
                  <c:v>163.88200000000001</c:v>
                </c:pt>
                <c:pt idx="48">
                  <c:v>159.38300000000001</c:v>
                </c:pt>
                <c:pt idx="49">
                  <c:v>154.04900000000001</c:v>
                </c:pt>
                <c:pt idx="50">
                  <c:v>148.09899999999999</c:v>
                </c:pt>
                <c:pt idx="51">
                  <c:v>143.05500000000001</c:v>
                </c:pt>
                <c:pt idx="52">
                  <c:v>139.047</c:v>
                </c:pt>
                <c:pt idx="53">
                  <c:v>136.435</c:v>
                </c:pt>
                <c:pt idx="54">
                  <c:v>132.08199999999999</c:v>
                </c:pt>
                <c:pt idx="55">
                  <c:v>427.72899999999998</c:v>
                </c:pt>
                <c:pt idx="56">
                  <c:v>11439.85</c:v>
                </c:pt>
                <c:pt idx="57">
                  <c:v>5620.2529999999997</c:v>
                </c:pt>
                <c:pt idx="58">
                  <c:v>2260.1579999999999</c:v>
                </c:pt>
                <c:pt idx="59">
                  <c:v>1406.0730000000001</c:v>
                </c:pt>
                <c:pt idx="60">
                  <c:v>1014.428</c:v>
                </c:pt>
                <c:pt idx="61">
                  <c:v>802.61300000000006</c:v>
                </c:pt>
                <c:pt idx="62">
                  <c:v>663.65300000000002</c:v>
                </c:pt>
                <c:pt idx="63">
                  <c:v>565.81399999999996</c:v>
                </c:pt>
                <c:pt idx="64">
                  <c:v>495.41</c:v>
                </c:pt>
                <c:pt idx="65">
                  <c:v>438.66899999999998</c:v>
                </c:pt>
                <c:pt idx="66">
                  <c:v>402.94099999999997</c:v>
                </c:pt>
                <c:pt idx="67">
                  <c:v>391.42200000000003</c:v>
                </c:pt>
                <c:pt idx="68">
                  <c:v>372.07</c:v>
                </c:pt>
                <c:pt idx="69">
                  <c:v>360.245</c:v>
                </c:pt>
                <c:pt idx="70">
                  <c:v>367.27699999999999</c:v>
                </c:pt>
                <c:pt idx="71">
                  <c:v>366.69900000000001</c:v>
                </c:pt>
                <c:pt idx="72">
                  <c:v>343.45600000000002</c:v>
                </c:pt>
                <c:pt idx="73">
                  <c:v>317.30599999999998</c:v>
                </c:pt>
                <c:pt idx="74">
                  <c:v>294.67599999999999</c:v>
                </c:pt>
                <c:pt idx="75">
                  <c:v>274.31200000000001</c:v>
                </c:pt>
                <c:pt idx="76">
                  <c:v>255.91900000000001</c:v>
                </c:pt>
                <c:pt idx="77">
                  <c:v>242.678</c:v>
                </c:pt>
                <c:pt idx="78">
                  <c:v>230.73699999999999</c:v>
                </c:pt>
                <c:pt idx="79">
                  <c:v>217.85599999999999</c:v>
                </c:pt>
                <c:pt idx="80">
                  <c:v>204.40899999999999</c:v>
                </c:pt>
                <c:pt idx="81">
                  <c:v>193.232</c:v>
                </c:pt>
                <c:pt idx="82">
                  <c:v>185.08</c:v>
                </c:pt>
                <c:pt idx="83">
                  <c:v>177.84299999999999</c:v>
                </c:pt>
                <c:pt idx="84">
                  <c:v>168.13399999999999</c:v>
                </c:pt>
                <c:pt idx="85">
                  <c:v>156.69499999999999</c:v>
                </c:pt>
                <c:pt idx="86">
                  <c:v>149.72499999999999</c:v>
                </c:pt>
                <c:pt idx="87">
                  <c:v>141.05799999999999</c:v>
                </c:pt>
                <c:pt idx="88">
                  <c:v>78.251000000000005</c:v>
                </c:pt>
                <c:pt idx="89">
                  <c:v>34.234999999999999</c:v>
                </c:pt>
                <c:pt idx="90">
                  <c:v>31.190999999999999</c:v>
                </c:pt>
                <c:pt idx="91">
                  <c:v>30.698</c:v>
                </c:pt>
                <c:pt idx="92">
                  <c:v>34.238</c:v>
                </c:pt>
                <c:pt idx="93">
                  <c:v>21.286999999999999</c:v>
                </c:pt>
                <c:pt idx="94">
                  <c:v>25.131</c:v>
                </c:pt>
                <c:pt idx="95">
                  <c:v>61.283999999999999</c:v>
                </c:pt>
                <c:pt idx="96">
                  <c:v>77.037999999999997</c:v>
                </c:pt>
                <c:pt idx="97">
                  <c:v>74.180999999999997</c:v>
                </c:pt>
                <c:pt idx="98">
                  <c:v>89.620999999999995</c:v>
                </c:pt>
                <c:pt idx="99">
                  <c:v>69.816000000000003</c:v>
                </c:pt>
                <c:pt idx="100">
                  <c:v>64.95</c:v>
                </c:pt>
                <c:pt idx="101">
                  <c:v>75.126000000000005</c:v>
                </c:pt>
                <c:pt idx="102">
                  <c:v>56.722999999999999</c:v>
                </c:pt>
                <c:pt idx="103">
                  <c:v>56.469000000000001</c:v>
                </c:pt>
                <c:pt idx="104">
                  <c:v>64.45</c:v>
                </c:pt>
                <c:pt idx="105">
                  <c:v>64.484999999999999</c:v>
                </c:pt>
                <c:pt idx="106">
                  <c:v>64.69</c:v>
                </c:pt>
                <c:pt idx="107">
                  <c:v>56.973999999999997</c:v>
                </c:pt>
                <c:pt idx="108">
                  <c:v>41.871000000000002</c:v>
                </c:pt>
                <c:pt idx="109">
                  <c:v>42.796999999999997</c:v>
                </c:pt>
                <c:pt idx="110">
                  <c:v>45.424999999999997</c:v>
                </c:pt>
                <c:pt idx="111">
                  <c:v>48.789000000000001</c:v>
                </c:pt>
                <c:pt idx="112">
                  <c:v>47.216000000000001</c:v>
                </c:pt>
                <c:pt idx="113">
                  <c:v>44.26</c:v>
                </c:pt>
                <c:pt idx="114">
                  <c:v>110.465</c:v>
                </c:pt>
                <c:pt idx="115">
                  <c:v>180.44499999999999</c:v>
                </c:pt>
                <c:pt idx="116">
                  <c:v>219.077</c:v>
                </c:pt>
                <c:pt idx="117">
                  <c:v>370.18799999999999</c:v>
                </c:pt>
                <c:pt idx="118">
                  <c:v>582.16600000000005</c:v>
                </c:pt>
                <c:pt idx="119">
                  <c:v>786.94299999999998</c:v>
                </c:pt>
                <c:pt idx="120">
                  <c:v>726.94899999999996</c:v>
                </c:pt>
                <c:pt idx="121">
                  <c:v>688.33799999999997</c:v>
                </c:pt>
                <c:pt idx="122">
                  <c:v>613.63199999999995</c:v>
                </c:pt>
                <c:pt idx="123">
                  <c:v>461.21100000000001</c:v>
                </c:pt>
                <c:pt idx="124">
                  <c:v>458.91199999999998</c:v>
                </c:pt>
                <c:pt idx="125">
                  <c:v>450.71300000000002</c:v>
                </c:pt>
                <c:pt idx="126">
                  <c:v>371.58600000000001</c:v>
                </c:pt>
                <c:pt idx="127">
                  <c:v>273.65600000000001</c:v>
                </c:pt>
                <c:pt idx="128">
                  <c:v>286.33300000000003</c:v>
                </c:pt>
                <c:pt idx="129">
                  <c:v>6819.0649999999996</c:v>
                </c:pt>
                <c:pt idx="130">
                  <c:v>2794.1089999999999</c:v>
                </c:pt>
                <c:pt idx="131">
                  <c:v>918.73299999999995</c:v>
                </c:pt>
                <c:pt idx="132">
                  <c:v>563.28099999999995</c:v>
                </c:pt>
                <c:pt idx="133">
                  <c:v>474.16899999999998</c:v>
                </c:pt>
                <c:pt idx="134">
                  <c:v>412.827</c:v>
                </c:pt>
                <c:pt idx="135">
                  <c:v>325.15800000000002</c:v>
                </c:pt>
                <c:pt idx="136">
                  <c:v>258.834</c:v>
                </c:pt>
                <c:pt idx="137">
                  <c:v>223.14599999999999</c:v>
                </c:pt>
                <c:pt idx="138">
                  <c:v>211.46899999999999</c:v>
                </c:pt>
                <c:pt idx="139">
                  <c:v>178.108</c:v>
                </c:pt>
                <c:pt idx="140">
                  <c:v>214.458</c:v>
                </c:pt>
                <c:pt idx="141">
                  <c:v>262.00599999999997</c:v>
                </c:pt>
                <c:pt idx="142">
                  <c:v>193.88499999999999</c:v>
                </c:pt>
                <c:pt idx="143">
                  <c:v>154.67400000000001</c:v>
                </c:pt>
                <c:pt idx="144">
                  <c:v>120.953</c:v>
                </c:pt>
                <c:pt idx="145">
                  <c:v>103.28700000000001</c:v>
                </c:pt>
                <c:pt idx="146">
                  <c:v>44.926000000000002</c:v>
                </c:pt>
                <c:pt idx="147">
                  <c:v>17.782</c:v>
                </c:pt>
                <c:pt idx="148">
                  <c:v>11.954000000000001</c:v>
                </c:pt>
                <c:pt idx="149">
                  <c:v>9.7059999999999995</c:v>
                </c:pt>
                <c:pt idx="150">
                  <c:v>9.3770000000000007</c:v>
                </c:pt>
                <c:pt idx="151">
                  <c:v>8.3719999999999999</c:v>
                </c:pt>
                <c:pt idx="152">
                  <c:v>14.084</c:v>
                </c:pt>
                <c:pt idx="153">
                  <c:v>33.347999999999999</c:v>
                </c:pt>
                <c:pt idx="154">
                  <c:v>44.755000000000003</c:v>
                </c:pt>
                <c:pt idx="155">
                  <c:v>91.397999999999996</c:v>
                </c:pt>
                <c:pt idx="156">
                  <c:v>105.366</c:v>
                </c:pt>
                <c:pt idx="157">
                  <c:v>99.69</c:v>
                </c:pt>
                <c:pt idx="158">
                  <c:v>124.999</c:v>
                </c:pt>
                <c:pt idx="159">
                  <c:v>107.455</c:v>
                </c:pt>
                <c:pt idx="160">
                  <c:v>289.55099999999999</c:v>
                </c:pt>
                <c:pt idx="161">
                  <c:v>372.815</c:v>
                </c:pt>
                <c:pt idx="162">
                  <c:v>347.69600000000003</c:v>
                </c:pt>
                <c:pt idx="163">
                  <c:v>358.79</c:v>
                </c:pt>
                <c:pt idx="164">
                  <c:v>366.89400000000001</c:v>
                </c:pt>
                <c:pt idx="165">
                  <c:v>403.221</c:v>
                </c:pt>
                <c:pt idx="166">
                  <c:v>404.54</c:v>
                </c:pt>
                <c:pt idx="167">
                  <c:v>535.43799999999999</c:v>
                </c:pt>
                <c:pt idx="168">
                  <c:v>740.02300000000002</c:v>
                </c:pt>
                <c:pt idx="169">
                  <c:v>863.39099999999996</c:v>
                </c:pt>
                <c:pt idx="170">
                  <c:v>1307.8869999999999</c:v>
                </c:pt>
                <c:pt idx="171">
                  <c:v>1568.9690000000001</c:v>
                </c:pt>
                <c:pt idx="172">
                  <c:v>1855.654</c:v>
                </c:pt>
                <c:pt idx="173">
                  <c:v>1799.5650000000001</c:v>
                </c:pt>
                <c:pt idx="174">
                  <c:v>1808.5150000000001</c:v>
                </c:pt>
                <c:pt idx="175">
                  <c:v>1817.0989999999999</c:v>
                </c:pt>
                <c:pt idx="176">
                  <c:v>1821.5119999999999</c:v>
                </c:pt>
                <c:pt idx="177">
                  <c:v>1785.4449999999999</c:v>
                </c:pt>
                <c:pt idx="178">
                  <c:v>1669.155</c:v>
                </c:pt>
                <c:pt idx="179">
                  <c:v>1638.0540000000001</c:v>
                </c:pt>
                <c:pt idx="180">
                  <c:v>1893.4549999999999</c:v>
                </c:pt>
                <c:pt idx="181">
                  <c:v>1795.4929999999999</c:v>
                </c:pt>
                <c:pt idx="182">
                  <c:v>1750.7429999999999</c:v>
                </c:pt>
                <c:pt idx="183">
                  <c:v>1408.63</c:v>
                </c:pt>
                <c:pt idx="184">
                  <c:v>1244.2650000000001</c:v>
                </c:pt>
                <c:pt idx="185">
                  <c:v>994.97799999999995</c:v>
                </c:pt>
                <c:pt idx="186">
                  <c:v>983.48900000000003</c:v>
                </c:pt>
                <c:pt idx="187">
                  <c:v>1014.326</c:v>
                </c:pt>
                <c:pt idx="188">
                  <c:v>828.90499999999997</c:v>
                </c:pt>
                <c:pt idx="189">
                  <c:v>595.60400000000004</c:v>
                </c:pt>
                <c:pt idx="190">
                  <c:v>3079.9580000000001</c:v>
                </c:pt>
                <c:pt idx="191">
                  <c:v>1695.979</c:v>
                </c:pt>
                <c:pt idx="192">
                  <c:v>752.84199999999998</c:v>
                </c:pt>
                <c:pt idx="193">
                  <c:v>455.47199999999998</c:v>
                </c:pt>
                <c:pt idx="194">
                  <c:v>337.13</c:v>
                </c:pt>
                <c:pt idx="195">
                  <c:v>269.447</c:v>
                </c:pt>
                <c:pt idx="196">
                  <c:v>574.64599999999996</c:v>
                </c:pt>
                <c:pt idx="197">
                  <c:v>757.048</c:v>
                </c:pt>
                <c:pt idx="198">
                  <c:v>763.00199999999995</c:v>
                </c:pt>
                <c:pt idx="199">
                  <c:v>738.279</c:v>
                </c:pt>
                <c:pt idx="200">
                  <c:v>1073.617</c:v>
                </c:pt>
                <c:pt idx="201">
                  <c:v>1802.5050000000001</c:v>
                </c:pt>
                <c:pt idx="202">
                  <c:v>1821.654</c:v>
                </c:pt>
                <c:pt idx="203">
                  <c:v>1936.6410000000001</c:v>
                </c:pt>
                <c:pt idx="204">
                  <c:v>1962.403</c:v>
                </c:pt>
                <c:pt idx="205">
                  <c:v>2011.9480000000001</c:v>
                </c:pt>
                <c:pt idx="206">
                  <c:v>2063.3069999999998</c:v>
                </c:pt>
                <c:pt idx="207">
                  <c:v>1959.954</c:v>
                </c:pt>
                <c:pt idx="208">
                  <c:v>1610.356</c:v>
                </c:pt>
                <c:pt idx="209">
                  <c:v>1404.492</c:v>
                </c:pt>
                <c:pt idx="210">
                  <c:v>1306.7929999999999</c:v>
                </c:pt>
                <c:pt idx="211">
                  <c:v>1308.192</c:v>
                </c:pt>
                <c:pt idx="212">
                  <c:v>1318.4649999999999</c:v>
                </c:pt>
                <c:pt idx="213">
                  <c:v>1303.5029999999999</c:v>
                </c:pt>
                <c:pt idx="214">
                  <c:v>2251.0279999999998</c:v>
                </c:pt>
                <c:pt idx="215">
                  <c:v>1256.3679999999999</c:v>
                </c:pt>
                <c:pt idx="216">
                  <c:v>615.53099999999995</c:v>
                </c:pt>
                <c:pt idx="217">
                  <c:v>443.52499999999998</c:v>
                </c:pt>
                <c:pt idx="218">
                  <c:v>375.18599999999998</c:v>
                </c:pt>
                <c:pt idx="219">
                  <c:v>566.38199999999995</c:v>
                </c:pt>
                <c:pt idx="220">
                  <c:v>440.08499999999998</c:v>
                </c:pt>
                <c:pt idx="221">
                  <c:v>366.61500000000001</c:v>
                </c:pt>
                <c:pt idx="222">
                  <c:v>474.63799999999998</c:v>
                </c:pt>
                <c:pt idx="223">
                  <c:v>447.16899999999998</c:v>
                </c:pt>
                <c:pt idx="224">
                  <c:v>330.23500000000001</c:v>
                </c:pt>
                <c:pt idx="225">
                  <c:v>225.82599999999999</c:v>
                </c:pt>
                <c:pt idx="226">
                  <c:v>166.16900000000001</c:v>
                </c:pt>
                <c:pt idx="227">
                  <c:v>84.879000000000005</c:v>
                </c:pt>
                <c:pt idx="228">
                  <c:v>64.046999999999997</c:v>
                </c:pt>
                <c:pt idx="229">
                  <c:v>48.598999999999997</c:v>
                </c:pt>
                <c:pt idx="230">
                  <c:v>44.969000000000001</c:v>
                </c:pt>
                <c:pt idx="231">
                  <c:v>41.039000000000001</c:v>
                </c:pt>
                <c:pt idx="232">
                  <c:v>38.932000000000002</c:v>
                </c:pt>
                <c:pt idx="233">
                  <c:v>37.255000000000003</c:v>
                </c:pt>
                <c:pt idx="234">
                  <c:v>43.829000000000001</c:v>
                </c:pt>
                <c:pt idx="235">
                  <c:v>69.665999999999997</c:v>
                </c:pt>
                <c:pt idx="236">
                  <c:v>52.384</c:v>
                </c:pt>
                <c:pt idx="237">
                  <c:v>53.417999999999999</c:v>
                </c:pt>
                <c:pt idx="238">
                  <c:v>45.627000000000002</c:v>
                </c:pt>
                <c:pt idx="239">
                  <c:v>38.072000000000003</c:v>
                </c:pt>
                <c:pt idx="240">
                  <c:v>28.686</c:v>
                </c:pt>
                <c:pt idx="241">
                  <c:v>18.905000000000001</c:v>
                </c:pt>
                <c:pt idx="242">
                  <c:v>14.138</c:v>
                </c:pt>
                <c:pt idx="243">
                  <c:v>11.858000000000001</c:v>
                </c:pt>
                <c:pt idx="244">
                  <c:v>11.662000000000001</c:v>
                </c:pt>
                <c:pt idx="245">
                  <c:v>22.803999999999998</c:v>
                </c:pt>
                <c:pt idx="246">
                  <c:v>23.244</c:v>
                </c:pt>
                <c:pt idx="247">
                  <c:v>29.535</c:v>
                </c:pt>
                <c:pt idx="248">
                  <c:v>63.978000000000002</c:v>
                </c:pt>
                <c:pt idx="249">
                  <c:v>92.260999999999996</c:v>
                </c:pt>
                <c:pt idx="250">
                  <c:v>90.808999999999997</c:v>
                </c:pt>
                <c:pt idx="251">
                  <c:v>94.796000000000006</c:v>
                </c:pt>
                <c:pt idx="252">
                  <c:v>94.414000000000001</c:v>
                </c:pt>
                <c:pt idx="253">
                  <c:v>93.397999999999996</c:v>
                </c:pt>
                <c:pt idx="254">
                  <c:v>86.766000000000005</c:v>
                </c:pt>
                <c:pt idx="255">
                  <c:v>41.499000000000002</c:v>
                </c:pt>
                <c:pt idx="256">
                  <c:v>22.83</c:v>
                </c:pt>
                <c:pt idx="257">
                  <c:v>18.082000000000001</c:v>
                </c:pt>
                <c:pt idx="258">
                  <c:v>14.612</c:v>
                </c:pt>
                <c:pt idx="259">
                  <c:v>24.215</c:v>
                </c:pt>
                <c:pt idx="260">
                  <c:v>31.334</c:v>
                </c:pt>
                <c:pt idx="261">
                  <c:v>59.408000000000001</c:v>
                </c:pt>
                <c:pt idx="262">
                  <c:v>70.561999999999998</c:v>
                </c:pt>
                <c:pt idx="263">
                  <c:v>72.349999999999994</c:v>
                </c:pt>
                <c:pt idx="264">
                  <c:v>51.923000000000002</c:v>
                </c:pt>
                <c:pt idx="265">
                  <c:v>49.082000000000001</c:v>
                </c:pt>
                <c:pt idx="266">
                  <c:v>41.55</c:v>
                </c:pt>
                <c:pt idx="267">
                  <c:v>44.235999999999997</c:v>
                </c:pt>
                <c:pt idx="268">
                  <c:v>32.811999999999998</c:v>
                </c:pt>
                <c:pt idx="269">
                  <c:v>28.619</c:v>
                </c:pt>
                <c:pt idx="270">
                  <c:v>18.631</c:v>
                </c:pt>
                <c:pt idx="271">
                  <c:v>19.2</c:v>
                </c:pt>
                <c:pt idx="272">
                  <c:v>16.337</c:v>
                </c:pt>
                <c:pt idx="273">
                  <c:v>16.777999999999999</c:v>
                </c:pt>
                <c:pt idx="274">
                  <c:v>21.890999999999998</c:v>
                </c:pt>
                <c:pt idx="275">
                  <c:v>19.713000000000001</c:v>
                </c:pt>
                <c:pt idx="276">
                  <c:v>13.455</c:v>
                </c:pt>
                <c:pt idx="277">
                  <c:v>11.877000000000001</c:v>
                </c:pt>
                <c:pt idx="278">
                  <c:v>29.731000000000002</c:v>
                </c:pt>
                <c:pt idx="279">
                  <c:v>29.276</c:v>
                </c:pt>
                <c:pt idx="280">
                  <c:v>21.966000000000001</c:v>
                </c:pt>
                <c:pt idx="281">
                  <c:v>17.701000000000001</c:v>
                </c:pt>
                <c:pt idx="282">
                  <c:v>26.023</c:v>
                </c:pt>
                <c:pt idx="283">
                  <c:v>45.366999999999997</c:v>
                </c:pt>
                <c:pt idx="284">
                  <c:v>41.652999999999999</c:v>
                </c:pt>
                <c:pt idx="285">
                  <c:v>36.438000000000002</c:v>
                </c:pt>
                <c:pt idx="286">
                  <c:v>33.887999999999998</c:v>
                </c:pt>
                <c:pt idx="287">
                  <c:v>52.863999999999997</c:v>
                </c:pt>
                <c:pt idx="288">
                  <c:v>206.29499999999999</c:v>
                </c:pt>
                <c:pt idx="289">
                  <c:v>210.41200000000001</c:v>
                </c:pt>
                <c:pt idx="290">
                  <c:v>199.14400000000001</c:v>
                </c:pt>
                <c:pt idx="291">
                  <c:v>192.499</c:v>
                </c:pt>
                <c:pt idx="292">
                  <c:v>191.55199999999999</c:v>
                </c:pt>
                <c:pt idx="293">
                  <c:v>187.929</c:v>
                </c:pt>
                <c:pt idx="294">
                  <c:v>186.81200000000001</c:v>
                </c:pt>
                <c:pt idx="295">
                  <c:v>1.038</c:v>
                </c:pt>
                <c:pt idx="296">
                  <c:v>1.0129999999999999</c:v>
                </c:pt>
                <c:pt idx="297">
                  <c:v>0.99199999999999999</c:v>
                </c:pt>
                <c:pt idx="298">
                  <c:v>0.97699999999999998</c:v>
                </c:pt>
                <c:pt idx="299">
                  <c:v>0.96299999999999997</c:v>
                </c:pt>
                <c:pt idx="300">
                  <c:v>0.97099999999999997</c:v>
                </c:pt>
                <c:pt idx="301">
                  <c:v>0.96799999999999997</c:v>
                </c:pt>
                <c:pt idx="302">
                  <c:v>0.96899999999999997</c:v>
                </c:pt>
                <c:pt idx="303">
                  <c:v>0.96799999999999997</c:v>
                </c:pt>
                <c:pt idx="304">
                  <c:v>0.96499999999999997</c:v>
                </c:pt>
                <c:pt idx="305">
                  <c:v>0.96499999999999997</c:v>
                </c:pt>
                <c:pt idx="306">
                  <c:v>0.96899999999999997</c:v>
                </c:pt>
                <c:pt idx="307">
                  <c:v>1.008</c:v>
                </c:pt>
                <c:pt idx="308">
                  <c:v>1.046</c:v>
                </c:pt>
                <c:pt idx="309">
                  <c:v>1.0489999999999999</c:v>
                </c:pt>
                <c:pt idx="310">
                  <c:v>1.054</c:v>
                </c:pt>
                <c:pt idx="311">
                  <c:v>1.06</c:v>
                </c:pt>
                <c:pt idx="312">
                  <c:v>1.1020000000000001</c:v>
                </c:pt>
                <c:pt idx="313">
                  <c:v>1.111</c:v>
                </c:pt>
                <c:pt idx="314">
                  <c:v>1.113</c:v>
                </c:pt>
                <c:pt idx="315">
                  <c:v>1.1499999999999999</c:v>
                </c:pt>
                <c:pt idx="316">
                  <c:v>1.1990000000000001</c:v>
                </c:pt>
                <c:pt idx="317">
                  <c:v>1.2050000000000001</c:v>
                </c:pt>
                <c:pt idx="318">
                  <c:v>1.2130000000000001</c:v>
                </c:pt>
                <c:pt idx="319">
                  <c:v>1.242</c:v>
                </c:pt>
                <c:pt idx="320">
                  <c:v>1.242</c:v>
                </c:pt>
                <c:pt idx="321">
                  <c:v>1.2430000000000001</c:v>
                </c:pt>
                <c:pt idx="322">
                  <c:v>1.246</c:v>
                </c:pt>
                <c:pt idx="323">
                  <c:v>1.212</c:v>
                </c:pt>
                <c:pt idx="324">
                  <c:v>1.131</c:v>
                </c:pt>
                <c:pt idx="325">
                  <c:v>1.0660000000000001</c:v>
                </c:pt>
                <c:pt idx="326">
                  <c:v>1.026</c:v>
                </c:pt>
                <c:pt idx="327">
                  <c:v>0.995</c:v>
                </c:pt>
                <c:pt idx="328">
                  <c:v>0.96799999999999997</c:v>
                </c:pt>
                <c:pt idx="329">
                  <c:v>0.91800000000000004</c:v>
                </c:pt>
                <c:pt idx="330">
                  <c:v>0.92400000000000004</c:v>
                </c:pt>
                <c:pt idx="331">
                  <c:v>0.92</c:v>
                </c:pt>
                <c:pt idx="332">
                  <c:v>0.93300000000000005</c:v>
                </c:pt>
                <c:pt idx="333">
                  <c:v>0.92900000000000005</c:v>
                </c:pt>
                <c:pt idx="334">
                  <c:v>0.92200000000000004</c:v>
                </c:pt>
                <c:pt idx="335">
                  <c:v>0.91600000000000004</c:v>
                </c:pt>
                <c:pt idx="336">
                  <c:v>0.90800000000000003</c:v>
                </c:pt>
                <c:pt idx="337">
                  <c:v>0.90800000000000003</c:v>
                </c:pt>
                <c:pt idx="338">
                  <c:v>0.91400000000000003</c:v>
                </c:pt>
                <c:pt idx="339">
                  <c:v>0.90700000000000003</c:v>
                </c:pt>
                <c:pt idx="340">
                  <c:v>0.93100000000000005</c:v>
                </c:pt>
                <c:pt idx="341">
                  <c:v>0.93400000000000005</c:v>
                </c:pt>
                <c:pt idx="342">
                  <c:v>0.93</c:v>
                </c:pt>
                <c:pt idx="343">
                  <c:v>0.92900000000000005</c:v>
                </c:pt>
                <c:pt idx="344">
                  <c:v>0.92600000000000005</c:v>
                </c:pt>
                <c:pt idx="345">
                  <c:v>0.93899999999999995</c:v>
                </c:pt>
                <c:pt idx="346">
                  <c:v>0.94199999999999995</c:v>
                </c:pt>
                <c:pt idx="347">
                  <c:v>0.93600000000000005</c:v>
                </c:pt>
                <c:pt idx="348">
                  <c:v>0.93300000000000005</c:v>
                </c:pt>
                <c:pt idx="349">
                  <c:v>0.93600000000000005</c:v>
                </c:pt>
                <c:pt idx="350">
                  <c:v>0.93300000000000005</c:v>
                </c:pt>
                <c:pt idx="351">
                  <c:v>0.92500000000000004</c:v>
                </c:pt>
                <c:pt idx="352">
                  <c:v>0.91600000000000004</c:v>
                </c:pt>
                <c:pt idx="353">
                  <c:v>0.91</c:v>
                </c:pt>
                <c:pt idx="354">
                  <c:v>0.90600000000000003</c:v>
                </c:pt>
                <c:pt idx="355">
                  <c:v>0.91500000000000004</c:v>
                </c:pt>
                <c:pt idx="356">
                  <c:v>0.92700000000000005</c:v>
                </c:pt>
                <c:pt idx="357">
                  <c:v>0.92500000000000004</c:v>
                </c:pt>
                <c:pt idx="358">
                  <c:v>1.8049999999999999</c:v>
                </c:pt>
                <c:pt idx="359">
                  <c:v>1.629</c:v>
                </c:pt>
                <c:pt idx="360">
                  <c:v>1.585</c:v>
                </c:pt>
                <c:pt idx="361">
                  <c:v>1.819</c:v>
                </c:pt>
                <c:pt idx="362">
                  <c:v>2.081</c:v>
                </c:pt>
                <c:pt idx="363">
                  <c:v>1.714</c:v>
                </c:pt>
                <c:pt idx="364">
                  <c:v>1.5209999999999999</c:v>
                </c:pt>
                <c:pt idx="365">
                  <c:v>1.4059999999999999</c:v>
                </c:pt>
              </c:numCache>
            </c:numRef>
          </c:val>
          <c:smooth val="0"/>
        </c:ser>
        <c:ser>
          <c:idx val="2"/>
          <c:order val="2"/>
          <c:tx>
            <c:strRef>
              <c:f>Gwydir!$I$2</c:f>
              <c:strCache>
                <c:ptCount val="1"/>
                <c:pt idx="0">
                  <c:v>Environmental water</c:v>
                </c:pt>
              </c:strCache>
            </c:strRef>
          </c:tx>
          <c:spPr>
            <a:ln w="57114">
              <a:solidFill>
                <a:srgbClr val="00B050"/>
              </a:solidFill>
            </a:ln>
          </c:spPr>
          <c:marker>
            <c:symbol val="none"/>
          </c:marker>
          <c:cat>
            <c:numRef>
              <c:f>Gwydir!$A$5:$A$370</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Gwydir!$I$5:$I$370</c:f>
              <c:numCache>
                <c:formatCode>General</c:formatCode>
                <c:ptCount val="366"/>
                <c:pt idx="132">
                  <c:v>12500</c:v>
                </c:pt>
                <c:pt idx="133">
                  <c:v>12500</c:v>
                </c:pt>
                <c:pt idx="134">
                  <c:v>12500</c:v>
                </c:pt>
                <c:pt idx="135">
                  <c:v>12500</c:v>
                </c:pt>
                <c:pt idx="136">
                  <c:v>12500</c:v>
                </c:pt>
                <c:pt idx="137">
                  <c:v>12500</c:v>
                </c:pt>
                <c:pt idx="177">
                  <c:v>12500</c:v>
                </c:pt>
                <c:pt idx="178">
                  <c:v>12500</c:v>
                </c:pt>
                <c:pt idx="179">
                  <c:v>12500</c:v>
                </c:pt>
                <c:pt idx="180">
                  <c:v>12500</c:v>
                </c:pt>
                <c:pt idx="181">
                  <c:v>12500</c:v>
                </c:pt>
                <c:pt idx="182">
                  <c:v>12500</c:v>
                </c:pt>
                <c:pt idx="183">
                  <c:v>12500</c:v>
                </c:pt>
                <c:pt idx="184">
                  <c:v>12500</c:v>
                </c:pt>
                <c:pt idx="185">
                  <c:v>12500</c:v>
                </c:pt>
                <c:pt idx="186">
                  <c:v>12500</c:v>
                </c:pt>
                <c:pt idx="187">
                  <c:v>12500</c:v>
                </c:pt>
                <c:pt idx="188">
                  <c:v>12500</c:v>
                </c:pt>
                <c:pt idx="189">
                  <c:v>12500</c:v>
                </c:pt>
                <c:pt idx="190">
                  <c:v>12500</c:v>
                </c:pt>
                <c:pt idx="191">
                  <c:v>12500</c:v>
                </c:pt>
                <c:pt idx="192">
                  <c:v>12500</c:v>
                </c:pt>
                <c:pt idx="193">
                  <c:v>12500</c:v>
                </c:pt>
                <c:pt idx="196">
                  <c:v>12500</c:v>
                </c:pt>
                <c:pt idx="197">
                  <c:v>12500</c:v>
                </c:pt>
                <c:pt idx="198">
                  <c:v>12500</c:v>
                </c:pt>
                <c:pt idx="199">
                  <c:v>12500</c:v>
                </c:pt>
                <c:pt idx="200">
                  <c:v>12500</c:v>
                </c:pt>
                <c:pt idx="201">
                  <c:v>12500</c:v>
                </c:pt>
                <c:pt idx="202">
                  <c:v>12500</c:v>
                </c:pt>
                <c:pt idx="203">
                  <c:v>12500</c:v>
                </c:pt>
                <c:pt idx="207">
                  <c:v>12500</c:v>
                </c:pt>
                <c:pt idx="208">
                  <c:v>12500</c:v>
                </c:pt>
                <c:pt idx="209">
                  <c:v>12500</c:v>
                </c:pt>
                <c:pt idx="210">
                  <c:v>12500</c:v>
                </c:pt>
                <c:pt idx="211">
                  <c:v>12500</c:v>
                </c:pt>
                <c:pt idx="212">
                  <c:v>12500</c:v>
                </c:pt>
                <c:pt idx="213">
                  <c:v>12500</c:v>
                </c:pt>
                <c:pt idx="214">
                  <c:v>12500</c:v>
                </c:pt>
                <c:pt idx="215">
                  <c:v>12500</c:v>
                </c:pt>
                <c:pt idx="216">
                  <c:v>12500</c:v>
                </c:pt>
                <c:pt idx="217">
                  <c:v>12500</c:v>
                </c:pt>
                <c:pt idx="218">
                  <c:v>12500</c:v>
                </c:pt>
                <c:pt idx="219">
                  <c:v>12500</c:v>
                </c:pt>
                <c:pt idx="231">
                  <c:v>12500</c:v>
                </c:pt>
                <c:pt idx="232">
                  <c:v>12500</c:v>
                </c:pt>
                <c:pt idx="233">
                  <c:v>12500</c:v>
                </c:pt>
                <c:pt idx="234">
                  <c:v>12500</c:v>
                </c:pt>
                <c:pt idx="235">
                  <c:v>12500</c:v>
                </c:pt>
                <c:pt idx="236">
                  <c:v>12500</c:v>
                </c:pt>
                <c:pt idx="237">
                  <c:v>12500</c:v>
                </c:pt>
                <c:pt idx="238">
                  <c:v>12500</c:v>
                </c:pt>
                <c:pt idx="239">
                  <c:v>12500</c:v>
                </c:pt>
                <c:pt idx="240">
                  <c:v>12500</c:v>
                </c:pt>
                <c:pt idx="241">
                  <c:v>12500</c:v>
                </c:pt>
                <c:pt idx="242">
                  <c:v>12500</c:v>
                </c:pt>
                <c:pt idx="243">
                  <c:v>12500</c:v>
                </c:pt>
                <c:pt idx="244">
                  <c:v>12500</c:v>
                </c:pt>
                <c:pt idx="245">
                  <c:v>12500</c:v>
                </c:pt>
                <c:pt idx="246">
                  <c:v>12500</c:v>
                </c:pt>
                <c:pt idx="247">
                  <c:v>12500</c:v>
                </c:pt>
                <c:pt idx="248">
                  <c:v>12500</c:v>
                </c:pt>
                <c:pt idx="249">
                  <c:v>12500</c:v>
                </c:pt>
                <c:pt idx="250">
                  <c:v>12500</c:v>
                </c:pt>
                <c:pt idx="251">
                  <c:v>12500</c:v>
                </c:pt>
                <c:pt idx="252">
                  <c:v>12500</c:v>
                </c:pt>
                <c:pt idx="253">
                  <c:v>12500</c:v>
                </c:pt>
                <c:pt idx="264">
                  <c:v>12500</c:v>
                </c:pt>
                <c:pt idx="265">
                  <c:v>12500</c:v>
                </c:pt>
                <c:pt idx="266">
                  <c:v>12500</c:v>
                </c:pt>
                <c:pt idx="267">
                  <c:v>12500</c:v>
                </c:pt>
                <c:pt idx="268">
                  <c:v>12500</c:v>
                </c:pt>
                <c:pt idx="269">
                  <c:v>12500</c:v>
                </c:pt>
                <c:pt idx="270">
                  <c:v>12500</c:v>
                </c:pt>
                <c:pt idx="271">
                  <c:v>12500</c:v>
                </c:pt>
                <c:pt idx="272">
                  <c:v>12500</c:v>
                </c:pt>
                <c:pt idx="273">
                  <c:v>12500</c:v>
                </c:pt>
                <c:pt idx="278">
                  <c:v>12500</c:v>
                </c:pt>
                <c:pt idx="279">
                  <c:v>12500</c:v>
                </c:pt>
                <c:pt idx="280">
                  <c:v>12500</c:v>
                </c:pt>
                <c:pt idx="281">
                  <c:v>12500</c:v>
                </c:pt>
                <c:pt idx="282">
                  <c:v>12500</c:v>
                </c:pt>
                <c:pt idx="283">
                  <c:v>12500</c:v>
                </c:pt>
                <c:pt idx="284">
                  <c:v>12500</c:v>
                </c:pt>
                <c:pt idx="285">
                  <c:v>12500</c:v>
                </c:pt>
                <c:pt idx="286">
                  <c:v>12500</c:v>
                </c:pt>
                <c:pt idx="287">
                  <c:v>12500</c:v>
                </c:pt>
                <c:pt idx="288">
                  <c:v>12500</c:v>
                </c:pt>
                <c:pt idx="289">
                  <c:v>12500</c:v>
                </c:pt>
                <c:pt idx="290">
                  <c:v>12500</c:v>
                </c:pt>
                <c:pt idx="291">
                  <c:v>12500</c:v>
                </c:pt>
                <c:pt idx="292">
                  <c:v>12500</c:v>
                </c:pt>
                <c:pt idx="293">
                  <c:v>12500</c:v>
                </c:pt>
                <c:pt idx="294">
                  <c:v>12500</c:v>
                </c:pt>
                <c:pt idx="295">
                  <c:v>12500</c:v>
                </c:pt>
              </c:numCache>
            </c:numRef>
          </c:val>
          <c:smooth val="0"/>
        </c:ser>
        <c:ser>
          <c:idx val="3"/>
          <c:order val="3"/>
          <c:tx>
            <c:strRef>
              <c:f>Gwydir!$J$2</c:f>
              <c:strCache>
                <c:ptCount val="1"/>
                <c:pt idx="0">
                  <c:v>Longitudinal connectivity</c:v>
                </c:pt>
              </c:strCache>
            </c:strRef>
          </c:tx>
          <c:spPr>
            <a:ln w="57114">
              <a:solidFill>
                <a:srgbClr val="660066"/>
              </a:solidFill>
            </a:ln>
          </c:spPr>
          <c:marker>
            <c:symbol val="none"/>
          </c:marker>
          <c:cat>
            <c:numRef>
              <c:f>Gwydir!$A$5:$A$370</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Gwydir!$J$5:$J$370</c:f>
              <c:numCache>
                <c:formatCode>General</c:formatCode>
                <c:ptCount val="366"/>
                <c:pt idx="107">
                  <c:v>13000</c:v>
                </c:pt>
                <c:pt idx="108">
                  <c:v>13000</c:v>
                </c:pt>
                <c:pt idx="109">
                  <c:v>13000</c:v>
                </c:pt>
                <c:pt idx="110">
                  <c:v>13000</c:v>
                </c:pt>
                <c:pt idx="111">
                  <c:v>13000</c:v>
                </c:pt>
                <c:pt idx="112">
                  <c:v>13000</c:v>
                </c:pt>
                <c:pt idx="113">
                  <c:v>13000</c:v>
                </c:pt>
                <c:pt idx="114">
                  <c:v>13000</c:v>
                </c:pt>
                <c:pt idx="115">
                  <c:v>13000</c:v>
                </c:pt>
                <c:pt idx="116">
                  <c:v>13000</c:v>
                </c:pt>
                <c:pt idx="117">
                  <c:v>13000</c:v>
                </c:pt>
                <c:pt idx="118">
                  <c:v>13000</c:v>
                </c:pt>
                <c:pt idx="119">
                  <c:v>13000</c:v>
                </c:pt>
                <c:pt idx="120">
                  <c:v>13000</c:v>
                </c:pt>
                <c:pt idx="121">
                  <c:v>13000</c:v>
                </c:pt>
                <c:pt idx="142">
                  <c:v>13000</c:v>
                </c:pt>
                <c:pt idx="143">
                  <c:v>13000</c:v>
                </c:pt>
                <c:pt idx="144">
                  <c:v>13000</c:v>
                </c:pt>
                <c:pt idx="145">
                  <c:v>13000</c:v>
                </c:pt>
                <c:pt idx="146">
                  <c:v>13000</c:v>
                </c:pt>
                <c:pt idx="147">
                  <c:v>13000</c:v>
                </c:pt>
                <c:pt idx="148">
                  <c:v>13000</c:v>
                </c:pt>
                <c:pt idx="149">
                  <c:v>13000</c:v>
                </c:pt>
                <c:pt idx="150">
                  <c:v>13000</c:v>
                </c:pt>
                <c:pt idx="151">
                  <c:v>13000</c:v>
                </c:pt>
                <c:pt idx="152">
                  <c:v>13000</c:v>
                </c:pt>
                <c:pt idx="153">
                  <c:v>13000</c:v>
                </c:pt>
                <c:pt idx="154">
                  <c:v>13000</c:v>
                </c:pt>
                <c:pt idx="155">
                  <c:v>13000</c:v>
                </c:pt>
                <c:pt idx="156">
                  <c:v>13000</c:v>
                </c:pt>
                <c:pt idx="157">
                  <c:v>13000</c:v>
                </c:pt>
                <c:pt idx="158">
                  <c:v>13000</c:v>
                </c:pt>
                <c:pt idx="159">
                  <c:v>13000</c:v>
                </c:pt>
                <c:pt idx="160">
                  <c:v>13000</c:v>
                </c:pt>
                <c:pt idx="161">
                  <c:v>13000</c:v>
                </c:pt>
                <c:pt idx="162">
                  <c:v>13000</c:v>
                </c:pt>
                <c:pt idx="163">
                  <c:v>13000</c:v>
                </c:pt>
                <c:pt idx="164">
                  <c:v>13000</c:v>
                </c:pt>
                <c:pt idx="165">
                  <c:v>13000</c:v>
                </c:pt>
                <c:pt idx="166">
                  <c:v>13000</c:v>
                </c:pt>
                <c:pt idx="167">
                  <c:v>13000</c:v>
                </c:pt>
                <c:pt idx="168">
                  <c:v>13000</c:v>
                </c:pt>
                <c:pt idx="169">
                  <c:v>13000</c:v>
                </c:pt>
                <c:pt idx="170">
                  <c:v>13000</c:v>
                </c:pt>
                <c:pt idx="171">
                  <c:v>13000</c:v>
                </c:pt>
                <c:pt idx="172">
                  <c:v>13000</c:v>
                </c:pt>
                <c:pt idx="173">
                  <c:v>13000</c:v>
                </c:pt>
                <c:pt idx="174">
                  <c:v>13000</c:v>
                </c:pt>
                <c:pt idx="175">
                  <c:v>13000</c:v>
                </c:pt>
                <c:pt idx="176">
                  <c:v>13000</c:v>
                </c:pt>
                <c:pt idx="177">
                  <c:v>13000</c:v>
                </c:pt>
                <c:pt idx="178">
                  <c:v>13000</c:v>
                </c:pt>
                <c:pt idx="179">
                  <c:v>13000</c:v>
                </c:pt>
                <c:pt idx="180">
                  <c:v>13000</c:v>
                </c:pt>
                <c:pt idx="181">
                  <c:v>13000</c:v>
                </c:pt>
                <c:pt idx="182">
                  <c:v>13000</c:v>
                </c:pt>
                <c:pt idx="183">
                  <c:v>13000</c:v>
                </c:pt>
                <c:pt idx="184">
                  <c:v>13000</c:v>
                </c:pt>
                <c:pt idx="185">
                  <c:v>13000</c:v>
                </c:pt>
                <c:pt idx="186">
                  <c:v>13000</c:v>
                </c:pt>
                <c:pt idx="187">
                  <c:v>13000</c:v>
                </c:pt>
                <c:pt idx="188">
                  <c:v>13000</c:v>
                </c:pt>
                <c:pt idx="189">
                  <c:v>13000</c:v>
                </c:pt>
                <c:pt idx="190">
                  <c:v>13000</c:v>
                </c:pt>
                <c:pt idx="191">
                  <c:v>13000</c:v>
                </c:pt>
                <c:pt idx="192">
                  <c:v>13000</c:v>
                </c:pt>
                <c:pt idx="193">
                  <c:v>13000</c:v>
                </c:pt>
                <c:pt idx="194">
                  <c:v>13000</c:v>
                </c:pt>
                <c:pt idx="195">
                  <c:v>13000</c:v>
                </c:pt>
                <c:pt idx="196">
                  <c:v>13000</c:v>
                </c:pt>
                <c:pt idx="197">
                  <c:v>13000</c:v>
                </c:pt>
                <c:pt idx="198">
                  <c:v>13000</c:v>
                </c:pt>
                <c:pt idx="199">
                  <c:v>13000</c:v>
                </c:pt>
                <c:pt idx="200">
                  <c:v>13000</c:v>
                </c:pt>
                <c:pt idx="201">
                  <c:v>13000</c:v>
                </c:pt>
                <c:pt idx="202">
                  <c:v>13000</c:v>
                </c:pt>
                <c:pt idx="203">
                  <c:v>13000</c:v>
                </c:pt>
                <c:pt idx="204">
                  <c:v>13000</c:v>
                </c:pt>
                <c:pt idx="205">
                  <c:v>13000</c:v>
                </c:pt>
                <c:pt idx="206">
                  <c:v>13000</c:v>
                </c:pt>
                <c:pt idx="207">
                  <c:v>13000</c:v>
                </c:pt>
                <c:pt idx="208">
                  <c:v>13000</c:v>
                </c:pt>
                <c:pt idx="209">
                  <c:v>13000</c:v>
                </c:pt>
                <c:pt idx="210">
                  <c:v>13000</c:v>
                </c:pt>
                <c:pt idx="211">
                  <c:v>13000</c:v>
                </c:pt>
                <c:pt idx="212">
                  <c:v>13000</c:v>
                </c:pt>
                <c:pt idx="215">
                  <c:v>13000</c:v>
                </c:pt>
                <c:pt idx="216">
                  <c:v>13000</c:v>
                </c:pt>
                <c:pt idx="217">
                  <c:v>13000</c:v>
                </c:pt>
                <c:pt idx="218">
                  <c:v>13000</c:v>
                </c:pt>
                <c:pt idx="219">
                  <c:v>13000</c:v>
                </c:pt>
                <c:pt idx="220">
                  <c:v>13000</c:v>
                </c:pt>
                <c:pt idx="221">
                  <c:v>13000</c:v>
                </c:pt>
                <c:pt idx="222">
                  <c:v>13000</c:v>
                </c:pt>
                <c:pt idx="223">
                  <c:v>13000</c:v>
                </c:pt>
                <c:pt idx="224">
                  <c:v>13000</c:v>
                </c:pt>
                <c:pt idx="225">
                  <c:v>13000</c:v>
                </c:pt>
                <c:pt idx="233">
                  <c:v>13000</c:v>
                </c:pt>
                <c:pt idx="234">
                  <c:v>13000</c:v>
                </c:pt>
                <c:pt idx="235">
                  <c:v>13000</c:v>
                </c:pt>
                <c:pt idx="236">
                  <c:v>13000</c:v>
                </c:pt>
                <c:pt idx="237">
                  <c:v>13000</c:v>
                </c:pt>
                <c:pt idx="238">
                  <c:v>13000</c:v>
                </c:pt>
                <c:pt idx="239">
                  <c:v>13000</c:v>
                </c:pt>
                <c:pt idx="240">
                  <c:v>13000</c:v>
                </c:pt>
                <c:pt idx="241">
                  <c:v>13000</c:v>
                </c:pt>
                <c:pt idx="242">
                  <c:v>13000</c:v>
                </c:pt>
                <c:pt idx="243">
                  <c:v>13000</c:v>
                </c:pt>
                <c:pt idx="244">
                  <c:v>13000</c:v>
                </c:pt>
                <c:pt idx="245">
                  <c:v>13000</c:v>
                </c:pt>
                <c:pt idx="246">
                  <c:v>13000</c:v>
                </c:pt>
                <c:pt idx="247">
                  <c:v>13000</c:v>
                </c:pt>
                <c:pt idx="248">
                  <c:v>13000</c:v>
                </c:pt>
                <c:pt idx="249">
                  <c:v>13000</c:v>
                </c:pt>
                <c:pt idx="250">
                  <c:v>13000</c:v>
                </c:pt>
                <c:pt idx="251">
                  <c:v>13000</c:v>
                </c:pt>
                <c:pt idx="252">
                  <c:v>13000</c:v>
                </c:pt>
                <c:pt idx="253">
                  <c:v>13000</c:v>
                </c:pt>
                <c:pt idx="266">
                  <c:v>13000</c:v>
                </c:pt>
                <c:pt idx="267">
                  <c:v>13000</c:v>
                </c:pt>
                <c:pt idx="268">
                  <c:v>13000</c:v>
                </c:pt>
                <c:pt idx="269">
                  <c:v>13000</c:v>
                </c:pt>
                <c:pt idx="270">
                  <c:v>13000</c:v>
                </c:pt>
                <c:pt idx="271">
                  <c:v>13000</c:v>
                </c:pt>
                <c:pt idx="280">
                  <c:v>13000</c:v>
                </c:pt>
                <c:pt idx="281">
                  <c:v>13000</c:v>
                </c:pt>
                <c:pt idx="282">
                  <c:v>13000</c:v>
                </c:pt>
                <c:pt idx="283">
                  <c:v>13000</c:v>
                </c:pt>
                <c:pt idx="284">
                  <c:v>13000</c:v>
                </c:pt>
                <c:pt idx="285">
                  <c:v>13000</c:v>
                </c:pt>
                <c:pt idx="286">
                  <c:v>13000</c:v>
                </c:pt>
                <c:pt idx="287">
                  <c:v>13000</c:v>
                </c:pt>
                <c:pt idx="288">
                  <c:v>13000</c:v>
                </c:pt>
                <c:pt idx="289">
                  <c:v>13000</c:v>
                </c:pt>
                <c:pt idx="290">
                  <c:v>13000</c:v>
                </c:pt>
                <c:pt idx="291">
                  <c:v>13000</c:v>
                </c:pt>
                <c:pt idx="292">
                  <c:v>13000</c:v>
                </c:pt>
                <c:pt idx="293">
                  <c:v>13000</c:v>
                </c:pt>
                <c:pt idx="294">
                  <c:v>13000</c:v>
                </c:pt>
              </c:numCache>
            </c:numRef>
          </c:val>
          <c:smooth val="0"/>
        </c:ser>
        <c:dLbls>
          <c:showLegendKey val="0"/>
          <c:showVal val="0"/>
          <c:showCatName val="0"/>
          <c:showSerName val="0"/>
          <c:showPercent val="0"/>
          <c:showBubbleSize val="0"/>
        </c:dLbls>
        <c:smooth val="0"/>
        <c:axId val="824045760"/>
        <c:axId val="824046152"/>
      </c:lineChart>
      <c:dateAx>
        <c:axId val="824045760"/>
        <c:scaling>
          <c:orientation val="minMax"/>
        </c:scaling>
        <c:delete val="0"/>
        <c:axPos val="b"/>
        <c:numFmt formatCode="m/d/yyyy" sourceLinked="0"/>
        <c:majorTickMark val="out"/>
        <c:minorTickMark val="none"/>
        <c:tickLblPos val="nextTo"/>
        <c:crossAx val="824046152"/>
        <c:crosses val="autoZero"/>
        <c:auto val="1"/>
        <c:lblOffset val="100"/>
        <c:baseTimeUnit val="days"/>
      </c:dateAx>
      <c:valAx>
        <c:axId val="824046152"/>
        <c:scaling>
          <c:orientation val="minMax"/>
        </c:scaling>
        <c:delete val="0"/>
        <c:axPos val="l"/>
        <c:title>
          <c:tx>
            <c:rich>
              <a:bodyPr/>
              <a:lstStyle/>
              <a:p>
                <a:pPr>
                  <a:defRPr sz="899" b="0" i="0" u="none" strike="noStrike" baseline="0">
                    <a:solidFill>
                      <a:srgbClr val="000000"/>
                    </a:solidFill>
                    <a:latin typeface="Arial"/>
                    <a:ea typeface="Arial"/>
                    <a:cs typeface="Arial"/>
                  </a:defRPr>
                </a:pPr>
                <a:r>
                  <a:rPr lang="en-AU"/>
                  <a:t>Flow (ML/d)</a:t>
                </a:r>
              </a:p>
            </c:rich>
          </c:tx>
          <c:layout/>
          <c:overlay val="0"/>
        </c:title>
        <c:numFmt formatCode="#,##0" sourceLinked="0"/>
        <c:majorTickMark val="out"/>
        <c:minorTickMark val="none"/>
        <c:tickLblPos val="nextTo"/>
        <c:crossAx val="824045760"/>
        <c:crosses val="autoZero"/>
        <c:crossBetween val="between"/>
      </c:valAx>
      <c:spPr>
        <a:noFill/>
        <a:ln w="25384">
          <a:noFill/>
        </a:ln>
      </c:spPr>
    </c:plotArea>
    <c:legend>
      <c:legendPos val="r"/>
      <c:layout>
        <c:manualLayout>
          <c:xMode val="edge"/>
          <c:yMode val="edge"/>
          <c:x val="3.3990818037377434E-3"/>
          <c:y val="0.88251463219503978"/>
          <c:w val="0.99411722364135924"/>
          <c:h val="0.10743722542703549"/>
        </c:manualLayout>
      </c:layout>
      <c:overlay val="0"/>
    </c:legend>
    <c:plotVisOnly val="1"/>
    <c:dispBlanksAs val="gap"/>
    <c:showDLblsOverMax val="0"/>
  </c:chart>
  <c:spPr>
    <a:noFill/>
    <a:ln>
      <a:noFill/>
    </a:ln>
  </c:spPr>
  <c:txPr>
    <a:bodyPr/>
    <a:lstStyle/>
    <a:p>
      <a:pPr>
        <a:defRPr sz="899">
          <a:latin typeface="Arial" pitchFamily="34" charset="0"/>
          <a:cs typeface="Arial" pitchFamily="34"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AU" sz="1000"/>
              <a:t>(c)</a:t>
            </a:r>
          </a:p>
        </c:rich>
      </c:tx>
      <c:layout>
        <c:manualLayout>
          <c:xMode val="edge"/>
          <c:yMode val="edge"/>
          <c:x val="0.20979161436103438"/>
          <c:y val="7.3054228715931438E-2"/>
        </c:manualLayout>
      </c:layout>
      <c:overlay val="0"/>
    </c:title>
    <c:autoTitleDeleted val="0"/>
    <c:plotArea>
      <c:layout>
        <c:manualLayout>
          <c:layoutTarget val="inner"/>
          <c:xMode val="edge"/>
          <c:yMode val="edge"/>
          <c:x val="0.2069207517777325"/>
          <c:y val="7.1378096563442336E-2"/>
          <c:w val="0.76422512212335492"/>
          <c:h val="0.8603624392413155"/>
        </c:manualLayout>
      </c:layout>
      <c:scatterChart>
        <c:scatterStyle val="lineMarker"/>
        <c:varyColors val="0"/>
        <c:ser>
          <c:idx val="0"/>
          <c:order val="0"/>
          <c:tx>
            <c:strRef>
              <c:f>'Regres fig'!$N$2</c:f>
              <c:strCache>
                <c:ptCount val="1"/>
                <c:pt idx="0">
                  <c:v>CEW</c:v>
                </c:pt>
              </c:strCache>
            </c:strRef>
          </c:tx>
          <c:spPr>
            <a:ln w="28575">
              <a:noFill/>
            </a:ln>
          </c:spPr>
          <c:marker>
            <c:symbol val="square"/>
            <c:size val="5"/>
            <c:spPr>
              <a:solidFill>
                <a:srgbClr val="CC3300"/>
              </a:solidFill>
              <a:ln w="9525">
                <a:solidFill>
                  <a:srgbClr val="CC3300"/>
                </a:solidFill>
              </a:ln>
              <a:effectLst/>
            </c:spPr>
          </c:marker>
          <c:trendline>
            <c:spPr>
              <a:ln w="3175" cap="rnd">
                <a:solidFill>
                  <a:schemeClr val="tx1"/>
                </a:solidFill>
                <a:prstDash val="solid"/>
              </a:ln>
              <a:effectLst/>
            </c:spPr>
            <c:trendlineType val="linear"/>
            <c:dispRSqr val="0"/>
            <c:dispEq val="0"/>
          </c:trendline>
          <c:trendline>
            <c:spPr>
              <a:ln w="19050" cap="rnd">
                <a:solidFill>
                  <a:srgbClr val="CC3300"/>
                </a:solidFill>
                <a:prstDash val="sysDot"/>
              </a:ln>
              <a:effectLst/>
            </c:spPr>
            <c:trendlineType val="linear"/>
            <c:dispRSqr val="1"/>
            <c:dispEq val="0"/>
            <c:trendlineLbl>
              <c:layout>
                <c:manualLayout>
                  <c:x val="0.18765874216743061"/>
                  <c:y val="-4.9298847034031069E-2"/>
                </c:manualLayout>
              </c:layout>
              <c:numFmt formatCode="General" sourceLinked="0"/>
              <c:spPr>
                <a:noFill/>
                <a:ln>
                  <a:solidFill>
                    <a:srgbClr val="CC3300"/>
                  </a:solidFill>
                </a:ln>
                <a:effectLst/>
              </c:spPr>
            </c:trendlineLbl>
          </c:trendline>
          <c:xVal>
            <c:numRef>
              <c:f>'Regres fig'!$D$2:$D$127</c:f>
              <c:numCache>
                <c:formatCode>0</c:formatCode>
                <c:ptCount val="126"/>
                <c:pt idx="0">
                  <c:v>1785.4449999999999</c:v>
                </c:pt>
                <c:pt idx="1">
                  <c:v>1669.155</c:v>
                </c:pt>
                <c:pt idx="2">
                  <c:v>1638.0540000000001</c:v>
                </c:pt>
                <c:pt idx="3">
                  <c:v>1893.4549999999999</c:v>
                </c:pt>
                <c:pt idx="4">
                  <c:v>1795.4929999999999</c:v>
                </c:pt>
                <c:pt idx="5">
                  <c:v>1750.7429999999999</c:v>
                </c:pt>
                <c:pt idx="6">
                  <c:v>1408.63</c:v>
                </c:pt>
                <c:pt idx="7">
                  <c:v>1244.2650000000001</c:v>
                </c:pt>
                <c:pt idx="8">
                  <c:v>994.97799999999995</c:v>
                </c:pt>
                <c:pt idx="9" formatCode="General">
                  <c:v>983.48900000000003</c:v>
                </c:pt>
                <c:pt idx="10" formatCode="General">
                  <c:v>1014.326</c:v>
                </c:pt>
                <c:pt idx="11" formatCode="General">
                  <c:v>828.90499999999997</c:v>
                </c:pt>
                <c:pt idx="12" formatCode="General">
                  <c:v>595.60400000000004</c:v>
                </c:pt>
                <c:pt idx="13" formatCode="General">
                  <c:v>3079.9580000000001</c:v>
                </c:pt>
                <c:pt idx="14" formatCode="General">
                  <c:v>1695.979</c:v>
                </c:pt>
                <c:pt idx="15" formatCode="General">
                  <c:v>752.84199999999998</c:v>
                </c:pt>
                <c:pt idx="16" formatCode="General">
                  <c:v>455.47199999999998</c:v>
                </c:pt>
                <c:pt idx="17" formatCode="General">
                  <c:v>337.13</c:v>
                </c:pt>
                <c:pt idx="18" formatCode="General">
                  <c:v>1936.6410000000001</c:v>
                </c:pt>
                <c:pt idx="19" formatCode="General">
                  <c:v>1962.403</c:v>
                </c:pt>
                <c:pt idx="20" formatCode="General">
                  <c:v>2011.9480000000001</c:v>
                </c:pt>
                <c:pt idx="21" formatCode="General">
                  <c:v>1959.954</c:v>
                </c:pt>
                <c:pt idx="22" formatCode="General">
                  <c:v>1610.356</c:v>
                </c:pt>
                <c:pt idx="23" formatCode="General">
                  <c:v>1404.492</c:v>
                </c:pt>
                <c:pt idx="24" formatCode="General">
                  <c:v>1306.7929999999999</c:v>
                </c:pt>
                <c:pt idx="25" formatCode="General">
                  <c:v>1308.192</c:v>
                </c:pt>
                <c:pt idx="26" formatCode="General">
                  <c:v>1318.4649999999999</c:v>
                </c:pt>
                <c:pt idx="27" formatCode="General">
                  <c:v>1303.5029999999999</c:v>
                </c:pt>
                <c:pt idx="28" formatCode="General">
                  <c:v>2251.0279999999998</c:v>
                </c:pt>
                <c:pt idx="29" formatCode="General">
                  <c:v>1256.3679999999999</c:v>
                </c:pt>
                <c:pt idx="30" formatCode="General">
                  <c:v>615.53099999999995</c:v>
                </c:pt>
                <c:pt idx="31" formatCode="General">
                  <c:v>443.52499999999998</c:v>
                </c:pt>
                <c:pt idx="32" formatCode="General">
                  <c:v>375.18599999999998</c:v>
                </c:pt>
                <c:pt idx="33" formatCode="General">
                  <c:v>566.38199999999995</c:v>
                </c:pt>
                <c:pt idx="34" formatCode="General">
                  <c:v>206.29499999999999</c:v>
                </c:pt>
                <c:pt idx="35" formatCode="General">
                  <c:v>210.41200000000001</c:v>
                </c:pt>
                <c:pt idx="36" formatCode="General">
                  <c:v>199.14400000000001</c:v>
                </c:pt>
                <c:pt idx="37" formatCode="General">
                  <c:v>192.499</c:v>
                </c:pt>
                <c:pt idx="38" formatCode="General">
                  <c:v>191.55199999999999</c:v>
                </c:pt>
                <c:pt idx="39" formatCode="General">
                  <c:v>187.929</c:v>
                </c:pt>
                <c:pt idx="40" formatCode="General">
                  <c:v>135.45400000000001</c:v>
                </c:pt>
                <c:pt idx="41" formatCode="General">
                  <c:v>115.087</c:v>
                </c:pt>
                <c:pt idx="42" formatCode="General">
                  <c:v>102.316</c:v>
                </c:pt>
                <c:pt idx="43" formatCode="General">
                  <c:v>90.864000000000004</c:v>
                </c:pt>
                <c:pt idx="44" formatCode="General">
                  <c:v>97.421000000000006</c:v>
                </c:pt>
                <c:pt idx="45" formatCode="General">
                  <c:v>95.23</c:v>
                </c:pt>
                <c:pt idx="46" formatCode="General">
                  <c:v>95.622</c:v>
                </c:pt>
                <c:pt idx="47" formatCode="General">
                  <c:v>94.448999999999998</c:v>
                </c:pt>
                <c:pt idx="48" formatCode="General">
                  <c:v>92.248000000000005</c:v>
                </c:pt>
                <c:pt idx="49" formatCode="General">
                  <c:v>92.236000000000004</c:v>
                </c:pt>
                <c:pt idx="50" formatCode="General">
                  <c:v>95.444999999999993</c:v>
                </c:pt>
                <c:pt idx="51" formatCode="General">
                  <c:v>131.465</c:v>
                </c:pt>
                <c:pt idx="52" formatCode="General">
                  <c:v>173.25200000000001</c:v>
                </c:pt>
                <c:pt idx="53" formatCode="General">
                  <c:v>176.81200000000001</c:v>
                </c:pt>
                <c:pt idx="54" formatCode="General">
                  <c:v>182.751</c:v>
                </c:pt>
                <c:pt idx="55" formatCode="General">
                  <c:v>191.18899999999999</c:v>
                </c:pt>
                <c:pt idx="56" formatCode="General">
                  <c:v>250.62700000000001</c:v>
                </c:pt>
                <c:pt idx="57" formatCode="General">
                  <c:v>265.59899999999999</c:v>
                </c:pt>
                <c:pt idx="58" formatCode="General">
                  <c:v>269.19900000000001</c:v>
                </c:pt>
                <c:pt idx="59" formatCode="General">
                  <c:v>334.79</c:v>
                </c:pt>
                <c:pt idx="60" formatCode="General">
                  <c:v>432.57799999999997</c:v>
                </c:pt>
                <c:pt idx="61" formatCode="General">
                  <c:v>445.94600000000003</c:v>
                </c:pt>
                <c:pt idx="62" formatCode="General">
                  <c:v>463.84</c:v>
                </c:pt>
                <c:pt idx="63" formatCode="General">
                  <c:v>534.91800000000001</c:v>
                </c:pt>
                <c:pt idx="64" formatCode="General">
                  <c:v>534.52800000000002</c:v>
                </c:pt>
                <c:pt idx="65" formatCode="General">
                  <c:v>538.48400000000004</c:v>
                </c:pt>
                <c:pt idx="66" formatCode="General">
                  <c:v>545.90800000000002</c:v>
                </c:pt>
                <c:pt idx="67" formatCode="General">
                  <c:v>463.48599999999999</c:v>
                </c:pt>
                <c:pt idx="72">
                  <c:v>107.455</c:v>
                </c:pt>
                <c:pt idx="73">
                  <c:v>289.55099999999999</c:v>
                </c:pt>
                <c:pt idx="74">
                  <c:v>372.815</c:v>
                </c:pt>
                <c:pt idx="75">
                  <c:v>347.69600000000003</c:v>
                </c:pt>
                <c:pt idx="76">
                  <c:v>358.79</c:v>
                </c:pt>
                <c:pt idx="77">
                  <c:v>366.89400000000001</c:v>
                </c:pt>
                <c:pt idx="78">
                  <c:v>403.221</c:v>
                </c:pt>
                <c:pt idx="79">
                  <c:v>404.54</c:v>
                </c:pt>
                <c:pt idx="80">
                  <c:v>535.43799999999999</c:v>
                </c:pt>
                <c:pt idx="81">
                  <c:v>740.02300000000002</c:v>
                </c:pt>
                <c:pt idx="82">
                  <c:v>863.39099999999996</c:v>
                </c:pt>
                <c:pt idx="83">
                  <c:v>1307.8869999999999</c:v>
                </c:pt>
                <c:pt idx="84">
                  <c:v>1568.9690000000001</c:v>
                </c:pt>
                <c:pt idx="85">
                  <c:v>1855.654</c:v>
                </c:pt>
                <c:pt idx="86">
                  <c:v>1799.5650000000001</c:v>
                </c:pt>
                <c:pt idx="87">
                  <c:v>1808.5150000000001</c:v>
                </c:pt>
                <c:pt idx="88">
                  <c:v>1817.0989999999999</c:v>
                </c:pt>
                <c:pt idx="89">
                  <c:v>1821.5119999999999</c:v>
                </c:pt>
                <c:pt idx="90" formatCode="General">
                  <c:v>447.16899999999998</c:v>
                </c:pt>
                <c:pt idx="91" formatCode="General">
                  <c:v>330.23500000000001</c:v>
                </c:pt>
                <c:pt idx="92" formatCode="General">
                  <c:v>225.82599999999999</c:v>
                </c:pt>
                <c:pt idx="93" formatCode="General">
                  <c:v>166.16900000000001</c:v>
                </c:pt>
                <c:pt idx="94" formatCode="General">
                  <c:v>84.879000000000005</c:v>
                </c:pt>
                <c:pt idx="95" formatCode="General">
                  <c:v>64.046999999999997</c:v>
                </c:pt>
                <c:pt idx="96" formatCode="General">
                  <c:v>48.598999999999997</c:v>
                </c:pt>
                <c:pt idx="97" formatCode="General">
                  <c:v>44.969000000000001</c:v>
                </c:pt>
                <c:pt idx="98" formatCode="General">
                  <c:v>41.039000000000001</c:v>
                </c:pt>
                <c:pt idx="99" formatCode="General">
                  <c:v>38.932000000000002</c:v>
                </c:pt>
                <c:pt idx="100" formatCode="General">
                  <c:v>37.255000000000003</c:v>
                </c:pt>
                <c:pt idx="101" formatCode="General">
                  <c:v>43.829000000000001</c:v>
                </c:pt>
                <c:pt idx="102" formatCode="General">
                  <c:v>69.665999999999997</c:v>
                </c:pt>
                <c:pt idx="103" formatCode="General">
                  <c:v>52.384</c:v>
                </c:pt>
                <c:pt idx="104" formatCode="General">
                  <c:v>53.417999999999999</c:v>
                </c:pt>
                <c:pt idx="105" formatCode="General">
                  <c:v>45.627000000000002</c:v>
                </c:pt>
                <c:pt idx="106" formatCode="General">
                  <c:v>86.766000000000005</c:v>
                </c:pt>
                <c:pt idx="107" formatCode="General">
                  <c:v>41.499000000000002</c:v>
                </c:pt>
                <c:pt idx="108" formatCode="General">
                  <c:v>22.83</c:v>
                </c:pt>
                <c:pt idx="109" formatCode="General">
                  <c:v>18.082000000000001</c:v>
                </c:pt>
                <c:pt idx="110" formatCode="General">
                  <c:v>14.612</c:v>
                </c:pt>
                <c:pt idx="111" formatCode="General">
                  <c:v>24.215</c:v>
                </c:pt>
                <c:pt idx="112" formatCode="General">
                  <c:v>31.334</c:v>
                </c:pt>
                <c:pt idx="113" formatCode="General">
                  <c:v>59.408000000000001</c:v>
                </c:pt>
                <c:pt idx="114" formatCode="General">
                  <c:v>70.561999999999998</c:v>
                </c:pt>
                <c:pt idx="115" formatCode="General">
                  <c:v>72.349999999999994</c:v>
                </c:pt>
                <c:pt idx="116" formatCode="General">
                  <c:v>51.923000000000002</c:v>
                </c:pt>
                <c:pt idx="117" formatCode="General">
                  <c:v>49.082000000000001</c:v>
                </c:pt>
                <c:pt idx="118" formatCode="General">
                  <c:v>41.55</c:v>
                </c:pt>
                <c:pt idx="119" formatCode="General">
                  <c:v>44.235999999999997</c:v>
                </c:pt>
                <c:pt idx="120" formatCode="General">
                  <c:v>32.811999999999998</c:v>
                </c:pt>
                <c:pt idx="121" formatCode="General">
                  <c:v>28.619</c:v>
                </c:pt>
                <c:pt idx="122" formatCode="General">
                  <c:v>18.631</c:v>
                </c:pt>
                <c:pt idx="123" formatCode="General">
                  <c:v>19.2</c:v>
                </c:pt>
                <c:pt idx="124" formatCode="General">
                  <c:v>16.337</c:v>
                </c:pt>
                <c:pt idx="125" formatCode="General">
                  <c:v>16.777999999999999</c:v>
                </c:pt>
              </c:numCache>
            </c:numRef>
          </c:xVal>
          <c:yVal>
            <c:numRef>
              <c:f>'Regres fig'!$J$2:$J$69</c:f>
              <c:numCache>
                <c:formatCode>0.00</c:formatCode>
                <c:ptCount val="68"/>
                <c:pt idx="0">
                  <c:v>6.2152777777777777</c:v>
                </c:pt>
                <c:pt idx="1">
                  <c:v>6.1472222222222195</c:v>
                </c:pt>
                <c:pt idx="2">
                  <c:v>6.2034722222222172</c:v>
                </c:pt>
                <c:pt idx="3">
                  <c:v>6.6368055555555516</c:v>
                </c:pt>
                <c:pt idx="4">
                  <c:v>6.6958333333333355</c:v>
                </c:pt>
                <c:pt idx="5">
                  <c:v>5.906944444444445</c:v>
                </c:pt>
                <c:pt idx="6">
                  <c:v>3.8215277777777774</c:v>
                </c:pt>
                <c:pt idx="7">
                  <c:v>3.2506944444444432</c:v>
                </c:pt>
                <c:pt idx="8">
                  <c:v>2.9722222222222245</c:v>
                </c:pt>
                <c:pt idx="9">
                  <c:v>3.2590277777777761</c:v>
                </c:pt>
                <c:pt idx="10">
                  <c:v>9.1756944444444404</c:v>
                </c:pt>
                <c:pt idx="11">
                  <c:v>6.3270833333333343</c:v>
                </c:pt>
                <c:pt idx="12">
                  <c:v>6.9930555555555536</c:v>
                </c:pt>
                <c:pt idx="13">
                  <c:v>38.388888888888893</c:v>
                </c:pt>
                <c:pt idx="14">
                  <c:v>12.344444444444441</c:v>
                </c:pt>
                <c:pt idx="15">
                  <c:v>4.1965034965034986</c:v>
                </c:pt>
                <c:pt idx="16">
                  <c:v>7.3513888888888896</c:v>
                </c:pt>
                <c:pt idx="17">
                  <c:v>2.4868055555555539</c:v>
                </c:pt>
                <c:pt idx="18">
                  <c:v>28.686111111111106</c:v>
                </c:pt>
                <c:pt idx="19">
                  <c:v>22.300694444444453</c:v>
                </c:pt>
                <c:pt idx="20">
                  <c:v>14.731999999999998</c:v>
                </c:pt>
                <c:pt idx="21">
                  <c:v>11.15079365079365</c:v>
                </c:pt>
                <c:pt idx="22">
                  <c:v>2.37222222222222</c:v>
                </c:pt>
                <c:pt idx="23">
                  <c:v>2.2319444444444465</c:v>
                </c:pt>
                <c:pt idx="24">
                  <c:v>2.2027777777777762</c:v>
                </c:pt>
                <c:pt idx="25">
                  <c:v>8.1409722222222243</c:v>
                </c:pt>
                <c:pt idx="26">
                  <c:v>8.2694444444444493</c:v>
                </c:pt>
                <c:pt idx="27">
                  <c:v>30.222222222222214</c:v>
                </c:pt>
                <c:pt idx="28">
                  <c:v>26.863194444444439</c:v>
                </c:pt>
                <c:pt idx="29">
                  <c:v>12.382638888888883</c:v>
                </c:pt>
                <c:pt idx="30">
                  <c:v>12.647916666666664</c:v>
                </c:pt>
                <c:pt idx="31">
                  <c:v>8.3701388888888886</c:v>
                </c:pt>
                <c:pt idx="32">
                  <c:v>5.4083333333333359</c:v>
                </c:pt>
                <c:pt idx="33">
                  <c:v>2.1416666666666666</c:v>
                </c:pt>
                <c:pt idx="37">
                  <c:v>7.6333333333333329</c:v>
                </c:pt>
                <c:pt idx="38">
                  <c:v>24.5</c:v>
                </c:pt>
                <c:pt idx="40">
                  <c:v>5.6880952380952392</c:v>
                </c:pt>
                <c:pt idx="41">
                  <c:v>23.729411764705876</c:v>
                </c:pt>
                <c:pt idx="42">
                  <c:v>4.5999999999999996</c:v>
                </c:pt>
              </c:numCache>
            </c:numRef>
          </c:yVal>
          <c:smooth val="0"/>
          <c:extLst xmlns:c16r2="http://schemas.microsoft.com/office/drawing/2015/06/chart">
            <c:ext xmlns:c16="http://schemas.microsoft.com/office/drawing/2014/chart" uri="{C3380CC4-5D6E-409C-BE32-E72D297353CC}">
              <c16:uniqueId val="{00000000-CA37-46F1-8A5B-74B11779E41B}"/>
            </c:ext>
          </c:extLst>
        </c:ser>
        <c:ser>
          <c:idx val="1"/>
          <c:order val="1"/>
          <c:tx>
            <c:strRef>
              <c:f>'Regres fig'!$N$74</c:f>
              <c:strCache>
                <c:ptCount val="1"/>
                <c:pt idx="0">
                  <c:v>NO CEW</c:v>
                </c:pt>
              </c:strCache>
            </c:strRef>
          </c:tx>
          <c:spPr>
            <a:ln w="28575">
              <a:noFill/>
            </a:ln>
          </c:spPr>
          <c:marker>
            <c:symbol val="circle"/>
            <c:size val="5"/>
            <c:spPr>
              <a:solidFill>
                <a:schemeClr val="tx2">
                  <a:lumMod val="60000"/>
                  <a:lumOff val="40000"/>
                </a:schemeClr>
              </a:solidFill>
              <a:ln w="9525">
                <a:solidFill>
                  <a:schemeClr val="tx2">
                    <a:lumMod val="60000"/>
                    <a:lumOff val="40000"/>
                  </a:schemeClr>
                </a:solidFill>
              </a:ln>
              <a:effectLst/>
            </c:spPr>
          </c:marker>
          <c:trendline>
            <c:spPr>
              <a:ln w="12700" cap="rnd">
                <a:solidFill>
                  <a:schemeClr val="tx2">
                    <a:lumMod val="60000"/>
                    <a:lumOff val="40000"/>
                  </a:schemeClr>
                </a:solidFill>
                <a:prstDash val="solid"/>
              </a:ln>
              <a:effectLst/>
            </c:spPr>
            <c:trendlineType val="linear"/>
            <c:dispRSqr val="1"/>
            <c:dispEq val="0"/>
            <c:trendlineLbl>
              <c:layout>
                <c:manualLayout>
                  <c:x val="0.18264039490669992"/>
                  <c:y val="-7.5151606330186527E-2"/>
                </c:manualLayout>
              </c:layout>
              <c:numFmt formatCode="General" sourceLinked="0"/>
              <c:spPr>
                <a:noFill/>
                <a:ln>
                  <a:solidFill>
                    <a:schemeClr val="tx2">
                      <a:lumMod val="60000"/>
                      <a:lumOff val="40000"/>
                    </a:schemeClr>
                  </a:solidFill>
                </a:ln>
                <a:effectLst/>
              </c:spPr>
            </c:trendlineLbl>
          </c:trendline>
          <c:xVal>
            <c:numRef>
              <c:f>'Regres fig'!$D$2:$D$141</c:f>
              <c:numCache>
                <c:formatCode>0</c:formatCode>
                <c:ptCount val="140"/>
                <c:pt idx="0">
                  <c:v>1785.4449999999999</c:v>
                </c:pt>
                <c:pt idx="1">
                  <c:v>1669.155</c:v>
                </c:pt>
                <c:pt idx="2">
                  <c:v>1638.0540000000001</c:v>
                </c:pt>
                <c:pt idx="3">
                  <c:v>1893.4549999999999</c:v>
                </c:pt>
                <c:pt idx="4">
                  <c:v>1795.4929999999999</c:v>
                </c:pt>
                <c:pt idx="5">
                  <c:v>1750.7429999999999</c:v>
                </c:pt>
                <c:pt idx="6">
                  <c:v>1408.63</c:v>
                </c:pt>
                <c:pt idx="7">
                  <c:v>1244.2650000000001</c:v>
                </c:pt>
                <c:pt idx="8">
                  <c:v>994.97799999999995</c:v>
                </c:pt>
                <c:pt idx="9" formatCode="General">
                  <c:v>983.48900000000003</c:v>
                </c:pt>
                <c:pt idx="10" formatCode="General">
                  <c:v>1014.326</c:v>
                </c:pt>
                <c:pt idx="11" formatCode="General">
                  <c:v>828.90499999999997</c:v>
                </c:pt>
                <c:pt idx="12" formatCode="General">
                  <c:v>595.60400000000004</c:v>
                </c:pt>
                <c:pt idx="13" formatCode="General">
                  <c:v>3079.9580000000001</c:v>
                </c:pt>
                <c:pt idx="14" formatCode="General">
                  <c:v>1695.979</c:v>
                </c:pt>
                <c:pt idx="15" formatCode="General">
                  <c:v>752.84199999999998</c:v>
                </c:pt>
                <c:pt idx="16" formatCode="General">
                  <c:v>455.47199999999998</c:v>
                </c:pt>
                <c:pt idx="17" formatCode="General">
                  <c:v>337.13</c:v>
                </c:pt>
                <c:pt idx="18" formatCode="General">
                  <c:v>1936.6410000000001</c:v>
                </c:pt>
                <c:pt idx="19" formatCode="General">
                  <c:v>1962.403</c:v>
                </c:pt>
                <c:pt idx="20" formatCode="General">
                  <c:v>2011.9480000000001</c:v>
                </c:pt>
                <c:pt idx="21" formatCode="General">
                  <c:v>1959.954</c:v>
                </c:pt>
                <c:pt idx="22" formatCode="General">
                  <c:v>1610.356</c:v>
                </c:pt>
                <c:pt idx="23" formatCode="General">
                  <c:v>1404.492</c:v>
                </c:pt>
                <c:pt idx="24" formatCode="General">
                  <c:v>1306.7929999999999</c:v>
                </c:pt>
                <c:pt idx="25" formatCode="General">
                  <c:v>1308.192</c:v>
                </c:pt>
                <c:pt idx="26" formatCode="General">
                  <c:v>1318.4649999999999</c:v>
                </c:pt>
                <c:pt idx="27" formatCode="General">
                  <c:v>1303.5029999999999</c:v>
                </c:pt>
                <c:pt idx="28" formatCode="General">
                  <c:v>2251.0279999999998</c:v>
                </c:pt>
                <c:pt idx="29" formatCode="General">
                  <c:v>1256.3679999999999</c:v>
                </c:pt>
                <c:pt idx="30" formatCode="General">
                  <c:v>615.53099999999995</c:v>
                </c:pt>
                <c:pt idx="31" formatCode="General">
                  <c:v>443.52499999999998</c:v>
                </c:pt>
                <c:pt idx="32" formatCode="General">
                  <c:v>375.18599999999998</c:v>
                </c:pt>
                <c:pt idx="33" formatCode="General">
                  <c:v>566.38199999999995</c:v>
                </c:pt>
                <c:pt idx="34" formatCode="General">
                  <c:v>206.29499999999999</c:v>
                </c:pt>
                <c:pt idx="35" formatCode="General">
                  <c:v>210.41200000000001</c:v>
                </c:pt>
                <c:pt idx="36" formatCode="General">
                  <c:v>199.14400000000001</c:v>
                </c:pt>
                <c:pt idx="37" formatCode="General">
                  <c:v>192.499</c:v>
                </c:pt>
                <c:pt idx="38" formatCode="General">
                  <c:v>191.55199999999999</c:v>
                </c:pt>
                <c:pt idx="39" formatCode="General">
                  <c:v>187.929</c:v>
                </c:pt>
                <c:pt idx="40" formatCode="General">
                  <c:v>135.45400000000001</c:v>
                </c:pt>
                <c:pt idx="41" formatCode="General">
                  <c:v>115.087</c:v>
                </c:pt>
                <c:pt idx="42" formatCode="General">
                  <c:v>102.316</c:v>
                </c:pt>
                <c:pt idx="43" formatCode="General">
                  <c:v>90.864000000000004</c:v>
                </c:pt>
                <c:pt idx="44" formatCode="General">
                  <c:v>97.421000000000006</c:v>
                </c:pt>
                <c:pt idx="45" formatCode="General">
                  <c:v>95.23</c:v>
                </c:pt>
                <c:pt idx="46" formatCode="General">
                  <c:v>95.622</c:v>
                </c:pt>
                <c:pt idx="47" formatCode="General">
                  <c:v>94.448999999999998</c:v>
                </c:pt>
                <c:pt idx="48" formatCode="General">
                  <c:v>92.248000000000005</c:v>
                </c:pt>
                <c:pt idx="49" formatCode="General">
                  <c:v>92.236000000000004</c:v>
                </c:pt>
                <c:pt idx="50" formatCode="General">
                  <c:v>95.444999999999993</c:v>
                </c:pt>
                <c:pt idx="51" formatCode="General">
                  <c:v>131.465</c:v>
                </c:pt>
                <c:pt idx="52" formatCode="General">
                  <c:v>173.25200000000001</c:v>
                </c:pt>
                <c:pt idx="53" formatCode="General">
                  <c:v>176.81200000000001</c:v>
                </c:pt>
                <c:pt idx="54" formatCode="General">
                  <c:v>182.751</c:v>
                </c:pt>
                <c:pt idx="55" formatCode="General">
                  <c:v>191.18899999999999</c:v>
                </c:pt>
                <c:pt idx="56" formatCode="General">
                  <c:v>250.62700000000001</c:v>
                </c:pt>
                <c:pt idx="57" formatCode="General">
                  <c:v>265.59899999999999</c:v>
                </c:pt>
                <c:pt idx="58" formatCode="General">
                  <c:v>269.19900000000001</c:v>
                </c:pt>
                <c:pt idx="59" formatCode="General">
                  <c:v>334.79</c:v>
                </c:pt>
                <c:pt idx="60" formatCode="General">
                  <c:v>432.57799999999997</c:v>
                </c:pt>
                <c:pt idx="61" formatCode="General">
                  <c:v>445.94600000000003</c:v>
                </c:pt>
                <c:pt idx="62" formatCode="General">
                  <c:v>463.84</c:v>
                </c:pt>
                <c:pt idx="63" formatCode="General">
                  <c:v>534.91800000000001</c:v>
                </c:pt>
                <c:pt idx="64" formatCode="General">
                  <c:v>534.52800000000002</c:v>
                </c:pt>
                <c:pt idx="65" formatCode="General">
                  <c:v>538.48400000000004</c:v>
                </c:pt>
                <c:pt idx="66" formatCode="General">
                  <c:v>545.90800000000002</c:v>
                </c:pt>
                <c:pt idx="67" formatCode="General">
                  <c:v>463.48599999999999</c:v>
                </c:pt>
                <c:pt idx="72">
                  <c:v>107.455</c:v>
                </c:pt>
                <c:pt idx="73">
                  <c:v>289.55099999999999</c:v>
                </c:pt>
                <c:pt idx="74">
                  <c:v>372.815</c:v>
                </c:pt>
                <c:pt idx="75">
                  <c:v>347.69600000000003</c:v>
                </c:pt>
                <c:pt idx="76">
                  <c:v>358.79</c:v>
                </c:pt>
                <c:pt idx="77">
                  <c:v>366.89400000000001</c:v>
                </c:pt>
                <c:pt idx="78">
                  <c:v>403.221</c:v>
                </c:pt>
                <c:pt idx="79">
                  <c:v>404.54</c:v>
                </c:pt>
                <c:pt idx="80">
                  <c:v>535.43799999999999</c:v>
                </c:pt>
                <c:pt idx="81">
                  <c:v>740.02300000000002</c:v>
                </c:pt>
                <c:pt idx="82">
                  <c:v>863.39099999999996</c:v>
                </c:pt>
                <c:pt idx="83">
                  <c:v>1307.8869999999999</c:v>
                </c:pt>
                <c:pt idx="84">
                  <c:v>1568.9690000000001</c:v>
                </c:pt>
                <c:pt idx="85">
                  <c:v>1855.654</c:v>
                </c:pt>
                <c:pt idx="86">
                  <c:v>1799.5650000000001</c:v>
                </c:pt>
                <c:pt idx="87">
                  <c:v>1808.5150000000001</c:v>
                </c:pt>
                <c:pt idx="88">
                  <c:v>1817.0989999999999</c:v>
                </c:pt>
                <c:pt idx="89">
                  <c:v>1821.5119999999999</c:v>
                </c:pt>
                <c:pt idx="90" formatCode="General">
                  <c:v>447.16899999999998</c:v>
                </c:pt>
                <c:pt idx="91" formatCode="General">
                  <c:v>330.23500000000001</c:v>
                </c:pt>
                <c:pt idx="92" formatCode="General">
                  <c:v>225.82599999999999</c:v>
                </c:pt>
                <c:pt idx="93" formatCode="General">
                  <c:v>166.16900000000001</c:v>
                </c:pt>
                <c:pt idx="94" formatCode="General">
                  <c:v>84.879000000000005</c:v>
                </c:pt>
                <c:pt idx="95" formatCode="General">
                  <c:v>64.046999999999997</c:v>
                </c:pt>
                <c:pt idx="96" formatCode="General">
                  <c:v>48.598999999999997</c:v>
                </c:pt>
                <c:pt idx="97" formatCode="General">
                  <c:v>44.969000000000001</c:v>
                </c:pt>
                <c:pt idx="98" formatCode="General">
                  <c:v>41.039000000000001</c:v>
                </c:pt>
                <c:pt idx="99" formatCode="General">
                  <c:v>38.932000000000002</c:v>
                </c:pt>
                <c:pt idx="100" formatCode="General">
                  <c:v>37.255000000000003</c:v>
                </c:pt>
                <c:pt idx="101" formatCode="General">
                  <c:v>43.829000000000001</c:v>
                </c:pt>
                <c:pt idx="102" formatCode="General">
                  <c:v>69.665999999999997</c:v>
                </c:pt>
                <c:pt idx="103" formatCode="General">
                  <c:v>52.384</c:v>
                </c:pt>
                <c:pt idx="104" formatCode="General">
                  <c:v>53.417999999999999</c:v>
                </c:pt>
                <c:pt idx="105" formatCode="General">
                  <c:v>45.627000000000002</c:v>
                </c:pt>
                <c:pt idx="106" formatCode="General">
                  <c:v>86.766000000000005</c:v>
                </c:pt>
                <c:pt idx="107" formatCode="General">
                  <c:v>41.499000000000002</c:v>
                </c:pt>
                <c:pt idx="108" formatCode="General">
                  <c:v>22.83</c:v>
                </c:pt>
                <c:pt idx="109" formatCode="General">
                  <c:v>18.082000000000001</c:v>
                </c:pt>
                <c:pt idx="110" formatCode="General">
                  <c:v>14.612</c:v>
                </c:pt>
                <c:pt idx="111" formatCode="General">
                  <c:v>24.215</c:v>
                </c:pt>
                <c:pt idx="112" formatCode="General">
                  <c:v>31.334</c:v>
                </c:pt>
                <c:pt idx="113" formatCode="General">
                  <c:v>59.408000000000001</c:v>
                </c:pt>
                <c:pt idx="114" formatCode="General">
                  <c:v>70.561999999999998</c:v>
                </c:pt>
                <c:pt idx="115" formatCode="General">
                  <c:v>72.349999999999994</c:v>
                </c:pt>
                <c:pt idx="116" formatCode="General">
                  <c:v>51.923000000000002</c:v>
                </c:pt>
                <c:pt idx="117" formatCode="General">
                  <c:v>49.082000000000001</c:v>
                </c:pt>
                <c:pt idx="118" formatCode="General">
                  <c:v>41.55</c:v>
                </c:pt>
                <c:pt idx="119" formatCode="General">
                  <c:v>44.235999999999997</c:v>
                </c:pt>
                <c:pt idx="120" formatCode="General">
                  <c:v>32.811999999999998</c:v>
                </c:pt>
                <c:pt idx="121" formatCode="General">
                  <c:v>28.619</c:v>
                </c:pt>
                <c:pt idx="122" formatCode="General">
                  <c:v>18.631</c:v>
                </c:pt>
                <c:pt idx="123" formatCode="General">
                  <c:v>19.2</c:v>
                </c:pt>
                <c:pt idx="124" formatCode="General">
                  <c:v>16.337</c:v>
                </c:pt>
                <c:pt idx="125" formatCode="General">
                  <c:v>16.777999999999999</c:v>
                </c:pt>
                <c:pt idx="126" formatCode="General">
                  <c:v>21.890999999999998</c:v>
                </c:pt>
                <c:pt idx="127" formatCode="General">
                  <c:v>19.713000000000001</c:v>
                </c:pt>
                <c:pt idx="128" formatCode="General">
                  <c:v>13.455</c:v>
                </c:pt>
                <c:pt idx="129" formatCode="General">
                  <c:v>11.877000000000001</c:v>
                </c:pt>
                <c:pt idx="130" formatCode="General">
                  <c:v>29.731000000000002</c:v>
                </c:pt>
                <c:pt idx="131" formatCode="General">
                  <c:v>29.276</c:v>
                </c:pt>
                <c:pt idx="132" formatCode="General">
                  <c:v>21.966000000000001</c:v>
                </c:pt>
                <c:pt idx="133" formatCode="General">
                  <c:v>17.701000000000001</c:v>
                </c:pt>
                <c:pt idx="134" formatCode="General">
                  <c:v>26.023</c:v>
                </c:pt>
                <c:pt idx="135" formatCode="General">
                  <c:v>45.366999999999997</c:v>
                </c:pt>
                <c:pt idx="136" formatCode="General">
                  <c:v>41.652999999999999</c:v>
                </c:pt>
                <c:pt idx="137" formatCode="General">
                  <c:v>36.438000000000002</c:v>
                </c:pt>
                <c:pt idx="138" formatCode="General">
                  <c:v>33.887999999999998</c:v>
                </c:pt>
                <c:pt idx="139" formatCode="General">
                  <c:v>52.863999999999997</c:v>
                </c:pt>
              </c:numCache>
            </c:numRef>
          </c:xVal>
          <c:yVal>
            <c:numRef>
              <c:f>'Regres fig'!$J$74:$J$141</c:f>
              <c:numCache>
                <c:formatCode>0.00</c:formatCode>
                <c:ptCount val="68"/>
                <c:pt idx="0">
                  <c:v>2.7249999999999988</c:v>
                </c:pt>
                <c:pt idx="1">
                  <c:v>2.7458333333333318</c:v>
                </c:pt>
                <c:pt idx="2">
                  <c:v>3.1826388888888899</c:v>
                </c:pt>
                <c:pt idx="3">
                  <c:v>3.47013888888889</c:v>
                </c:pt>
                <c:pt idx="4">
                  <c:v>3.0027777777777795</c:v>
                </c:pt>
                <c:pt idx="5">
                  <c:v>3.2715277777777776</c:v>
                </c:pt>
                <c:pt idx="6">
                  <c:v>4.3256944444444478</c:v>
                </c:pt>
                <c:pt idx="7">
                  <c:v>3.3902777777777793</c:v>
                </c:pt>
                <c:pt idx="8">
                  <c:v>3.5055555555555529</c:v>
                </c:pt>
                <c:pt idx="9">
                  <c:v>3.3097222222222222</c:v>
                </c:pt>
                <c:pt idx="10">
                  <c:v>3.5361111111111097</c:v>
                </c:pt>
                <c:pt idx="11">
                  <c:v>3.418750000000002</c:v>
                </c:pt>
                <c:pt idx="12">
                  <c:v>3.5715277777777761</c:v>
                </c:pt>
                <c:pt idx="13">
                  <c:v>3.6826388888888877</c:v>
                </c:pt>
                <c:pt idx="14">
                  <c:v>3.6194444444444471</c:v>
                </c:pt>
                <c:pt idx="15">
                  <c:v>3.3458333333333332</c:v>
                </c:pt>
                <c:pt idx="16">
                  <c:v>3.3902777777777811</c:v>
                </c:pt>
                <c:pt idx="17">
                  <c:v>3.9583333333333339</c:v>
                </c:pt>
                <c:pt idx="18">
                  <c:v>24.327678571428571</c:v>
                </c:pt>
                <c:pt idx="19">
                  <c:v>23.384732824427488</c:v>
                </c:pt>
                <c:pt idx="20">
                  <c:v>26.386923076923079</c:v>
                </c:pt>
                <c:pt idx="21">
                  <c:v>27.647916666666671</c:v>
                </c:pt>
                <c:pt idx="22">
                  <c:v>35.387878787878805</c:v>
                </c:pt>
                <c:pt idx="23">
                  <c:v>37.507407407407378</c:v>
                </c:pt>
                <c:pt idx="24">
                  <c:v>36.364335664335677</c:v>
                </c:pt>
                <c:pt idx="25">
                  <c:v>23.709027777777777</c:v>
                </c:pt>
                <c:pt idx="26">
                  <c:v>20.703809523809522</c:v>
                </c:pt>
                <c:pt idx="27">
                  <c:v>28.315116279069773</c:v>
                </c:pt>
                <c:pt idx="28">
                  <c:v>35.305494505494515</c:v>
                </c:pt>
                <c:pt idx="29">
                  <c:v>36.607031249999999</c:v>
                </c:pt>
                <c:pt idx="30">
                  <c:v>28.169444444444458</c:v>
                </c:pt>
                <c:pt idx="31">
                  <c:v>30.963888888888871</c:v>
                </c:pt>
                <c:pt idx="32">
                  <c:v>33.740277777777784</c:v>
                </c:pt>
                <c:pt idx="33">
                  <c:v>35.873684210526342</c:v>
                </c:pt>
                <c:pt idx="34">
                  <c:v>19.955555555555559</c:v>
                </c:pt>
                <c:pt idx="35">
                  <c:v>0.56944444444444442</c:v>
                </c:pt>
                <c:pt idx="36">
                  <c:v>0.90763888888888899</c:v>
                </c:pt>
                <c:pt idx="37">
                  <c:v>0</c:v>
                </c:pt>
                <c:pt idx="38">
                  <c:v>1.0520833333333333</c:v>
                </c:pt>
                <c:pt idx="39">
                  <c:v>14.465972222222231</c:v>
                </c:pt>
                <c:pt idx="40">
                  <c:v>41.32222222222223</c:v>
                </c:pt>
                <c:pt idx="41">
                  <c:v>47.833898305084716</c:v>
                </c:pt>
                <c:pt idx="42">
                  <c:v>52.496363636363682</c:v>
                </c:pt>
                <c:pt idx="43">
                  <c:v>46.579629629629643</c:v>
                </c:pt>
                <c:pt idx="44">
                  <c:v>40.011764705882364</c:v>
                </c:pt>
                <c:pt idx="45">
                  <c:v>45.054347826086953</c:v>
                </c:pt>
                <c:pt idx="46">
                  <c:v>75.631250000000023</c:v>
                </c:pt>
                <c:pt idx="47">
                  <c:v>60.969230769230741</c:v>
                </c:pt>
                <c:pt idx="48">
                  <c:v>61.323076923076925</c:v>
                </c:pt>
                <c:pt idx="49">
                  <c:v>48.62702702702704</c:v>
                </c:pt>
                <c:pt idx="50">
                  <c:v>55.057352941176482</c:v>
                </c:pt>
                <c:pt idx="51">
                  <c:v>42.864935064935061</c:v>
                </c:pt>
                <c:pt idx="52">
                  <c:v>46.35280898876406</c:v>
                </c:pt>
                <c:pt idx="53">
                  <c:v>49.246969696969707</c:v>
                </c:pt>
                <c:pt idx="54">
                  <c:v>60.783673469387757</c:v>
                </c:pt>
                <c:pt idx="55">
                  <c:v>49.444444444444457</c:v>
                </c:pt>
                <c:pt idx="56">
                  <c:v>54.170909090909092</c:v>
                </c:pt>
                <c:pt idx="57">
                  <c:v>42.74137931034484</c:v>
                </c:pt>
                <c:pt idx="58">
                  <c:v>48.020833333333321</c:v>
                </c:pt>
                <c:pt idx="59">
                  <c:v>52.744827586206895</c:v>
                </c:pt>
                <c:pt idx="60">
                  <c:v>63.614814814814785</c:v>
                </c:pt>
                <c:pt idx="61">
                  <c:v>52.198360655737694</c:v>
                </c:pt>
                <c:pt idx="62">
                  <c:v>49.005882352941178</c:v>
                </c:pt>
                <c:pt idx="63">
                  <c:v>59.456862745098022</c:v>
                </c:pt>
                <c:pt idx="64">
                  <c:v>61.25</c:v>
                </c:pt>
                <c:pt idx="65">
                  <c:v>45.682352941176489</c:v>
                </c:pt>
                <c:pt idx="66">
                  <c:v>81.259259259259238</c:v>
                </c:pt>
                <c:pt idx="67">
                  <c:v>55.906451612903247</c:v>
                </c:pt>
              </c:numCache>
            </c:numRef>
          </c:yVal>
          <c:smooth val="0"/>
          <c:extLst xmlns:c16r2="http://schemas.microsoft.com/office/drawing/2015/06/chart">
            <c:ext xmlns:c16="http://schemas.microsoft.com/office/drawing/2014/chart" uri="{C3380CC4-5D6E-409C-BE32-E72D297353CC}">
              <c16:uniqueId val="{00000001-CA37-46F1-8A5B-74B11779E41B}"/>
            </c:ext>
          </c:extLst>
        </c:ser>
        <c:dLbls>
          <c:showLegendKey val="0"/>
          <c:showVal val="0"/>
          <c:showCatName val="0"/>
          <c:showSerName val="0"/>
          <c:showPercent val="0"/>
          <c:showBubbleSize val="0"/>
        </c:dLbls>
        <c:axId val="555619400"/>
        <c:axId val="555619792"/>
      </c:scatterChart>
      <c:valAx>
        <c:axId val="555619400"/>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55619792"/>
        <c:crosses val="autoZero"/>
        <c:crossBetween val="midCat"/>
      </c:valAx>
      <c:valAx>
        <c:axId val="55561979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AU"/>
                  <a:t>Turbidity (NTU)</a:t>
                </a:r>
              </a:p>
            </c:rich>
          </c:tx>
          <c:layout>
            <c:manualLayout>
              <c:xMode val="edge"/>
              <c:yMode val="edge"/>
              <c:x val="1.2465181746833491E-2"/>
              <c:y val="0.29270851539736237"/>
            </c:manualLayout>
          </c:layout>
          <c:overlay val="0"/>
          <c:spPr>
            <a:noFill/>
            <a:ln w="25400">
              <a:noFill/>
            </a:ln>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a:pPr>
            <a:endParaRPr lang="en-US"/>
          </a:p>
        </c:txPr>
        <c:crossAx val="555619400"/>
        <c:crosses val="autoZero"/>
        <c:crossBetween val="midCat"/>
        <c:majorUnit val="10"/>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Arial" panose="020B0604020202020204" pitchFamily="34" charset="0"/>
          <a:ea typeface="Calibri"/>
          <a:cs typeface="Arial" panose="020B0604020202020204" pitchFamily="34"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AU" sz="1000"/>
              <a:t>(d)</a:t>
            </a:r>
          </a:p>
        </c:rich>
      </c:tx>
      <c:layout>
        <c:manualLayout>
          <c:xMode val="edge"/>
          <c:yMode val="edge"/>
          <c:x val="0.23813997661632996"/>
          <c:y val="6.1815116605788145E-2"/>
        </c:manualLayout>
      </c:layout>
      <c:overlay val="0"/>
    </c:title>
    <c:autoTitleDeleted val="0"/>
    <c:plotArea>
      <c:layout>
        <c:manualLayout>
          <c:layoutTarget val="inner"/>
          <c:xMode val="edge"/>
          <c:yMode val="edge"/>
          <c:x val="0.24645192559809942"/>
          <c:y val="6.5758540508370697E-2"/>
          <c:w val="0.71867238214799323"/>
          <c:h val="0.86598199529638731"/>
        </c:manualLayout>
      </c:layout>
      <c:scatterChart>
        <c:scatterStyle val="lineMarker"/>
        <c:varyColors val="0"/>
        <c:ser>
          <c:idx val="0"/>
          <c:order val="0"/>
          <c:tx>
            <c:strRef>
              <c:f>'Regres fig'!$N$2</c:f>
              <c:strCache>
                <c:ptCount val="1"/>
                <c:pt idx="0">
                  <c:v>CEW</c:v>
                </c:pt>
              </c:strCache>
            </c:strRef>
          </c:tx>
          <c:spPr>
            <a:ln w="28575">
              <a:noFill/>
            </a:ln>
          </c:spPr>
          <c:marker>
            <c:symbol val="square"/>
            <c:size val="5"/>
            <c:spPr>
              <a:solidFill>
                <a:srgbClr val="CC3300"/>
              </a:solidFill>
              <a:ln w="9525">
                <a:solidFill>
                  <a:srgbClr val="CC3300"/>
                </a:solidFill>
              </a:ln>
              <a:effectLst/>
            </c:spPr>
          </c:marker>
          <c:trendline>
            <c:spPr>
              <a:ln w="3175" cap="rnd">
                <a:solidFill>
                  <a:schemeClr val="tx1"/>
                </a:solidFill>
                <a:prstDash val="solid"/>
              </a:ln>
              <a:effectLst/>
            </c:spPr>
            <c:trendlineType val="linear"/>
            <c:dispRSqr val="0"/>
            <c:dispEq val="0"/>
          </c:trendline>
          <c:trendline>
            <c:spPr>
              <a:ln w="19050" cap="rnd">
                <a:solidFill>
                  <a:srgbClr val="CC3300"/>
                </a:solidFill>
                <a:prstDash val="sysDot"/>
              </a:ln>
              <a:effectLst/>
            </c:spPr>
            <c:trendlineType val="linear"/>
            <c:dispRSqr val="1"/>
            <c:dispEq val="0"/>
            <c:trendlineLbl>
              <c:layout>
                <c:manualLayout>
                  <c:x val="0.19920362500337338"/>
                  <c:y val="3.8429488766734347E-2"/>
                </c:manualLayout>
              </c:layout>
              <c:numFmt formatCode="General" sourceLinked="0"/>
              <c:spPr>
                <a:noFill/>
                <a:ln>
                  <a:solidFill>
                    <a:srgbClr val="CC3300"/>
                  </a:solidFill>
                </a:ln>
                <a:effectLst/>
              </c:spPr>
            </c:trendlineLbl>
          </c:trendline>
          <c:xVal>
            <c:numRef>
              <c:f>'Regres fig'!$D$2:$D$141</c:f>
              <c:numCache>
                <c:formatCode>0</c:formatCode>
                <c:ptCount val="140"/>
                <c:pt idx="0">
                  <c:v>1785.4449999999999</c:v>
                </c:pt>
                <c:pt idx="1">
                  <c:v>1669.155</c:v>
                </c:pt>
                <c:pt idx="2">
                  <c:v>1638.0540000000001</c:v>
                </c:pt>
                <c:pt idx="3">
                  <c:v>1893.4549999999999</c:v>
                </c:pt>
                <c:pt idx="4">
                  <c:v>1795.4929999999999</c:v>
                </c:pt>
                <c:pt idx="5">
                  <c:v>1750.7429999999999</c:v>
                </c:pt>
                <c:pt idx="6">
                  <c:v>1408.63</c:v>
                </c:pt>
                <c:pt idx="7">
                  <c:v>1244.2650000000001</c:v>
                </c:pt>
                <c:pt idx="8">
                  <c:v>994.97799999999995</c:v>
                </c:pt>
                <c:pt idx="9" formatCode="General">
                  <c:v>983.48900000000003</c:v>
                </c:pt>
                <c:pt idx="10" formatCode="General">
                  <c:v>1014.326</c:v>
                </c:pt>
                <c:pt idx="11" formatCode="General">
                  <c:v>828.90499999999997</c:v>
                </c:pt>
                <c:pt idx="12" formatCode="General">
                  <c:v>595.60400000000004</c:v>
                </c:pt>
                <c:pt idx="13" formatCode="General">
                  <c:v>3079.9580000000001</c:v>
                </c:pt>
                <c:pt idx="14" formatCode="General">
                  <c:v>1695.979</c:v>
                </c:pt>
                <c:pt idx="15" formatCode="General">
                  <c:v>752.84199999999998</c:v>
                </c:pt>
                <c:pt idx="16" formatCode="General">
                  <c:v>455.47199999999998</c:v>
                </c:pt>
                <c:pt idx="17" formatCode="General">
                  <c:v>337.13</c:v>
                </c:pt>
                <c:pt idx="18" formatCode="General">
                  <c:v>1936.6410000000001</c:v>
                </c:pt>
                <c:pt idx="19" formatCode="General">
                  <c:v>1962.403</c:v>
                </c:pt>
                <c:pt idx="20" formatCode="General">
                  <c:v>2011.9480000000001</c:v>
                </c:pt>
                <c:pt idx="21" formatCode="General">
                  <c:v>1959.954</c:v>
                </c:pt>
                <c:pt idx="22" formatCode="General">
                  <c:v>1610.356</c:v>
                </c:pt>
                <c:pt idx="23" formatCode="General">
                  <c:v>1404.492</c:v>
                </c:pt>
                <c:pt idx="24" formatCode="General">
                  <c:v>1306.7929999999999</c:v>
                </c:pt>
                <c:pt idx="25" formatCode="General">
                  <c:v>1308.192</c:v>
                </c:pt>
                <c:pt idx="26" formatCode="General">
                  <c:v>1318.4649999999999</c:v>
                </c:pt>
                <c:pt idx="27" formatCode="General">
                  <c:v>1303.5029999999999</c:v>
                </c:pt>
                <c:pt idx="28" formatCode="General">
                  <c:v>2251.0279999999998</c:v>
                </c:pt>
                <c:pt idx="29" formatCode="General">
                  <c:v>1256.3679999999999</c:v>
                </c:pt>
                <c:pt idx="30" formatCode="General">
                  <c:v>615.53099999999995</c:v>
                </c:pt>
                <c:pt idx="31" formatCode="General">
                  <c:v>443.52499999999998</c:v>
                </c:pt>
                <c:pt idx="32" formatCode="General">
                  <c:v>375.18599999999998</c:v>
                </c:pt>
                <c:pt idx="33" formatCode="General">
                  <c:v>566.38199999999995</c:v>
                </c:pt>
                <c:pt idx="34" formatCode="General">
                  <c:v>206.29499999999999</c:v>
                </c:pt>
                <c:pt idx="35" formatCode="General">
                  <c:v>210.41200000000001</c:v>
                </c:pt>
                <c:pt idx="36" formatCode="General">
                  <c:v>199.14400000000001</c:v>
                </c:pt>
                <c:pt idx="37" formatCode="General">
                  <c:v>192.499</c:v>
                </c:pt>
                <c:pt idx="38" formatCode="General">
                  <c:v>191.55199999999999</c:v>
                </c:pt>
                <c:pt idx="39" formatCode="General">
                  <c:v>187.929</c:v>
                </c:pt>
                <c:pt idx="40" formatCode="General">
                  <c:v>135.45400000000001</c:v>
                </c:pt>
                <c:pt idx="41" formatCode="General">
                  <c:v>115.087</c:v>
                </c:pt>
                <c:pt idx="42" formatCode="General">
                  <c:v>102.316</c:v>
                </c:pt>
                <c:pt idx="43" formatCode="General">
                  <c:v>90.864000000000004</c:v>
                </c:pt>
                <c:pt idx="44" formatCode="General">
                  <c:v>97.421000000000006</c:v>
                </c:pt>
                <c:pt idx="45" formatCode="General">
                  <c:v>95.23</c:v>
                </c:pt>
                <c:pt idx="46" formatCode="General">
                  <c:v>95.622</c:v>
                </c:pt>
                <c:pt idx="47" formatCode="General">
                  <c:v>94.448999999999998</c:v>
                </c:pt>
                <c:pt idx="48" formatCode="General">
                  <c:v>92.248000000000005</c:v>
                </c:pt>
                <c:pt idx="49" formatCode="General">
                  <c:v>92.236000000000004</c:v>
                </c:pt>
                <c:pt idx="50" formatCode="General">
                  <c:v>95.444999999999993</c:v>
                </c:pt>
                <c:pt idx="51" formatCode="General">
                  <c:v>131.465</c:v>
                </c:pt>
                <c:pt idx="52" formatCode="General">
                  <c:v>173.25200000000001</c:v>
                </c:pt>
                <c:pt idx="53" formatCode="General">
                  <c:v>176.81200000000001</c:v>
                </c:pt>
                <c:pt idx="54" formatCode="General">
                  <c:v>182.751</c:v>
                </c:pt>
                <c:pt idx="55" formatCode="General">
                  <c:v>191.18899999999999</c:v>
                </c:pt>
                <c:pt idx="56" formatCode="General">
                  <c:v>250.62700000000001</c:v>
                </c:pt>
                <c:pt idx="57" formatCode="General">
                  <c:v>265.59899999999999</c:v>
                </c:pt>
                <c:pt idx="58" formatCode="General">
                  <c:v>269.19900000000001</c:v>
                </c:pt>
                <c:pt idx="59" formatCode="General">
                  <c:v>334.79</c:v>
                </c:pt>
                <c:pt idx="60" formatCode="General">
                  <c:v>432.57799999999997</c:v>
                </c:pt>
                <c:pt idx="61" formatCode="General">
                  <c:v>445.94600000000003</c:v>
                </c:pt>
                <c:pt idx="62" formatCode="General">
                  <c:v>463.84</c:v>
                </c:pt>
                <c:pt idx="63" formatCode="General">
                  <c:v>534.91800000000001</c:v>
                </c:pt>
                <c:pt idx="64" formatCode="General">
                  <c:v>534.52800000000002</c:v>
                </c:pt>
                <c:pt idx="65" formatCode="General">
                  <c:v>538.48400000000004</c:v>
                </c:pt>
                <c:pt idx="66" formatCode="General">
                  <c:v>545.90800000000002</c:v>
                </c:pt>
                <c:pt idx="67" formatCode="General">
                  <c:v>463.48599999999999</c:v>
                </c:pt>
                <c:pt idx="72">
                  <c:v>107.455</c:v>
                </c:pt>
                <c:pt idx="73">
                  <c:v>289.55099999999999</c:v>
                </c:pt>
                <c:pt idx="74">
                  <c:v>372.815</c:v>
                </c:pt>
                <c:pt idx="75">
                  <c:v>347.69600000000003</c:v>
                </c:pt>
                <c:pt idx="76">
                  <c:v>358.79</c:v>
                </c:pt>
                <c:pt idx="77">
                  <c:v>366.89400000000001</c:v>
                </c:pt>
                <c:pt idx="78">
                  <c:v>403.221</c:v>
                </c:pt>
                <c:pt idx="79">
                  <c:v>404.54</c:v>
                </c:pt>
                <c:pt idx="80">
                  <c:v>535.43799999999999</c:v>
                </c:pt>
                <c:pt idx="81">
                  <c:v>740.02300000000002</c:v>
                </c:pt>
                <c:pt idx="82">
                  <c:v>863.39099999999996</c:v>
                </c:pt>
                <c:pt idx="83">
                  <c:v>1307.8869999999999</c:v>
                </c:pt>
                <c:pt idx="84">
                  <c:v>1568.9690000000001</c:v>
                </c:pt>
                <c:pt idx="85">
                  <c:v>1855.654</c:v>
                </c:pt>
                <c:pt idx="86">
                  <c:v>1799.5650000000001</c:v>
                </c:pt>
                <c:pt idx="87">
                  <c:v>1808.5150000000001</c:v>
                </c:pt>
                <c:pt idx="88">
                  <c:v>1817.0989999999999</c:v>
                </c:pt>
                <c:pt idx="89">
                  <c:v>1821.5119999999999</c:v>
                </c:pt>
                <c:pt idx="90" formatCode="General">
                  <c:v>447.16899999999998</c:v>
                </c:pt>
                <c:pt idx="91" formatCode="General">
                  <c:v>330.23500000000001</c:v>
                </c:pt>
                <c:pt idx="92" formatCode="General">
                  <c:v>225.82599999999999</c:v>
                </c:pt>
                <c:pt idx="93" formatCode="General">
                  <c:v>166.16900000000001</c:v>
                </c:pt>
                <c:pt idx="94" formatCode="General">
                  <c:v>84.879000000000005</c:v>
                </c:pt>
                <c:pt idx="95" formatCode="General">
                  <c:v>64.046999999999997</c:v>
                </c:pt>
                <c:pt idx="96" formatCode="General">
                  <c:v>48.598999999999997</c:v>
                </c:pt>
                <c:pt idx="97" formatCode="General">
                  <c:v>44.969000000000001</c:v>
                </c:pt>
                <c:pt idx="98" formatCode="General">
                  <c:v>41.039000000000001</c:v>
                </c:pt>
                <c:pt idx="99" formatCode="General">
                  <c:v>38.932000000000002</c:v>
                </c:pt>
                <c:pt idx="100" formatCode="General">
                  <c:v>37.255000000000003</c:v>
                </c:pt>
                <c:pt idx="101" formatCode="General">
                  <c:v>43.829000000000001</c:v>
                </c:pt>
                <c:pt idx="102" formatCode="General">
                  <c:v>69.665999999999997</c:v>
                </c:pt>
                <c:pt idx="103" formatCode="General">
                  <c:v>52.384</c:v>
                </c:pt>
                <c:pt idx="104" formatCode="General">
                  <c:v>53.417999999999999</c:v>
                </c:pt>
                <c:pt idx="105" formatCode="General">
                  <c:v>45.627000000000002</c:v>
                </c:pt>
                <c:pt idx="106" formatCode="General">
                  <c:v>86.766000000000005</c:v>
                </c:pt>
                <c:pt idx="107" formatCode="General">
                  <c:v>41.499000000000002</c:v>
                </c:pt>
                <c:pt idx="108" formatCode="General">
                  <c:v>22.83</c:v>
                </c:pt>
                <c:pt idx="109" formatCode="General">
                  <c:v>18.082000000000001</c:v>
                </c:pt>
                <c:pt idx="110" formatCode="General">
                  <c:v>14.612</c:v>
                </c:pt>
                <c:pt idx="111" formatCode="General">
                  <c:v>24.215</c:v>
                </c:pt>
                <c:pt idx="112" formatCode="General">
                  <c:v>31.334</c:v>
                </c:pt>
                <c:pt idx="113" formatCode="General">
                  <c:v>59.408000000000001</c:v>
                </c:pt>
                <c:pt idx="114" formatCode="General">
                  <c:v>70.561999999999998</c:v>
                </c:pt>
                <c:pt idx="115" formatCode="General">
                  <c:v>72.349999999999994</c:v>
                </c:pt>
                <c:pt idx="116" formatCode="General">
                  <c:v>51.923000000000002</c:v>
                </c:pt>
                <c:pt idx="117" formatCode="General">
                  <c:v>49.082000000000001</c:v>
                </c:pt>
                <c:pt idx="118" formatCode="General">
                  <c:v>41.55</c:v>
                </c:pt>
                <c:pt idx="119" formatCode="General">
                  <c:v>44.235999999999997</c:v>
                </c:pt>
                <c:pt idx="120" formatCode="General">
                  <c:v>32.811999999999998</c:v>
                </c:pt>
                <c:pt idx="121" formatCode="General">
                  <c:v>28.619</c:v>
                </c:pt>
                <c:pt idx="122" formatCode="General">
                  <c:v>18.631</c:v>
                </c:pt>
                <c:pt idx="123" formatCode="General">
                  <c:v>19.2</c:v>
                </c:pt>
                <c:pt idx="124" formatCode="General">
                  <c:v>16.337</c:v>
                </c:pt>
                <c:pt idx="125" formatCode="General">
                  <c:v>16.777999999999999</c:v>
                </c:pt>
                <c:pt idx="126" formatCode="General">
                  <c:v>21.890999999999998</c:v>
                </c:pt>
                <c:pt idx="127" formatCode="General">
                  <c:v>19.713000000000001</c:v>
                </c:pt>
                <c:pt idx="128" formatCode="General">
                  <c:v>13.455</c:v>
                </c:pt>
                <c:pt idx="129" formatCode="General">
                  <c:v>11.877000000000001</c:v>
                </c:pt>
                <c:pt idx="130" formatCode="General">
                  <c:v>29.731000000000002</c:v>
                </c:pt>
                <c:pt idx="131" formatCode="General">
                  <c:v>29.276</c:v>
                </c:pt>
                <c:pt idx="132" formatCode="General">
                  <c:v>21.966000000000001</c:v>
                </c:pt>
                <c:pt idx="133" formatCode="General">
                  <c:v>17.701000000000001</c:v>
                </c:pt>
                <c:pt idx="134" formatCode="General">
                  <c:v>26.023</c:v>
                </c:pt>
                <c:pt idx="135" formatCode="General">
                  <c:v>45.366999999999997</c:v>
                </c:pt>
                <c:pt idx="136" formatCode="General">
                  <c:v>41.652999999999999</c:v>
                </c:pt>
                <c:pt idx="137" formatCode="General">
                  <c:v>36.438000000000002</c:v>
                </c:pt>
                <c:pt idx="138" formatCode="General">
                  <c:v>33.887999999999998</c:v>
                </c:pt>
                <c:pt idx="139" formatCode="General">
                  <c:v>52.863999999999997</c:v>
                </c:pt>
              </c:numCache>
            </c:numRef>
          </c:xVal>
          <c:yVal>
            <c:numRef>
              <c:f>'Regres fig'!$G$2:$G$69</c:f>
              <c:numCache>
                <c:formatCode>0.00</c:formatCode>
                <c:ptCount val="68"/>
                <c:pt idx="0">
                  <c:v>0.2100000000000006</c:v>
                </c:pt>
                <c:pt idx="1">
                  <c:v>0.2100000000000006</c:v>
                </c:pt>
                <c:pt idx="2">
                  <c:v>0.2100000000000006</c:v>
                </c:pt>
                <c:pt idx="3">
                  <c:v>0.22937500000000025</c:v>
                </c:pt>
                <c:pt idx="4">
                  <c:v>0.21999999999999958</c:v>
                </c:pt>
                <c:pt idx="5">
                  <c:v>0.22624999999999978</c:v>
                </c:pt>
                <c:pt idx="6">
                  <c:v>0.26861111111111113</c:v>
                </c:pt>
                <c:pt idx="7">
                  <c:v>0.24437499999999993</c:v>
                </c:pt>
                <c:pt idx="8">
                  <c:v>0.24249999999999952</c:v>
                </c:pt>
                <c:pt idx="9">
                  <c:v>0.25694444444444481</c:v>
                </c:pt>
                <c:pt idx="10">
                  <c:v>0.24340277777777727</c:v>
                </c:pt>
                <c:pt idx="11">
                  <c:v>0.23999999999999952</c:v>
                </c:pt>
                <c:pt idx="12">
                  <c:v>0.24805555555555564</c:v>
                </c:pt>
                <c:pt idx="13">
                  <c:v>0.26326388888888885</c:v>
                </c:pt>
                <c:pt idx="14">
                  <c:v>0.23680555555555566</c:v>
                </c:pt>
                <c:pt idx="15">
                  <c:v>0.33531468531468528</c:v>
                </c:pt>
                <c:pt idx="16">
                  <c:v>0.39868055555555554</c:v>
                </c:pt>
                <c:pt idx="17">
                  <c:v>0.35138888888888981</c:v>
                </c:pt>
                <c:pt idx="18">
                  <c:v>0.2050694444444443</c:v>
                </c:pt>
                <c:pt idx="19">
                  <c:v>0.19999999999999951</c:v>
                </c:pt>
                <c:pt idx="20">
                  <c:v>0.20000000000000007</c:v>
                </c:pt>
                <c:pt idx="21">
                  <c:v>0.19999999999999979</c:v>
                </c:pt>
                <c:pt idx="22">
                  <c:v>0.21062500000000034</c:v>
                </c:pt>
                <c:pt idx="23">
                  <c:v>0.2122222222222222</c:v>
                </c:pt>
                <c:pt idx="24">
                  <c:v>0.21999999999999958</c:v>
                </c:pt>
                <c:pt idx="25">
                  <c:v>0.21444444444444499</c:v>
                </c:pt>
                <c:pt idx="26">
                  <c:v>0.2100000000000006</c:v>
                </c:pt>
                <c:pt idx="27">
                  <c:v>0.2100000000000006</c:v>
                </c:pt>
                <c:pt idx="28">
                  <c:v>0.21736111111111139</c:v>
                </c:pt>
                <c:pt idx="29">
                  <c:v>0.2793750000000001</c:v>
                </c:pt>
                <c:pt idx="30">
                  <c:v>0.28597222222222318</c:v>
                </c:pt>
                <c:pt idx="31">
                  <c:v>0.2713888888888889</c:v>
                </c:pt>
                <c:pt idx="32">
                  <c:v>0.27375000000000055</c:v>
                </c:pt>
                <c:pt idx="33">
                  <c:v>0.28916666666666668</c:v>
                </c:pt>
                <c:pt idx="34">
                  <c:v>0.5367361111111113</c:v>
                </c:pt>
                <c:pt idx="35">
                  <c:v>0.53645833333333326</c:v>
                </c:pt>
                <c:pt idx="36">
                  <c:v>0.51833333333333376</c:v>
                </c:pt>
                <c:pt idx="37">
                  <c:v>0.47729166666666611</c:v>
                </c:pt>
                <c:pt idx="38">
                  <c:v>0.46430555555555586</c:v>
                </c:pt>
                <c:pt idx="39">
                  <c:v>0.45000000000000012</c:v>
                </c:pt>
                <c:pt idx="40">
                  <c:v>0.38407079646017744</c:v>
                </c:pt>
                <c:pt idx="41">
                  <c:v>0.37694444444444375</c:v>
                </c:pt>
                <c:pt idx="42">
                  <c:v>0.36999999999999916</c:v>
                </c:pt>
                <c:pt idx="43">
                  <c:v>0.36715277777777749</c:v>
                </c:pt>
                <c:pt idx="44">
                  <c:v>0.36166666666666625</c:v>
                </c:pt>
                <c:pt idx="45">
                  <c:v>0.3599999999999996</c:v>
                </c:pt>
                <c:pt idx="46">
                  <c:v>0.3599999999999996</c:v>
                </c:pt>
                <c:pt idx="47">
                  <c:v>0.3599999999999996</c:v>
                </c:pt>
                <c:pt idx="48">
                  <c:v>0.3599999999999996</c:v>
                </c:pt>
                <c:pt idx="49">
                  <c:v>0.36909722222222136</c:v>
                </c:pt>
                <c:pt idx="50">
                  <c:v>0.36999999999999916</c:v>
                </c:pt>
                <c:pt idx="51">
                  <c:v>0.35972222222222228</c:v>
                </c:pt>
                <c:pt idx="52">
                  <c:v>0.3599999999999996</c:v>
                </c:pt>
                <c:pt idx="53">
                  <c:v>0.36923611111111043</c:v>
                </c:pt>
                <c:pt idx="54">
                  <c:v>0.36826388888888811</c:v>
                </c:pt>
                <c:pt idx="55">
                  <c:v>0.35937499999999956</c:v>
                </c:pt>
                <c:pt idx="56">
                  <c:v>0.34618055555555638</c:v>
                </c:pt>
                <c:pt idx="57">
                  <c:v>0.33263888888888943</c:v>
                </c:pt>
                <c:pt idx="58">
                  <c:v>0.31513888888888886</c:v>
                </c:pt>
                <c:pt idx="59">
                  <c:v>0.29277777777777697</c:v>
                </c:pt>
                <c:pt idx="60">
                  <c:v>0.27069444444444463</c:v>
                </c:pt>
                <c:pt idx="61">
                  <c:v>0.25458333333333361</c:v>
                </c:pt>
                <c:pt idx="62">
                  <c:v>0.23958333333333293</c:v>
                </c:pt>
                <c:pt idx="63">
                  <c:v>0.22909722222222248</c:v>
                </c:pt>
                <c:pt idx="64">
                  <c:v>0.21999999999999958</c:v>
                </c:pt>
                <c:pt idx="65">
                  <c:v>0.21999999999999958</c:v>
                </c:pt>
                <c:pt idx="66">
                  <c:v>0.21999999999999958</c:v>
                </c:pt>
                <c:pt idx="67">
                  <c:v>0.21999999999999958</c:v>
                </c:pt>
              </c:numCache>
            </c:numRef>
          </c:yVal>
          <c:smooth val="0"/>
          <c:extLst xmlns:c16r2="http://schemas.microsoft.com/office/drawing/2015/06/chart">
            <c:ext xmlns:c16="http://schemas.microsoft.com/office/drawing/2014/chart" uri="{C3380CC4-5D6E-409C-BE32-E72D297353CC}">
              <c16:uniqueId val="{00000000-D183-4043-BDA6-FF3589975BFE}"/>
            </c:ext>
          </c:extLst>
        </c:ser>
        <c:ser>
          <c:idx val="1"/>
          <c:order val="1"/>
          <c:tx>
            <c:strRef>
              <c:f>'Regres fig'!$N$74</c:f>
              <c:strCache>
                <c:ptCount val="1"/>
                <c:pt idx="0">
                  <c:v>NO CEW</c:v>
                </c:pt>
              </c:strCache>
            </c:strRef>
          </c:tx>
          <c:spPr>
            <a:ln w="28575">
              <a:noFill/>
            </a:ln>
          </c:spPr>
          <c:marker>
            <c:symbol val="circle"/>
            <c:size val="5"/>
            <c:spPr>
              <a:solidFill>
                <a:schemeClr val="tx2">
                  <a:lumMod val="60000"/>
                  <a:lumOff val="40000"/>
                </a:schemeClr>
              </a:solidFill>
              <a:ln w="9525">
                <a:solidFill>
                  <a:schemeClr val="tx2">
                    <a:lumMod val="60000"/>
                    <a:lumOff val="40000"/>
                  </a:schemeClr>
                </a:solidFill>
              </a:ln>
              <a:effectLst/>
            </c:spPr>
          </c:marker>
          <c:trendline>
            <c:spPr>
              <a:ln w="12700" cap="rnd">
                <a:solidFill>
                  <a:schemeClr val="tx2">
                    <a:lumMod val="60000"/>
                    <a:lumOff val="40000"/>
                  </a:schemeClr>
                </a:solidFill>
                <a:prstDash val="solid"/>
              </a:ln>
              <a:effectLst/>
            </c:spPr>
            <c:trendlineType val="linear"/>
            <c:dispRSqr val="1"/>
            <c:dispEq val="0"/>
            <c:trendlineLbl>
              <c:layout>
                <c:manualLayout>
                  <c:x val="0.18554669188046752"/>
                  <c:y val="-0.13689681034883283"/>
                </c:manualLayout>
              </c:layout>
              <c:numFmt formatCode="General" sourceLinked="0"/>
              <c:spPr>
                <a:noFill/>
                <a:ln>
                  <a:solidFill>
                    <a:schemeClr val="tx2">
                      <a:lumMod val="60000"/>
                      <a:lumOff val="40000"/>
                    </a:schemeClr>
                  </a:solidFill>
                </a:ln>
                <a:effectLst/>
              </c:spPr>
            </c:trendlineLbl>
          </c:trendline>
          <c:xVal>
            <c:numRef>
              <c:f>'Regres fig'!$D$2:$D$141</c:f>
              <c:numCache>
                <c:formatCode>0</c:formatCode>
                <c:ptCount val="140"/>
                <c:pt idx="0">
                  <c:v>1785.4449999999999</c:v>
                </c:pt>
                <c:pt idx="1">
                  <c:v>1669.155</c:v>
                </c:pt>
                <c:pt idx="2">
                  <c:v>1638.0540000000001</c:v>
                </c:pt>
                <c:pt idx="3">
                  <c:v>1893.4549999999999</c:v>
                </c:pt>
                <c:pt idx="4">
                  <c:v>1795.4929999999999</c:v>
                </c:pt>
                <c:pt idx="5">
                  <c:v>1750.7429999999999</c:v>
                </c:pt>
                <c:pt idx="6">
                  <c:v>1408.63</c:v>
                </c:pt>
                <c:pt idx="7">
                  <c:v>1244.2650000000001</c:v>
                </c:pt>
                <c:pt idx="8">
                  <c:v>994.97799999999995</c:v>
                </c:pt>
                <c:pt idx="9" formatCode="General">
                  <c:v>983.48900000000003</c:v>
                </c:pt>
                <c:pt idx="10" formatCode="General">
                  <c:v>1014.326</c:v>
                </c:pt>
                <c:pt idx="11" formatCode="General">
                  <c:v>828.90499999999997</c:v>
                </c:pt>
                <c:pt idx="12" formatCode="General">
                  <c:v>595.60400000000004</c:v>
                </c:pt>
                <c:pt idx="13" formatCode="General">
                  <c:v>3079.9580000000001</c:v>
                </c:pt>
                <c:pt idx="14" formatCode="General">
                  <c:v>1695.979</c:v>
                </c:pt>
                <c:pt idx="15" formatCode="General">
                  <c:v>752.84199999999998</c:v>
                </c:pt>
                <c:pt idx="16" formatCode="General">
                  <c:v>455.47199999999998</c:v>
                </c:pt>
                <c:pt idx="17" formatCode="General">
                  <c:v>337.13</c:v>
                </c:pt>
                <c:pt idx="18" formatCode="General">
                  <c:v>1936.6410000000001</c:v>
                </c:pt>
                <c:pt idx="19" formatCode="General">
                  <c:v>1962.403</c:v>
                </c:pt>
                <c:pt idx="20" formatCode="General">
                  <c:v>2011.9480000000001</c:v>
                </c:pt>
                <c:pt idx="21" formatCode="General">
                  <c:v>1959.954</c:v>
                </c:pt>
                <c:pt idx="22" formatCode="General">
                  <c:v>1610.356</c:v>
                </c:pt>
                <c:pt idx="23" formatCode="General">
                  <c:v>1404.492</c:v>
                </c:pt>
                <c:pt idx="24" formatCode="General">
                  <c:v>1306.7929999999999</c:v>
                </c:pt>
                <c:pt idx="25" formatCode="General">
                  <c:v>1308.192</c:v>
                </c:pt>
                <c:pt idx="26" formatCode="General">
                  <c:v>1318.4649999999999</c:v>
                </c:pt>
                <c:pt idx="27" formatCode="General">
                  <c:v>1303.5029999999999</c:v>
                </c:pt>
                <c:pt idx="28" formatCode="General">
                  <c:v>2251.0279999999998</c:v>
                </c:pt>
                <c:pt idx="29" formatCode="General">
                  <c:v>1256.3679999999999</c:v>
                </c:pt>
                <c:pt idx="30" formatCode="General">
                  <c:v>615.53099999999995</c:v>
                </c:pt>
                <c:pt idx="31" formatCode="General">
                  <c:v>443.52499999999998</c:v>
                </c:pt>
                <c:pt idx="32" formatCode="General">
                  <c:v>375.18599999999998</c:v>
                </c:pt>
                <c:pt idx="33" formatCode="General">
                  <c:v>566.38199999999995</c:v>
                </c:pt>
                <c:pt idx="34" formatCode="General">
                  <c:v>206.29499999999999</c:v>
                </c:pt>
                <c:pt idx="35" formatCode="General">
                  <c:v>210.41200000000001</c:v>
                </c:pt>
                <c:pt idx="36" formatCode="General">
                  <c:v>199.14400000000001</c:v>
                </c:pt>
                <c:pt idx="37" formatCode="General">
                  <c:v>192.499</c:v>
                </c:pt>
                <c:pt idx="38" formatCode="General">
                  <c:v>191.55199999999999</c:v>
                </c:pt>
                <c:pt idx="39" formatCode="General">
                  <c:v>187.929</c:v>
                </c:pt>
                <c:pt idx="40" formatCode="General">
                  <c:v>135.45400000000001</c:v>
                </c:pt>
                <c:pt idx="41" formatCode="General">
                  <c:v>115.087</c:v>
                </c:pt>
                <c:pt idx="42" formatCode="General">
                  <c:v>102.316</c:v>
                </c:pt>
                <c:pt idx="43" formatCode="General">
                  <c:v>90.864000000000004</c:v>
                </c:pt>
                <c:pt idx="44" formatCode="General">
                  <c:v>97.421000000000006</c:v>
                </c:pt>
                <c:pt idx="45" formatCode="General">
                  <c:v>95.23</c:v>
                </c:pt>
                <c:pt idx="46" formatCode="General">
                  <c:v>95.622</c:v>
                </c:pt>
                <c:pt idx="47" formatCode="General">
                  <c:v>94.448999999999998</c:v>
                </c:pt>
                <c:pt idx="48" formatCode="General">
                  <c:v>92.248000000000005</c:v>
                </c:pt>
                <c:pt idx="49" formatCode="General">
                  <c:v>92.236000000000004</c:v>
                </c:pt>
                <c:pt idx="50" formatCode="General">
                  <c:v>95.444999999999993</c:v>
                </c:pt>
                <c:pt idx="51" formatCode="General">
                  <c:v>131.465</c:v>
                </c:pt>
                <c:pt idx="52" formatCode="General">
                  <c:v>173.25200000000001</c:v>
                </c:pt>
                <c:pt idx="53" formatCode="General">
                  <c:v>176.81200000000001</c:v>
                </c:pt>
                <c:pt idx="54" formatCode="General">
                  <c:v>182.751</c:v>
                </c:pt>
                <c:pt idx="55" formatCode="General">
                  <c:v>191.18899999999999</c:v>
                </c:pt>
                <c:pt idx="56" formatCode="General">
                  <c:v>250.62700000000001</c:v>
                </c:pt>
                <c:pt idx="57" formatCode="General">
                  <c:v>265.59899999999999</c:v>
                </c:pt>
                <c:pt idx="58" formatCode="General">
                  <c:v>269.19900000000001</c:v>
                </c:pt>
                <c:pt idx="59" formatCode="General">
                  <c:v>334.79</c:v>
                </c:pt>
                <c:pt idx="60" formatCode="General">
                  <c:v>432.57799999999997</c:v>
                </c:pt>
                <c:pt idx="61" formatCode="General">
                  <c:v>445.94600000000003</c:v>
                </c:pt>
                <c:pt idx="62" formatCode="General">
                  <c:v>463.84</c:v>
                </c:pt>
                <c:pt idx="63" formatCode="General">
                  <c:v>534.91800000000001</c:v>
                </c:pt>
                <c:pt idx="64" formatCode="General">
                  <c:v>534.52800000000002</c:v>
                </c:pt>
                <c:pt idx="65" formatCode="General">
                  <c:v>538.48400000000004</c:v>
                </c:pt>
                <c:pt idx="66" formatCode="General">
                  <c:v>545.90800000000002</c:v>
                </c:pt>
                <c:pt idx="67" formatCode="General">
                  <c:v>463.48599999999999</c:v>
                </c:pt>
                <c:pt idx="72">
                  <c:v>107.455</c:v>
                </c:pt>
                <c:pt idx="73">
                  <c:v>289.55099999999999</c:v>
                </c:pt>
                <c:pt idx="74">
                  <c:v>372.815</c:v>
                </c:pt>
                <c:pt idx="75">
                  <c:v>347.69600000000003</c:v>
                </c:pt>
                <c:pt idx="76">
                  <c:v>358.79</c:v>
                </c:pt>
                <c:pt idx="77">
                  <c:v>366.89400000000001</c:v>
                </c:pt>
                <c:pt idx="78">
                  <c:v>403.221</c:v>
                </c:pt>
                <c:pt idx="79">
                  <c:v>404.54</c:v>
                </c:pt>
                <c:pt idx="80">
                  <c:v>535.43799999999999</c:v>
                </c:pt>
                <c:pt idx="81">
                  <c:v>740.02300000000002</c:v>
                </c:pt>
                <c:pt idx="82">
                  <c:v>863.39099999999996</c:v>
                </c:pt>
                <c:pt idx="83">
                  <c:v>1307.8869999999999</c:v>
                </c:pt>
                <c:pt idx="84">
                  <c:v>1568.9690000000001</c:v>
                </c:pt>
                <c:pt idx="85">
                  <c:v>1855.654</c:v>
                </c:pt>
                <c:pt idx="86">
                  <c:v>1799.5650000000001</c:v>
                </c:pt>
                <c:pt idx="87">
                  <c:v>1808.5150000000001</c:v>
                </c:pt>
                <c:pt idx="88">
                  <c:v>1817.0989999999999</c:v>
                </c:pt>
                <c:pt idx="89">
                  <c:v>1821.5119999999999</c:v>
                </c:pt>
                <c:pt idx="90" formatCode="General">
                  <c:v>447.16899999999998</c:v>
                </c:pt>
                <c:pt idx="91" formatCode="General">
                  <c:v>330.23500000000001</c:v>
                </c:pt>
                <c:pt idx="92" formatCode="General">
                  <c:v>225.82599999999999</c:v>
                </c:pt>
                <c:pt idx="93" formatCode="General">
                  <c:v>166.16900000000001</c:v>
                </c:pt>
                <c:pt idx="94" formatCode="General">
                  <c:v>84.879000000000005</c:v>
                </c:pt>
                <c:pt idx="95" formatCode="General">
                  <c:v>64.046999999999997</c:v>
                </c:pt>
                <c:pt idx="96" formatCode="General">
                  <c:v>48.598999999999997</c:v>
                </c:pt>
                <c:pt idx="97" formatCode="General">
                  <c:v>44.969000000000001</c:v>
                </c:pt>
                <c:pt idx="98" formatCode="General">
                  <c:v>41.039000000000001</c:v>
                </c:pt>
                <c:pt idx="99" formatCode="General">
                  <c:v>38.932000000000002</c:v>
                </c:pt>
                <c:pt idx="100" formatCode="General">
                  <c:v>37.255000000000003</c:v>
                </c:pt>
                <c:pt idx="101" formatCode="General">
                  <c:v>43.829000000000001</c:v>
                </c:pt>
                <c:pt idx="102" formatCode="General">
                  <c:v>69.665999999999997</c:v>
                </c:pt>
                <c:pt idx="103" formatCode="General">
                  <c:v>52.384</c:v>
                </c:pt>
                <c:pt idx="104" formatCode="General">
                  <c:v>53.417999999999999</c:v>
                </c:pt>
                <c:pt idx="105" formatCode="General">
                  <c:v>45.627000000000002</c:v>
                </c:pt>
                <c:pt idx="106" formatCode="General">
                  <c:v>86.766000000000005</c:v>
                </c:pt>
                <c:pt idx="107" formatCode="General">
                  <c:v>41.499000000000002</c:v>
                </c:pt>
                <c:pt idx="108" formatCode="General">
                  <c:v>22.83</c:v>
                </c:pt>
                <c:pt idx="109" formatCode="General">
                  <c:v>18.082000000000001</c:v>
                </c:pt>
                <c:pt idx="110" formatCode="General">
                  <c:v>14.612</c:v>
                </c:pt>
                <c:pt idx="111" formatCode="General">
                  <c:v>24.215</c:v>
                </c:pt>
                <c:pt idx="112" formatCode="General">
                  <c:v>31.334</c:v>
                </c:pt>
                <c:pt idx="113" formatCode="General">
                  <c:v>59.408000000000001</c:v>
                </c:pt>
                <c:pt idx="114" formatCode="General">
                  <c:v>70.561999999999998</c:v>
                </c:pt>
                <c:pt idx="115" formatCode="General">
                  <c:v>72.349999999999994</c:v>
                </c:pt>
                <c:pt idx="116" formatCode="General">
                  <c:v>51.923000000000002</c:v>
                </c:pt>
                <c:pt idx="117" formatCode="General">
                  <c:v>49.082000000000001</c:v>
                </c:pt>
                <c:pt idx="118" formatCode="General">
                  <c:v>41.55</c:v>
                </c:pt>
                <c:pt idx="119" formatCode="General">
                  <c:v>44.235999999999997</c:v>
                </c:pt>
                <c:pt idx="120" formatCode="General">
                  <c:v>32.811999999999998</c:v>
                </c:pt>
                <c:pt idx="121" formatCode="General">
                  <c:v>28.619</c:v>
                </c:pt>
                <c:pt idx="122" formatCode="General">
                  <c:v>18.631</c:v>
                </c:pt>
                <c:pt idx="123" formatCode="General">
                  <c:v>19.2</c:v>
                </c:pt>
                <c:pt idx="124" formatCode="General">
                  <c:v>16.337</c:v>
                </c:pt>
                <c:pt idx="125" formatCode="General">
                  <c:v>16.777999999999999</c:v>
                </c:pt>
                <c:pt idx="126" formatCode="General">
                  <c:v>21.890999999999998</c:v>
                </c:pt>
                <c:pt idx="127" formatCode="General">
                  <c:v>19.713000000000001</c:v>
                </c:pt>
                <c:pt idx="128" formatCode="General">
                  <c:v>13.455</c:v>
                </c:pt>
                <c:pt idx="129" formatCode="General">
                  <c:v>11.877000000000001</c:v>
                </c:pt>
                <c:pt idx="130" formatCode="General">
                  <c:v>29.731000000000002</c:v>
                </c:pt>
                <c:pt idx="131" formatCode="General">
                  <c:v>29.276</c:v>
                </c:pt>
                <c:pt idx="132" formatCode="General">
                  <c:v>21.966000000000001</c:v>
                </c:pt>
                <c:pt idx="133" formatCode="General">
                  <c:v>17.701000000000001</c:v>
                </c:pt>
                <c:pt idx="134" formatCode="General">
                  <c:v>26.023</c:v>
                </c:pt>
                <c:pt idx="135" formatCode="General">
                  <c:v>45.366999999999997</c:v>
                </c:pt>
                <c:pt idx="136" formatCode="General">
                  <c:v>41.652999999999999</c:v>
                </c:pt>
                <c:pt idx="137" formatCode="General">
                  <c:v>36.438000000000002</c:v>
                </c:pt>
                <c:pt idx="138" formatCode="General">
                  <c:v>33.887999999999998</c:v>
                </c:pt>
                <c:pt idx="139" formatCode="General">
                  <c:v>52.863999999999997</c:v>
                </c:pt>
              </c:numCache>
            </c:numRef>
          </c:xVal>
          <c:yVal>
            <c:numRef>
              <c:f>'Regres fig'!$G$74:$G$141</c:f>
              <c:numCache>
                <c:formatCode>0.00</c:formatCode>
                <c:ptCount val="68"/>
                <c:pt idx="0">
                  <c:v>0.77083333333333226</c:v>
                </c:pt>
                <c:pt idx="1">
                  <c:v>0.73756944444444528</c:v>
                </c:pt>
                <c:pt idx="2">
                  <c:v>0.63513888888888981</c:v>
                </c:pt>
                <c:pt idx="3">
                  <c:v>0.54430555555555515</c:v>
                </c:pt>
                <c:pt idx="4">
                  <c:v>0.42805555555555552</c:v>
                </c:pt>
                <c:pt idx="5">
                  <c:v>0.35062499999999985</c:v>
                </c:pt>
                <c:pt idx="6">
                  <c:v>0.31999999999999967</c:v>
                </c:pt>
                <c:pt idx="7">
                  <c:v>0.30569444444444482</c:v>
                </c:pt>
                <c:pt idx="8">
                  <c:v>0.28604166666666608</c:v>
                </c:pt>
                <c:pt idx="9">
                  <c:v>0.27006944444444447</c:v>
                </c:pt>
                <c:pt idx="10">
                  <c:v>0.24652777777777782</c:v>
                </c:pt>
                <c:pt idx="11">
                  <c:v>0.22826388888888915</c:v>
                </c:pt>
                <c:pt idx="12">
                  <c:v>0.21722222222222184</c:v>
                </c:pt>
                <c:pt idx="13">
                  <c:v>0.2100000000000006</c:v>
                </c:pt>
                <c:pt idx="14">
                  <c:v>0.2100000000000006</c:v>
                </c:pt>
                <c:pt idx="15">
                  <c:v>0.2100000000000006</c:v>
                </c:pt>
                <c:pt idx="16">
                  <c:v>0.2100000000000006</c:v>
                </c:pt>
                <c:pt idx="17">
                  <c:v>0.2100000000000006</c:v>
                </c:pt>
                <c:pt idx="18">
                  <c:v>0.445530303030304</c:v>
                </c:pt>
                <c:pt idx="19">
                  <c:v>0.43069444444444432</c:v>
                </c:pt>
                <c:pt idx="20">
                  <c:v>0.38493055555555561</c:v>
                </c:pt>
                <c:pt idx="21">
                  <c:v>0.36527777777777765</c:v>
                </c:pt>
                <c:pt idx="22">
                  <c:v>0.36708333333333254</c:v>
                </c:pt>
                <c:pt idx="23">
                  <c:v>0.37097222222222187</c:v>
                </c:pt>
                <c:pt idx="24">
                  <c:v>0.38541666666666713</c:v>
                </c:pt>
                <c:pt idx="25">
                  <c:v>0.39340277777777755</c:v>
                </c:pt>
                <c:pt idx="26">
                  <c:v>0.39999999999999902</c:v>
                </c:pt>
                <c:pt idx="27">
                  <c:v>0.40986111111110962</c:v>
                </c:pt>
                <c:pt idx="28">
                  <c:v>0.41937500000000122</c:v>
                </c:pt>
                <c:pt idx="29">
                  <c:v>0.43277777777777687</c:v>
                </c:pt>
                <c:pt idx="30">
                  <c:v>0.43999999999999917</c:v>
                </c:pt>
                <c:pt idx="31">
                  <c:v>0.43576388888888884</c:v>
                </c:pt>
                <c:pt idx="32">
                  <c:v>0.43805555555555459</c:v>
                </c:pt>
                <c:pt idx="33">
                  <c:v>0.44611111111111218</c:v>
                </c:pt>
                <c:pt idx="34">
                  <c:v>0.54020833333333385</c:v>
                </c:pt>
                <c:pt idx="35">
                  <c:v>0.54013888888888939</c:v>
                </c:pt>
                <c:pt idx="36">
                  <c:v>0.54763888888888834</c:v>
                </c:pt>
                <c:pt idx="37">
                  <c:v>0.54972222222222067</c:v>
                </c:pt>
                <c:pt idx="38">
                  <c:v>0.54999999999999849</c:v>
                </c:pt>
                <c:pt idx="39">
                  <c:v>0.55784722222222349</c:v>
                </c:pt>
                <c:pt idx="40">
                  <c:v>0.56000000000000116</c:v>
                </c:pt>
                <c:pt idx="41">
                  <c:v>0.56071428571428661</c:v>
                </c:pt>
                <c:pt idx="42">
                  <c:v>0.54201388888888902</c:v>
                </c:pt>
                <c:pt idx="43">
                  <c:v>0.51777777777777834</c:v>
                </c:pt>
                <c:pt idx="44">
                  <c:v>0.50618055555555541</c:v>
                </c:pt>
                <c:pt idx="45">
                  <c:v>0.49743055555555532</c:v>
                </c:pt>
                <c:pt idx="46">
                  <c:v>0.48708333333333326</c:v>
                </c:pt>
                <c:pt idx="47">
                  <c:v>0.48236111111111124</c:v>
                </c:pt>
                <c:pt idx="48">
                  <c:v>0.4900000000000001</c:v>
                </c:pt>
                <c:pt idx="49">
                  <c:v>0.49930555555555561</c:v>
                </c:pt>
                <c:pt idx="50">
                  <c:v>0.5</c:v>
                </c:pt>
                <c:pt idx="51">
                  <c:v>0.50784722222222212</c:v>
                </c:pt>
                <c:pt idx="52">
                  <c:v>0.51000000000000012</c:v>
                </c:pt>
                <c:pt idx="53">
                  <c:v>0.51875000000000082</c:v>
                </c:pt>
                <c:pt idx="54">
                  <c:v>0.52000000000000068</c:v>
                </c:pt>
                <c:pt idx="55">
                  <c:v>0.5236111111111118</c:v>
                </c:pt>
                <c:pt idx="56">
                  <c:v>0.52965277777777853</c:v>
                </c:pt>
                <c:pt idx="57">
                  <c:v>0.53812500000000052</c:v>
                </c:pt>
                <c:pt idx="58">
                  <c:v>0.54506944444444494</c:v>
                </c:pt>
                <c:pt idx="59">
                  <c:v>0.54090277777777851</c:v>
                </c:pt>
                <c:pt idx="60">
                  <c:v>0.54215277777777826</c:v>
                </c:pt>
                <c:pt idx="61">
                  <c:v>0.54944444444444296</c:v>
                </c:pt>
                <c:pt idx="62">
                  <c:v>0.55020833333333174</c:v>
                </c:pt>
                <c:pt idx="63">
                  <c:v>0.54423611111111203</c:v>
                </c:pt>
                <c:pt idx="64">
                  <c:v>0.53979166666666711</c:v>
                </c:pt>
                <c:pt idx="65">
                  <c:v>0.52784722222222236</c:v>
                </c:pt>
                <c:pt idx="66">
                  <c:v>0.52868055555555626</c:v>
                </c:pt>
                <c:pt idx="67">
                  <c:v>0.54354166666666537</c:v>
                </c:pt>
              </c:numCache>
            </c:numRef>
          </c:yVal>
          <c:smooth val="0"/>
          <c:extLst xmlns:c16r2="http://schemas.microsoft.com/office/drawing/2015/06/chart">
            <c:ext xmlns:c16="http://schemas.microsoft.com/office/drawing/2014/chart" uri="{C3380CC4-5D6E-409C-BE32-E72D297353CC}">
              <c16:uniqueId val="{00000001-D183-4043-BDA6-FF3589975BFE}"/>
            </c:ext>
          </c:extLst>
        </c:ser>
        <c:dLbls>
          <c:showLegendKey val="0"/>
          <c:showVal val="0"/>
          <c:showCatName val="0"/>
          <c:showSerName val="0"/>
          <c:showPercent val="0"/>
          <c:showBubbleSize val="0"/>
        </c:dLbls>
        <c:axId val="555616656"/>
        <c:axId val="555617048"/>
      </c:scatterChart>
      <c:valAx>
        <c:axId val="555616656"/>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55617048"/>
        <c:crosses val="autoZero"/>
        <c:crossBetween val="midCat"/>
      </c:valAx>
      <c:valAx>
        <c:axId val="555617048"/>
        <c:scaling>
          <c:orientation val="minMax"/>
          <c:max val="0.8"/>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AU"/>
                  <a:t>Conductivity (mS/cm)</a:t>
                </a:r>
              </a:p>
            </c:rich>
          </c:tx>
          <c:layout>
            <c:manualLayout>
              <c:xMode val="edge"/>
              <c:yMode val="edge"/>
              <c:x val="2.1901840978253095E-2"/>
              <c:y val="0.21493385959517075"/>
            </c:manualLayout>
          </c:layout>
          <c:overlay val="0"/>
          <c:spPr>
            <a:noFill/>
            <a:ln w="25400">
              <a:noFill/>
            </a:ln>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a:pPr>
            <a:endParaRPr lang="en-US"/>
          </a:p>
        </c:txPr>
        <c:crossAx val="555616656"/>
        <c:crosses val="autoZero"/>
        <c:crossBetween val="midCat"/>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Arial" panose="020B0604020202020204" pitchFamily="34" charset="0"/>
          <a:ea typeface="Calibri"/>
          <a:cs typeface="Arial" panose="020B0604020202020204" pitchFamily="34"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AU" sz="1000"/>
              <a:t>(e)</a:t>
            </a:r>
          </a:p>
        </c:rich>
      </c:tx>
      <c:layout>
        <c:manualLayout>
          <c:xMode val="edge"/>
          <c:yMode val="edge"/>
          <c:x val="0.18835322195704055"/>
          <c:y val="3.7303490540900611E-2"/>
        </c:manualLayout>
      </c:layout>
      <c:overlay val="0"/>
    </c:title>
    <c:autoTitleDeleted val="0"/>
    <c:plotArea>
      <c:layout>
        <c:manualLayout>
          <c:layoutTarget val="inner"/>
          <c:xMode val="edge"/>
          <c:yMode val="edge"/>
          <c:x val="0.18766542010410991"/>
          <c:y val="3.8562745604041694E-2"/>
          <c:w val="0.72584932253396728"/>
          <c:h val="0.7857667301391249"/>
        </c:manualLayout>
      </c:layout>
      <c:scatterChart>
        <c:scatterStyle val="lineMarker"/>
        <c:varyColors val="0"/>
        <c:ser>
          <c:idx val="0"/>
          <c:order val="0"/>
          <c:tx>
            <c:strRef>
              <c:f>'Regres fig'!$N$2</c:f>
              <c:strCache>
                <c:ptCount val="1"/>
                <c:pt idx="0">
                  <c:v>CEW</c:v>
                </c:pt>
              </c:strCache>
            </c:strRef>
          </c:tx>
          <c:spPr>
            <a:ln w="28575">
              <a:noFill/>
            </a:ln>
          </c:spPr>
          <c:marker>
            <c:symbol val="square"/>
            <c:size val="5"/>
            <c:spPr>
              <a:solidFill>
                <a:srgbClr val="CC3300"/>
              </a:solidFill>
              <a:ln w="9525">
                <a:solidFill>
                  <a:srgbClr val="CC3300"/>
                </a:solidFill>
              </a:ln>
              <a:effectLst/>
            </c:spPr>
          </c:marker>
          <c:trendline>
            <c:spPr>
              <a:ln w="3175" cap="rnd">
                <a:solidFill>
                  <a:schemeClr val="tx1"/>
                </a:solidFill>
                <a:prstDash val="solid"/>
              </a:ln>
              <a:effectLst/>
            </c:spPr>
            <c:trendlineType val="linear"/>
            <c:dispRSqr val="0"/>
            <c:dispEq val="0"/>
          </c:trendline>
          <c:trendline>
            <c:spPr>
              <a:ln w="19050" cap="rnd">
                <a:solidFill>
                  <a:srgbClr val="CC3300"/>
                </a:solidFill>
                <a:prstDash val="sysDot"/>
              </a:ln>
              <a:effectLst/>
            </c:spPr>
            <c:trendlineType val="linear"/>
            <c:dispRSqr val="1"/>
            <c:dispEq val="0"/>
            <c:trendlineLbl>
              <c:layout>
                <c:manualLayout>
                  <c:x val="0.1783545374250653"/>
                  <c:y val="0.13865694845698245"/>
                </c:manualLayout>
              </c:layout>
              <c:numFmt formatCode="General" sourceLinked="0"/>
              <c:spPr>
                <a:noFill/>
                <a:ln>
                  <a:solidFill>
                    <a:srgbClr val="CC3300"/>
                  </a:solidFill>
                </a:ln>
                <a:effectLst/>
              </c:spPr>
            </c:trendlineLbl>
          </c:trendline>
          <c:xVal>
            <c:numRef>
              <c:f>'Regres fig'!$D$2:$D$141</c:f>
              <c:numCache>
                <c:formatCode>0</c:formatCode>
                <c:ptCount val="140"/>
                <c:pt idx="0">
                  <c:v>1785.4449999999999</c:v>
                </c:pt>
                <c:pt idx="1">
                  <c:v>1669.155</c:v>
                </c:pt>
                <c:pt idx="2">
                  <c:v>1638.0540000000001</c:v>
                </c:pt>
                <c:pt idx="3">
                  <c:v>1893.4549999999999</c:v>
                </c:pt>
                <c:pt idx="4">
                  <c:v>1795.4929999999999</c:v>
                </c:pt>
                <c:pt idx="5">
                  <c:v>1750.7429999999999</c:v>
                </c:pt>
                <c:pt idx="6">
                  <c:v>1408.63</c:v>
                </c:pt>
                <c:pt idx="7">
                  <c:v>1244.2650000000001</c:v>
                </c:pt>
                <c:pt idx="8">
                  <c:v>994.97799999999995</c:v>
                </c:pt>
                <c:pt idx="9" formatCode="General">
                  <c:v>983.48900000000003</c:v>
                </c:pt>
                <c:pt idx="10" formatCode="General">
                  <c:v>1014.326</c:v>
                </c:pt>
                <c:pt idx="11" formatCode="General">
                  <c:v>828.90499999999997</c:v>
                </c:pt>
                <c:pt idx="12" formatCode="General">
                  <c:v>595.60400000000004</c:v>
                </c:pt>
                <c:pt idx="13" formatCode="General">
                  <c:v>3079.9580000000001</c:v>
                </c:pt>
                <c:pt idx="14" formatCode="General">
                  <c:v>1695.979</c:v>
                </c:pt>
                <c:pt idx="15" formatCode="General">
                  <c:v>752.84199999999998</c:v>
                </c:pt>
                <c:pt idx="16" formatCode="General">
                  <c:v>455.47199999999998</c:v>
                </c:pt>
                <c:pt idx="17" formatCode="General">
                  <c:v>337.13</c:v>
                </c:pt>
                <c:pt idx="18" formatCode="General">
                  <c:v>1936.6410000000001</c:v>
                </c:pt>
                <c:pt idx="19" formatCode="General">
                  <c:v>1962.403</c:v>
                </c:pt>
                <c:pt idx="20" formatCode="General">
                  <c:v>2011.9480000000001</c:v>
                </c:pt>
                <c:pt idx="21" formatCode="General">
                  <c:v>1959.954</c:v>
                </c:pt>
                <c:pt idx="22" formatCode="General">
                  <c:v>1610.356</c:v>
                </c:pt>
                <c:pt idx="23" formatCode="General">
                  <c:v>1404.492</c:v>
                </c:pt>
                <c:pt idx="24" formatCode="General">
                  <c:v>1306.7929999999999</c:v>
                </c:pt>
                <c:pt idx="25" formatCode="General">
                  <c:v>1308.192</c:v>
                </c:pt>
                <c:pt idx="26" formatCode="General">
                  <c:v>1318.4649999999999</c:v>
                </c:pt>
                <c:pt idx="27" formatCode="General">
                  <c:v>1303.5029999999999</c:v>
                </c:pt>
                <c:pt idx="28" formatCode="General">
                  <c:v>2251.0279999999998</c:v>
                </c:pt>
                <c:pt idx="29" formatCode="General">
                  <c:v>1256.3679999999999</c:v>
                </c:pt>
                <c:pt idx="30" formatCode="General">
                  <c:v>615.53099999999995</c:v>
                </c:pt>
                <c:pt idx="31" formatCode="General">
                  <c:v>443.52499999999998</c:v>
                </c:pt>
                <c:pt idx="32" formatCode="General">
                  <c:v>375.18599999999998</c:v>
                </c:pt>
                <c:pt idx="33" formatCode="General">
                  <c:v>566.38199999999995</c:v>
                </c:pt>
                <c:pt idx="34" formatCode="General">
                  <c:v>206.29499999999999</c:v>
                </c:pt>
                <c:pt idx="35" formatCode="General">
                  <c:v>210.41200000000001</c:v>
                </c:pt>
                <c:pt idx="36" formatCode="General">
                  <c:v>199.14400000000001</c:v>
                </c:pt>
                <c:pt idx="37" formatCode="General">
                  <c:v>192.499</c:v>
                </c:pt>
                <c:pt idx="38" formatCode="General">
                  <c:v>191.55199999999999</c:v>
                </c:pt>
                <c:pt idx="39" formatCode="General">
                  <c:v>187.929</c:v>
                </c:pt>
                <c:pt idx="40" formatCode="General">
                  <c:v>135.45400000000001</c:v>
                </c:pt>
                <c:pt idx="41" formatCode="General">
                  <c:v>115.087</c:v>
                </c:pt>
                <c:pt idx="42" formatCode="General">
                  <c:v>102.316</c:v>
                </c:pt>
                <c:pt idx="43" formatCode="General">
                  <c:v>90.864000000000004</c:v>
                </c:pt>
                <c:pt idx="44" formatCode="General">
                  <c:v>97.421000000000006</c:v>
                </c:pt>
                <c:pt idx="45" formatCode="General">
                  <c:v>95.23</c:v>
                </c:pt>
                <c:pt idx="46" formatCode="General">
                  <c:v>95.622</c:v>
                </c:pt>
                <c:pt idx="47" formatCode="General">
                  <c:v>94.448999999999998</c:v>
                </c:pt>
                <c:pt idx="48" formatCode="General">
                  <c:v>92.248000000000005</c:v>
                </c:pt>
                <c:pt idx="49" formatCode="General">
                  <c:v>92.236000000000004</c:v>
                </c:pt>
                <c:pt idx="50" formatCode="General">
                  <c:v>95.444999999999993</c:v>
                </c:pt>
                <c:pt idx="51" formatCode="General">
                  <c:v>131.465</c:v>
                </c:pt>
                <c:pt idx="52" formatCode="General">
                  <c:v>173.25200000000001</c:v>
                </c:pt>
                <c:pt idx="53" formatCode="General">
                  <c:v>176.81200000000001</c:v>
                </c:pt>
                <c:pt idx="54" formatCode="General">
                  <c:v>182.751</c:v>
                </c:pt>
                <c:pt idx="55" formatCode="General">
                  <c:v>191.18899999999999</c:v>
                </c:pt>
                <c:pt idx="56" formatCode="General">
                  <c:v>250.62700000000001</c:v>
                </c:pt>
                <c:pt idx="57" formatCode="General">
                  <c:v>265.59899999999999</c:v>
                </c:pt>
                <c:pt idx="58" formatCode="General">
                  <c:v>269.19900000000001</c:v>
                </c:pt>
                <c:pt idx="59" formatCode="General">
                  <c:v>334.79</c:v>
                </c:pt>
                <c:pt idx="60" formatCode="General">
                  <c:v>432.57799999999997</c:v>
                </c:pt>
                <c:pt idx="61" formatCode="General">
                  <c:v>445.94600000000003</c:v>
                </c:pt>
                <c:pt idx="62" formatCode="General">
                  <c:v>463.84</c:v>
                </c:pt>
                <c:pt idx="63" formatCode="General">
                  <c:v>534.91800000000001</c:v>
                </c:pt>
                <c:pt idx="64" formatCode="General">
                  <c:v>534.52800000000002</c:v>
                </c:pt>
                <c:pt idx="65" formatCode="General">
                  <c:v>538.48400000000004</c:v>
                </c:pt>
                <c:pt idx="66" formatCode="General">
                  <c:v>545.90800000000002</c:v>
                </c:pt>
                <c:pt idx="67" formatCode="General">
                  <c:v>463.48599999999999</c:v>
                </c:pt>
                <c:pt idx="72">
                  <c:v>107.455</c:v>
                </c:pt>
                <c:pt idx="73">
                  <c:v>289.55099999999999</c:v>
                </c:pt>
                <c:pt idx="74">
                  <c:v>372.815</c:v>
                </c:pt>
                <c:pt idx="75">
                  <c:v>347.69600000000003</c:v>
                </c:pt>
                <c:pt idx="76">
                  <c:v>358.79</c:v>
                </c:pt>
                <c:pt idx="77">
                  <c:v>366.89400000000001</c:v>
                </c:pt>
                <c:pt idx="78">
                  <c:v>403.221</c:v>
                </c:pt>
                <c:pt idx="79">
                  <c:v>404.54</c:v>
                </c:pt>
                <c:pt idx="80">
                  <c:v>535.43799999999999</c:v>
                </c:pt>
                <c:pt idx="81">
                  <c:v>740.02300000000002</c:v>
                </c:pt>
                <c:pt idx="82">
                  <c:v>863.39099999999996</c:v>
                </c:pt>
                <c:pt idx="83">
                  <c:v>1307.8869999999999</c:v>
                </c:pt>
                <c:pt idx="84">
                  <c:v>1568.9690000000001</c:v>
                </c:pt>
                <c:pt idx="85">
                  <c:v>1855.654</c:v>
                </c:pt>
                <c:pt idx="86">
                  <c:v>1799.5650000000001</c:v>
                </c:pt>
                <c:pt idx="87">
                  <c:v>1808.5150000000001</c:v>
                </c:pt>
                <c:pt idx="88">
                  <c:v>1817.0989999999999</c:v>
                </c:pt>
                <c:pt idx="89">
                  <c:v>1821.5119999999999</c:v>
                </c:pt>
                <c:pt idx="90" formatCode="General">
                  <c:v>447.16899999999998</c:v>
                </c:pt>
                <c:pt idx="91" formatCode="General">
                  <c:v>330.23500000000001</c:v>
                </c:pt>
                <c:pt idx="92" formatCode="General">
                  <c:v>225.82599999999999</c:v>
                </c:pt>
                <c:pt idx="93" formatCode="General">
                  <c:v>166.16900000000001</c:v>
                </c:pt>
                <c:pt idx="94" formatCode="General">
                  <c:v>84.879000000000005</c:v>
                </c:pt>
                <c:pt idx="95" formatCode="General">
                  <c:v>64.046999999999997</c:v>
                </c:pt>
                <c:pt idx="96" formatCode="General">
                  <c:v>48.598999999999997</c:v>
                </c:pt>
                <c:pt idx="97" formatCode="General">
                  <c:v>44.969000000000001</c:v>
                </c:pt>
                <c:pt idx="98" formatCode="General">
                  <c:v>41.039000000000001</c:v>
                </c:pt>
                <c:pt idx="99" formatCode="General">
                  <c:v>38.932000000000002</c:v>
                </c:pt>
                <c:pt idx="100" formatCode="General">
                  <c:v>37.255000000000003</c:v>
                </c:pt>
                <c:pt idx="101" formatCode="General">
                  <c:v>43.829000000000001</c:v>
                </c:pt>
                <c:pt idx="102" formatCode="General">
                  <c:v>69.665999999999997</c:v>
                </c:pt>
                <c:pt idx="103" formatCode="General">
                  <c:v>52.384</c:v>
                </c:pt>
                <c:pt idx="104" formatCode="General">
                  <c:v>53.417999999999999</c:v>
                </c:pt>
                <c:pt idx="105" formatCode="General">
                  <c:v>45.627000000000002</c:v>
                </c:pt>
                <c:pt idx="106" formatCode="General">
                  <c:v>86.766000000000005</c:v>
                </c:pt>
                <c:pt idx="107" formatCode="General">
                  <c:v>41.499000000000002</c:v>
                </c:pt>
                <c:pt idx="108" formatCode="General">
                  <c:v>22.83</c:v>
                </c:pt>
                <c:pt idx="109" formatCode="General">
                  <c:v>18.082000000000001</c:v>
                </c:pt>
                <c:pt idx="110" formatCode="General">
                  <c:v>14.612</c:v>
                </c:pt>
                <c:pt idx="111" formatCode="General">
                  <c:v>24.215</c:v>
                </c:pt>
                <c:pt idx="112" formatCode="General">
                  <c:v>31.334</c:v>
                </c:pt>
                <c:pt idx="113" formatCode="General">
                  <c:v>59.408000000000001</c:v>
                </c:pt>
                <c:pt idx="114" formatCode="General">
                  <c:v>70.561999999999998</c:v>
                </c:pt>
                <c:pt idx="115" formatCode="General">
                  <c:v>72.349999999999994</c:v>
                </c:pt>
                <c:pt idx="116" formatCode="General">
                  <c:v>51.923000000000002</c:v>
                </c:pt>
                <c:pt idx="117" formatCode="General">
                  <c:v>49.082000000000001</c:v>
                </c:pt>
                <c:pt idx="118" formatCode="General">
                  <c:v>41.55</c:v>
                </c:pt>
                <c:pt idx="119" formatCode="General">
                  <c:v>44.235999999999997</c:v>
                </c:pt>
                <c:pt idx="120" formatCode="General">
                  <c:v>32.811999999999998</c:v>
                </c:pt>
                <c:pt idx="121" formatCode="General">
                  <c:v>28.619</c:v>
                </c:pt>
                <c:pt idx="122" formatCode="General">
                  <c:v>18.631</c:v>
                </c:pt>
                <c:pt idx="123" formatCode="General">
                  <c:v>19.2</c:v>
                </c:pt>
                <c:pt idx="124" formatCode="General">
                  <c:v>16.337</c:v>
                </c:pt>
                <c:pt idx="125" formatCode="General">
                  <c:v>16.777999999999999</c:v>
                </c:pt>
                <c:pt idx="126" formatCode="General">
                  <c:v>21.890999999999998</c:v>
                </c:pt>
                <c:pt idx="127" formatCode="General">
                  <c:v>19.713000000000001</c:v>
                </c:pt>
                <c:pt idx="128" formatCode="General">
                  <c:v>13.455</c:v>
                </c:pt>
                <c:pt idx="129" formatCode="General">
                  <c:v>11.877000000000001</c:v>
                </c:pt>
                <c:pt idx="130" formatCode="General">
                  <c:v>29.731000000000002</c:v>
                </c:pt>
                <c:pt idx="131" formatCode="General">
                  <c:v>29.276</c:v>
                </c:pt>
                <c:pt idx="132" formatCode="General">
                  <c:v>21.966000000000001</c:v>
                </c:pt>
                <c:pt idx="133" formatCode="General">
                  <c:v>17.701000000000001</c:v>
                </c:pt>
                <c:pt idx="134" formatCode="General">
                  <c:v>26.023</c:v>
                </c:pt>
                <c:pt idx="135" formatCode="General">
                  <c:v>45.366999999999997</c:v>
                </c:pt>
                <c:pt idx="136" formatCode="General">
                  <c:v>41.652999999999999</c:v>
                </c:pt>
                <c:pt idx="137" formatCode="General">
                  <c:v>36.438000000000002</c:v>
                </c:pt>
                <c:pt idx="138" formatCode="General">
                  <c:v>33.887999999999998</c:v>
                </c:pt>
                <c:pt idx="139" formatCode="General">
                  <c:v>52.863999999999997</c:v>
                </c:pt>
              </c:numCache>
            </c:numRef>
          </c:xVal>
          <c:yVal>
            <c:numRef>
              <c:f>'Regres fig'!$L$2:$L$69</c:f>
              <c:numCache>
                <c:formatCode>0.00</c:formatCode>
                <c:ptCount val="68"/>
                <c:pt idx="0">
                  <c:v>7.4333333333333336</c:v>
                </c:pt>
                <c:pt idx="1">
                  <c:v>7.526319444444443</c:v>
                </c:pt>
                <c:pt idx="2">
                  <c:v>7.5306250000000023</c:v>
                </c:pt>
                <c:pt idx="3">
                  <c:v>7.4270833333333268</c:v>
                </c:pt>
                <c:pt idx="4">
                  <c:v>7.4952777777777708</c:v>
                </c:pt>
                <c:pt idx="5">
                  <c:v>7.5784722222222189</c:v>
                </c:pt>
                <c:pt idx="6">
                  <c:v>7.5256944444444498</c:v>
                </c:pt>
                <c:pt idx="7">
                  <c:v>7.4049999999999994</c:v>
                </c:pt>
                <c:pt idx="8">
                  <c:v>7.1622916666666709</c:v>
                </c:pt>
                <c:pt idx="9">
                  <c:v>6.9966666666666697</c:v>
                </c:pt>
                <c:pt idx="10">
                  <c:v>6.8867361111111158</c:v>
                </c:pt>
                <c:pt idx="11">
                  <c:v>7.0959722222222243</c:v>
                </c:pt>
                <c:pt idx="12">
                  <c:v>6.8506944444444455</c:v>
                </c:pt>
                <c:pt idx="13">
                  <c:v>6.697777777777782</c:v>
                </c:pt>
                <c:pt idx="14">
                  <c:v>6.5640972222222249</c:v>
                </c:pt>
                <c:pt idx="15">
                  <c:v>6.2457342657342672</c:v>
                </c:pt>
                <c:pt idx="16">
                  <c:v>6.0279861111111099</c:v>
                </c:pt>
                <c:pt idx="17">
                  <c:v>5.5584722222222194</c:v>
                </c:pt>
                <c:pt idx="18">
                  <c:v>7.5013194444444418</c:v>
                </c:pt>
                <c:pt idx="19">
                  <c:v>7.488125000000001</c:v>
                </c:pt>
                <c:pt idx="20">
                  <c:v>7.5888000000000027</c:v>
                </c:pt>
                <c:pt idx="21">
                  <c:v>7.0084126984127044</c:v>
                </c:pt>
                <c:pt idx="22">
                  <c:v>7.1815972222222184</c:v>
                </c:pt>
                <c:pt idx="23">
                  <c:v>7.0399305555555571</c:v>
                </c:pt>
                <c:pt idx="24">
                  <c:v>7.1988194444444407</c:v>
                </c:pt>
                <c:pt idx="25">
                  <c:v>7.0869444444444447</c:v>
                </c:pt>
                <c:pt idx="26">
                  <c:v>7.3057638888888867</c:v>
                </c:pt>
                <c:pt idx="27">
                  <c:v>7.209583333333331</c:v>
                </c:pt>
                <c:pt idx="28">
                  <c:v>6.7763888888888895</c:v>
                </c:pt>
                <c:pt idx="29">
                  <c:v>6.2641666666666653</c:v>
                </c:pt>
                <c:pt idx="30">
                  <c:v>6.0629166666666743</c:v>
                </c:pt>
                <c:pt idx="31">
                  <c:v>5.9128472222222239</c:v>
                </c:pt>
                <c:pt idx="32">
                  <c:v>5.9461805555555571</c:v>
                </c:pt>
                <c:pt idx="33">
                  <c:v>5.9958333333333336</c:v>
                </c:pt>
                <c:pt idx="34">
                  <c:v>6.9191666666666718</c:v>
                </c:pt>
                <c:pt idx="35">
                  <c:v>7.1402083333333319</c:v>
                </c:pt>
                <c:pt idx="36">
                  <c:v>7.2467361111111082</c:v>
                </c:pt>
                <c:pt idx="37">
                  <c:v>7.4235416666666696</c:v>
                </c:pt>
                <c:pt idx="38">
                  <c:v>7.3794444444444496</c:v>
                </c:pt>
                <c:pt idx="39">
                  <c:v>7.4191666666666682</c:v>
                </c:pt>
                <c:pt idx="40">
                  <c:v>7.7098230088495621</c:v>
                </c:pt>
                <c:pt idx="41">
                  <c:v>7.8030555555555496</c:v>
                </c:pt>
                <c:pt idx="42">
                  <c:v>7.9607638888888896</c:v>
                </c:pt>
                <c:pt idx="43">
                  <c:v>8.0571527777777696</c:v>
                </c:pt>
                <c:pt idx="44">
                  <c:v>8.1031944444444424</c:v>
                </c:pt>
                <c:pt idx="45">
                  <c:v>8.0501388888888954</c:v>
                </c:pt>
                <c:pt idx="46">
                  <c:v>8.2269444444444435</c:v>
                </c:pt>
                <c:pt idx="47">
                  <c:v>8.3340972222222192</c:v>
                </c:pt>
                <c:pt idx="48">
                  <c:v>8.4443750000000026</c:v>
                </c:pt>
                <c:pt idx="49">
                  <c:v>8.3394444444444513</c:v>
                </c:pt>
                <c:pt idx="50">
                  <c:v>7.4488194444444451</c:v>
                </c:pt>
                <c:pt idx="51">
                  <c:v>7.3547222222222262</c:v>
                </c:pt>
                <c:pt idx="52">
                  <c:v>7.5954166666666634</c:v>
                </c:pt>
                <c:pt idx="53">
                  <c:v>8.239861111111118</c:v>
                </c:pt>
                <c:pt idx="54">
                  <c:v>8.3088888888888874</c:v>
                </c:pt>
                <c:pt idx="55">
                  <c:v>8.4024305555555596</c:v>
                </c:pt>
                <c:pt idx="56">
                  <c:v>8.1598611111111072</c:v>
                </c:pt>
                <c:pt idx="57">
                  <c:v>8.1808333333333376</c:v>
                </c:pt>
                <c:pt idx="58">
                  <c:v>7.735138888888887</c:v>
                </c:pt>
                <c:pt idx="59">
                  <c:v>7.9603472222222234</c:v>
                </c:pt>
                <c:pt idx="60">
                  <c:v>8.1196527777777785</c:v>
                </c:pt>
                <c:pt idx="61">
                  <c:v>8.4971527777777816</c:v>
                </c:pt>
                <c:pt idx="62">
                  <c:v>8.6717361111111089</c:v>
                </c:pt>
                <c:pt idx="63">
                  <c:v>8.811736111111113</c:v>
                </c:pt>
                <c:pt idx="64">
                  <c:v>8.9580555555555534</c:v>
                </c:pt>
                <c:pt idx="65">
                  <c:v>9.0069444444444429</c:v>
                </c:pt>
                <c:pt idx="66">
                  <c:v>9.0215277777777736</c:v>
                </c:pt>
                <c:pt idx="67">
                  <c:v>8.9002083333333299</c:v>
                </c:pt>
              </c:numCache>
            </c:numRef>
          </c:yVal>
          <c:smooth val="0"/>
          <c:extLst xmlns:c16r2="http://schemas.microsoft.com/office/drawing/2015/06/chart">
            <c:ext xmlns:c16="http://schemas.microsoft.com/office/drawing/2014/chart" uri="{C3380CC4-5D6E-409C-BE32-E72D297353CC}">
              <c16:uniqueId val="{00000000-7AAA-468F-BE55-BDD0EA0F4294}"/>
            </c:ext>
          </c:extLst>
        </c:ser>
        <c:ser>
          <c:idx val="1"/>
          <c:order val="1"/>
          <c:tx>
            <c:strRef>
              <c:f>'Regres fig'!$N$74</c:f>
              <c:strCache>
                <c:ptCount val="1"/>
                <c:pt idx="0">
                  <c:v>NO CEW</c:v>
                </c:pt>
              </c:strCache>
            </c:strRef>
          </c:tx>
          <c:spPr>
            <a:ln w="28575">
              <a:noFill/>
            </a:ln>
          </c:spPr>
          <c:marker>
            <c:symbol val="circle"/>
            <c:size val="5"/>
            <c:spPr>
              <a:solidFill>
                <a:schemeClr val="tx2">
                  <a:lumMod val="60000"/>
                  <a:lumOff val="40000"/>
                </a:schemeClr>
              </a:solidFill>
              <a:ln w="9525">
                <a:solidFill>
                  <a:schemeClr val="tx2">
                    <a:lumMod val="60000"/>
                    <a:lumOff val="40000"/>
                  </a:schemeClr>
                </a:solidFill>
              </a:ln>
              <a:effectLst/>
            </c:spPr>
          </c:marker>
          <c:trendline>
            <c:spPr>
              <a:ln w="12700" cap="rnd">
                <a:solidFill>
                  <a:schemeClr val="tx2">
                    <a:lumMod val="60000"/>
                    <a:lumOff val="40000"/>
                  </a:schemeClr>
                </a:solidFill>
                <a:prstDash val="solid"/>
              </a:ln>
              <a:effectLst/>
            </c:spPr>
            <c:trendlineType val="linear"/>
            <c:dispRSqr val="1"/>
            <c:dispEq val="0"/>
            <c:trendlineLbl>
              <c:layout>
                <c:manualLayout>
                  <c:x val="0.1783545374250653"/>
                  <c:y val="-0.10229422761003795"/>
                </c:manualLayout>
              </c:layout>
              <c:numFmt formatCode="General" sourceLinked="0"/>
              <c:spPr>
                <a:noFill/>
                <a:ln>
                  <a:solidFill>
                    <a:schemeClr val="tx2">
                      <a:lumMod val="60000"/>
                      <a:lumOff val="40000"/>
                    </a:schemeClr>
                  </a:solidFill>
                </a:ln>
                <a:effectLst/>
              </c:spPr>
            </c:trendlineLbl>
          </c:trendline>
          <c:xVal>
            <c:numRef>
              <c:f>'Regres fig'!$D$2:$D$141</c:f>
              <c:numCache>
                <c:formatCode>0</c:formatCode>
                <c:ptCount val="140"/>
                <c:pt idx="0">
                  <c:v>1785.4449999999999</c:v>
                </c:pt>
                <c:pt idx="1">
                  <c:v>1669.155</c:v>
                </c:pt>
                <c:pt idx="2">
                  <c:v>1638.0540000000001</c:v>
                </c:pt>
                <c:pt idx="3">
                  <c:v>1893.4549999999999</c:v>
                </c:pt>
                <c:pt idx="4">
                  <c:v>1795.4929999999999</c:v>
                </c:pt>
                <c:pt idx="5">
                  <c:v>1750.7429999999999</c:v>
                </c:pt>
                <c:pt idx="6">
                  <c:v>1408.63</c:v>
                </c:pt>
                <c:pt idx="7">
                  <c:v>1244.2650000000001</c:v>
                </c:pt>
                <c:pt idx="8">
                  <c:v>994.97799999999995</c:v>
                </c:pt>
                <c:pt idx="9" formatCode="General">
                  <c:v>983.48900000000003</c:v>
                </c:pt>
                <c:pt idx="10" formatCode="General">
                  <c:v>1014.326</c:v>
                </c:pt>
                <c:pt idx="11" formatCode="General">
                  <c:v>828.90499999999997</c:v>
                </c:pt>
                <c:pt idx="12" formatCode="General">
                  <c:v>595.60400000000004</c:v>
                </c:pt>
                <c:pt idx="13" formatCode="General">
                  <c:v>3079.9580000000001</c:v>
                </c:pt>
                <c:pt idx="14" formatCode="General">
                  <c:v>1695.979</c:v>
                </c:pt>
                <c:pt idx="15" formatCode="General">
                  <c:v>752.84199999999998</c:v>
                </c:pt>
                <c:pt idx="16" formatCode="General">
                  <c:v>455.47199999999998</c:v>
                </c:pt>
                <c:pt idx="17" formatCode="General">
                  <c:v>337.13</c:v>
                </c:pt>
                <c:pt idx="18" formatCode="General">
                  <c:v>1936.6410000000001</c:v>
                </c:pt>
                <c:pt idx="19" formatCode="General">
                  <c:v>1962.403</c:v>
                </c:pt>
                <c:pt idx="20" formatCode="General">
                  <c:v>2011.9480000000001</c:v>
                </c:pt>
                <c:pt idx="21" formatCode="General">
                  <c:v>1959.954</c:v>
                </c:pt>
                <c:pt idx="22" formatCode="General">
                  <c:v>1610.356</c:v>
                </c:pt>
                <c:pt idx="23" formatCode="General">
                  <c:v>1404.492</c:v>
                </c:pt>
                <c:pt idx="24" formatCode="General">
                  <c:v>1306.7929999999999</c:v>
                </c:pt>
                <c:pt idx="25" formatCode="General">
                  <c:v>1308.192</c:v>
                </c:pt>
                <c:pt idx="26" formatCode="General">
                  <c:v>1318.4649999999999</c:v>
                </c:pt>
                <c:pt idx="27" formatCode="General">
                  <c:v>1303.5029999999999</c:v>
                </c:pt>
                <c:pt idx="28" formatCode="General">
                  <c:v>2251.0279999999998</c:v>
                </c:pt>
                <c:pt idx="29" formatCode="General">
                  <c:v>1256.3679999999999</c:v>
                </c:pt>
                <c:pt idx="30" formatCode="General">
                  <c:v>615.53099999999995</c:v>
                </c:pt>
                <c:pt idx="31" formatCode="General">
                  <c:v>443.52499999999998</c:v>
                </c:pt>
                <c:pt idx="32" formatCode="General">
                  <c:v>375.18599999999998</c:v>
                </c:pt>
                <c:pt idx="33" formatCode="General">
                  <c:v>566.38199999999995</c:v>
                </c:pt>
                <c:pt idx="34" formatCode="General">
                  <c:v>206.29499999999999</c:v>
                </c:pt>
                <c:pt idx="35" formatCode="General">
                  <c:v>210.41200000000001</c:v>
                </c:pt>
                <c:pt idx="36" formatCode="General">
                  <c:v>199.14400000000001</c:v>
                </c:pt>
                <c:pt idx="37" formatCode="General">
                  <c:v>192.499</c:v>
                </c:pt>
                <c:pt idx="38" formatCode="General">
                  <c:v>191.55199999999999</c:v>
                </c:pt>
                <c:pt idx="39" formatCode="General">
                  <c:v>187.929</c:v>
                </c:pt>
                <c:pt idx="40" formatCode="General">
                  <c:v>135.45400000000001</c:v>
                </c:pt>
                <c:pt idx="41" formatCode="General">
                  <c:v>115.087</c:v>
                </c:pt>
                <c:pt idx="42" formatCode="General">
                  <c:v>102.316</c:v>
                </c:pt>
                <c:pt idx="43" formatCode="General">
                  <c:v>90.864000000000004</c:v>
                </c:pt>
                <c:pt idx="44" formatCode="General">
                  <c:v>97.421000000000006</c:v>
                </c:pt>
                <c:pt idx="45" formatCode="General">
                  <c:v>95.23</c:v>
                </c:pt>
                <c:pt idx="46" formatCode="General">
                  <c:v>95.622</c:v>
                </c:pt>
                <c:pt idx="47" formatCode="General">
                  <c:v>94.448999999999998</c:v>
                </c:pt>
                <c:pt idx="48" formatCode="General">
                  <c:v>92.248000000000005</c:v>
                </c:pt>
                <c:pt idx="49" formatCode="General">
                  <c:v>92.236000000000004</c:v>
                </c:pt>
                <c:pt idx="50" formatCode="General">
                  <c:v>95.444999999999993</c:v>
                </c:pt>
                <c:pt idx="51" formatCode="General">
                  <c:v>131.465</c:v>
                </c:pt>
                <c:pt idx="52" formatCode="General">
                  <c:v>173.25200000000001</c:v>
                </c:pt>
                <c:pt idx="53" formatCode="General">
                  <c:v>176.81200000000001</c:v>
                </c:pt>
                <c:pt idx="54" formatCode="General">
                  <c:v>182.751</c:v>
                </c:pt>
                <c:pt idx="55" formatCode="General">
                  <c:v>191.18899999999999</c:v>
                </c:pt>
                <c:pt idx="56" formatCode="General">
                  <c:v>250.62700000000001</c:v>
                </c:pt>
                <c:pt idx="57" formatCode="General">
                  <c:v>265.59899999999999</c:v>
                </c:pt>
                <c:pt idx="58" formatCode="General">
                  <c:v>269.19900000000001</c:v>
                </c:pt>
                <c:pt idx="59" formatCode="General">
                  <c:v>334.79</c:v>
                </c:pt>
                <c:pt idx="60" formatCode="General">
                  <c:v>432.57799999999997</c:v>
                </c:pt>
                <c:pt idx="61" formatCode="General">
                  <c:v>445.94600000000003</c:v>
                </c:pt>
                <c:pt idx="62" formatCode="General">
                  <c:v>463.84</c:v>
                </c:pt>
                <c:pt idx="63" formatCode="General">
                  <c:v>534.91800000000001</c:v>
                </c:pt>
                <c:pt idx="64" formatCode="General">
                  <c:v>534.52800000000002</c:v>
                </c:pt>
                <c:pt idx="65" formatCode="General">
                  <c:v>538.48400000000004</c:v>
                </c:pt>
                <c:pt idx="66" formatCode="General">
                  <c:v>545.90800000000002</c:v>
                </c:pt>
                <c:pt idx="67" formatCode="General">
                  <c:v>463.48599999999999</c:v>
                </c:pt>
                <c:pt idx="72">
                  <c:v>107.455</c:v>
                </c:pt>
                <c:pt idx="73">
                  <c:v>289.55099999999999</c:v>
                </c:pt>
                <c:pt idx="74">
                  <c:v>372.815</c:v>
                </c:pt>
                <c:pt idx="75">
                  <c:v>347.69600000000003</c:v>
                </c:pt>
                <c:pt idx="76">
                  <c:v>358.79</c:v>
                </c:pt>
                <c:pt idx="77">
                  <c:v>366.89400000000001</c:v>
                </c:pt>
                <c:pt idx="78">
                  <c:v>403.221</c:v>
                </c:pt>
                <c:pt idx="79">
                  <c:v>404.54</c:v>
                </c:pt>
                <c:pt idx="80">
                  <c:v>535.43799999999999</c:v>
                </c:pt>
                <c:pt idx="81">
                  <c:v>740.02300000000002</c:v>
                </c:pt>
                <c:pt idx="82">
                  <c:v>863.39099999999996</c:v>
                </c:pt>
                <c:pt idx="83">
                  <c:v>1307.8869999999999</c:v>
                </c:pt>
                <c:pt idx="84">
                  <c:v>1568.9690000000001</c:v>
                </c:pt>
                <c:pt idx="85">
                  <c:v>1855.654</c:v>
                </c:pt>
                <c:pt idx="86">
                  <c:v>1799.5650000000001</c:v>
                </c:pt>
                <c:pt idx="87">
                  <c:v>1808.5150000000001</c:v>
                </c:pt>
                <c:pt idx="88">
                  <c:v>1817.0989999999999</c:v>
                </c:pt>
                <c:pt idx="89">
                  <c:v>1821.5119999999999</c:v>
                </c:pt>
                <c:pt idx="90" formatCode="General">
                  <c:v>447.16899999999998</c:v>
                </c:pt>
                <c:pt idx="91" formatCode="General">
                  <c:v>330.23500000000001</c:v>
                </c:pt>
                <c:pt idx="92" formatCode="General">
                  <c:v>225.82599999999999</c:v>
                </c:pt>
                <c:pt idx="93" formatCode="General">
                  <c:v>166.16900000000001</c:v>
                </c:pt>
                <c:pt idx="94" formatCode="General">
                  <c:v>84.879000000000005</c:v>
                </c:pt>
                <c:pt idx="95" formatCode="General">
                  <c:v>64.046999999999997</c:v>
                </c:pt>
                <c:pt idx="96" formatCode="General">
                  <c:v>48.598999999999997</c:v>
                </c:pt>
                <c:pt idx="97" formatCode="General">
                  <c:v>44.969000000000001</c:v>
                </c:pt>
                <c:pt idx="98" formatCode="General">
                  <c:v>41.039000000000001</c:v>
                </c:pt>
                <c:pt idx="99" formatCode="General">
                  <c:v>38.932000000000002</c:v>
                </c:pt>
                <c:pt idx="100" formatCode="General">
                  <c:v>37.255000000000003</c:v>
                </c:pt>
                <c:pt idx="101" formatCode="General">
                  <c:v>43.829000000000001</c:v>
                </c:pt>
                <c:pt idx="102" formatCode="General">
                  <c:v>69.665999999999997</c:v>
                </c:pt>
                <c:pt idx="103" formatCode="General">
                  <c:v>52.384</c:v>
                </c:pt>
                <c:pt idx="104" formatCode="General">
                  <c:v>53.417999999999999</c:v>
                </c:pt>
                <c:pt idx="105" formatCode="General">
                  <c:v>45.627000000000002</c:v>
                </c:pt>
                <c:pt idx="106" formatCode="General">
                  <c:v>86.766000000000005</c:v>
                </c:pt>
                <c:pt idx="107" formatCode="General">
                  <c:v>41.499000000000002</c:v>
                </c:pt>
                <c:pt idx="108" formatCode="General">
                  <c:v>22.83</c:v>
                </c:pt>
                <c:pt idx="109" formatCode="General">
                  <c:v>18.082000000000001</c:v>
                </c:pt>
                <c:pt idx="110" formatCode="General">
                  <c:v>14.612</c:v>
                </c:pt>
                <c:pt idx="111" formatCode="General">
                  <c:v>24.215</c:v>
                </c:pt>
                <c:pt idx="112" formatCode="General">
                  <c:v>31.334</c:v>
                </c:pt>
                <c:pt idx="113" formatCode="General">
                  <c:v>59.408000000000001</c:v>
                </c:pt>
                <c:pt idx="114" formatCode="General">
                  <c:v>70.561999999999998</c:v>
                </c:pt>
                <c:pt idx="115" formatCode="General">
                  <c:v>72.349999999999994</c:v>
                </c:pt>
                <c:pt idx="116" formatCode="General">
                  <c:v>51.923000000000002</c:v>
                </c:pt>
                <c:pt idx="117" formatCode="General">
                  <c:v>49.082000000000001</c:v>
                </c:pt>
                <c:pt idx="118" formatCode="General">
                  <c:v>41.55</c:v>
                </c:pt>
                <c:pt idx="119" formatCode="General">
                  <c:v>44.235999999999997</c:v>
                </c:pt>
                <c:pt idx="120" formatCode="General">
                  <c:v>32.811999999999998</c:v>
                </c:pt>
                <c:pt idx="121" formatCode="General">
                  <c:v>28.619</c:v>
                </c:pt>
                <c:pt idx="122" formatCode="General">
                  <c:v>18.631</c:v>
                </c:pt>
                <c:pt idx="123" formatCode="General">
                  <c:v>19.2</c:v>
                </c:pt>
                <c:pt idx="124" formatCode="General">
                  <c:v>16.337</c:v>
                </c:pt>
                <c:pt idx="125" formatCode="General">
                  <c:v>16.777999999999999</c:v>
                </c:pt>
                <c:pt idx="126" formatCode="General">
                  <c:v>21.890999999999998</c:v>
                </c:pt>
                <c:pt idx="127" formatCode="General">
                  <c:v>19.713000000000001</c:v>
                </c:pt>
                <c:pt idx="128" formatCode="General">
                  <c:v>13.455</c:v>
                </c:pt>
                <c:pt idx="129" formatCode="General">
                  <c:v>11.877000000000001</c:v>
                </c:pt>
                <c:pt idx="130" formatCode="General">
                  <c:v>29.731000000000002</c:v>
                </c:pt>
                <c:pt idx="131" formatCode="General">
                  <c:v>29.276</c:v>
                </c:pt>
                <c:pt idx="132" formatCode="General">
                  <c:v>21.966000000000001</c:v>
                </c:pt>
                <c:pt idx="133" formatCode="General">
                  <c:v>17.701000000000001</c:v>
                </c:pt>
                <c:pt idx="134" formatCode="General">
                  <c:v>26.023</c:v>
                </c:pt>
                <c:pt idx="135" formatCode="General">
                  <c:v>45.366999999999997</c:v>
                </c:pt>
                <c:pt idx="136" formatCode="General">
                  <c:v>41.652999999999999</c:v>
                </c:pt>
                <c:pt idx="137" formatCode="General">
                  <c:v>36.438000000000002</c:v>
                </c:pt>
                <c:pt idx="138" formatCode="General">
                  <c:v>33.887999999999998</c:v>
                </c:pt>
                <c:pt idx="139" formatCode="General">
                  <c:v>52.863999999999997</c:v>
                </c:pt>
              </c:numCache>
            </c:numRef>
          </c:xVal>
          <c:yVal>
            <c:numRef>
              <c:f>'Regres fig'!$L$74:$L$141</c:f>
              <c:numCache>
                <c:formatCode>0.00</c:formatCode>
                <c:ptCount val="68"/>
                <c:pt idx="0">
                  <c:v>8.8930555555555557</c:v>
                </c:pt>
                <c:pt idx="1">
                  <c:v>8.5318750000000012</c:v>
                </c:pt>
                <c:pt idx="2">
                  <c:v>7.8345833333333319</c:v>
                </c:pt>
                <c:pt idx="3">
                  <c:v>7.1442361111111126</c:v>
                </c:pt>
                <c:pt idx="4">
                  <c:v>7.4137499999999994</c:v>
                </c:pt>
                <c:pt idx="5">
                  <c:v>7.3193055555555571</c:v>
                </c:pt>
                <c:pt idx="6">
                  <c:v>6.9859722222222205</c:v>
                </c:pt>
                <c:pt idx="7">
                  <c:v>7.4831944444444405</c:v>
                </c:pt>
                <c:pt idx="8">
                  <c:v>6.8106944444444428</c:v>
                </c:pt>
                <c:pt idx="9">
                  <c:v>6.6731249999999989</c:v>
                </c:pt>
                <c:pt idx="10">
                  <c:v>6.8764583333333338</c:v>
                </c:pt>
                <c:pt idx="11">
                  <c:v>6.8333333333333313</c:v>
                </c:pt>
                <c:pt idx="12">
                  <c:v>7.0501388888888918</c:v>
                </c:pt>
                <c:pt idx="13">
                  <c:v>7.1526388888888892</c:v>
                </c:pt>
                <c:pt idx="14">
                  <c:v>7.2890277777777817</c:v>
                </c:pt>
                <c:pt idx="15">
                  <c:v>7.3036111111111053</c:v>
                </c:pt>
                <c:pt idx="16">
                  <c:v>7.2604861111111143</c:v>
                </c:pt>
                <c:pt idx="17">
                  <c:v>7.2727777777777725</c:v>
                </c:pt>
                <c:pt idx="18">
                  <c:v>6.7915909090909121</c:v>
                </c:pt>
                <c:pt idx="19">
                  <c:v>7.1759027777777789</c:v>
                </c:pt>
                <c:pt idx="20">
                  <c:v>7.0526388888888905</c:v>
                </c:pt>
                <c:pt idx="21">
                  <c:v>7.0053472222222233</c:v>
                </c:pt>
                <c:pt idx="22">
                  <c:v>6.7839583333333344</c:v>
                </c:pt>
                <c:pt idx="23">
                  <c:v>6.8010416666666647</c:v>
                </c:pt>
                <c:pt idx="24">
                  <c:v>6.9365277777777798</c:v>
                </c:pt>
                <c:pt idx="25">
                  <c:v>6.6461111111111091</c:v>
                </c:pt>
                <c:pt idx="26">
                  <c:v>7.1520833333333336</c:v>
                </c:pt>
                <c:pt idx="27">
                  <c:v>7.0220833333333346</c:v>
                </c:pt>
                <c:pt idx="28">
                  <c:v>6.8562500000000073</c:v>
                </c:pt>
                <c:pt idx="29">
                  <c:v>6.4277083333333378</c:v>
                </c:pt>
                <c:pt idx="30">
                  <c:v>8.1228472222222212</c:v>
                </c:pt>
                <c:pt idx="31">
                  <c:v>6.8126388888888929</c:v>
                </c:pt>
                <c:pt idx="32">
                  <c:v>6.2447916666666652</c:v>
                </c:pt>
                <c:pt idx="33">
                  <c:v>6.0999305555555559</c:v>
                </c:pt>
                <c:pt idx="34">
                  <c:v>7.0184722222222211</c:v>
                </c:pt>
                <c:pt idx="35">
                  <c:v>4.6643055555555524</c:v>
                </c:pt>
                <c:pt idx="36">
                  <c:v>4.73159722222222</c:v>
                </c:pt>
                <c:pt idx="37">
                  <c:v>4.9966666666666706</c:v>
                </c:pt>
                <c:pt idx="38">
                  <c:v>5.1359027777777788</c:v>
                </c:pt>
                <c:pt idx="39">
                  <c:v>5.5221527777777784</c:v>
                </c:pt>
                <c:pt idx="40">
                  <c:v>5.8805555555555564</c:v>
                </c:pt>
                <c:pt idx="41">
                  <c:v>8.0415714285714284</c:v>
                </c:pt>
                <c:pt idx="42">
                  <c:v>8.7041666666666675</c:v>
                </c:pt>
                <c:pt idx="43">
                  <c:v>10.23416666666666</c:v>
                </c:pt>
                <c:pt idx="44">
                  <c:v>9.0302777777777745</c:v>
                </c:pt>
                <c:pt idx="45">
                  <c:v>7.5565277777777773</c:v>
                </c:pt>
                <c:pt idx="46">
                  <c:v>7.0818750000000055</c:v>
                </c:pt>
                <c:pt idx="47">
                  <c:v>7.2122916666666743</c:v>
                </c:pt>
                <c:pt idx="48">
                  <c:v>6.9148611111111071</c:v>
                </c:pt>
                <c:pt idx="49">
                  <c:v>6.2747916666666645</c:v>
                </c:pt>
                <c:pt idx="50">
                  <c:v>5.9786111111111211</c:v>
                </c:pt>
                <c:pt idx="51">
                  <c:v>6.2525694444444468</c:v>
                </c:pt>
                <c:pt idx="52">
                  <c:v>5.9354861111111097</c:v>
                </c:pt>
                <c:pt idx="53">
                  <c:v>6.0911805555555603</c:v>
                </c:pt>
                <c:pt idx="54">
                  <c:v>6.1599305555555555</c:v>
                </c:pt>
                <c:pt idx="55">
                  <c:v>6.9812500000000064</c:v>
                </c:pt>
                <c:pt idx="56">
                  <c:v>6.7097916666666677</c:v>
                </c:pt>
                <c:pt idx="57">
                  <c:v>6.9530555555555562</c:v>
                </c:pt>
                <c:pt idx="58">
                  <c:v>6.6555555555555515</c:v>
                </c:pt>
                <c:pt idx="59">
                  <c:v>6.6595833333333347</c:v>
                </c:pt>
                <c:pt idx="60">
                  <c:v>6.6541666666666615</c:v>
                </c:pt>
                <c:pt idx="61">
                  <c:v>6.6153472222222165</c:v>
                </c:pt>
                <c:pt idx="62">
                  <c:v>6.8796527777777765</c:v>
                </c:pt>
                <c:pt idx="63">
                  <c:v>7.3341666666666718</c:v>
                </c:pt>
                <c:pt idx="64">
                  <c:v>7.7130555555555542</c:v>
                </c:pt>
                <c:pt idx="65">
                  <c:v>7.588541666666675</c:v>
                </c:pt>
                <c:pt idx="66">
                  <c:v>7.6523611111111114</c:v>
                </c:pt>
                <c:pt idx="67">
                  <c:v>7.6676388888888942</c:v>
                </c:pt>
              </c:numCache>
            </c:numRef>
          </c:yVal>
          <c:smooth val="0"/>
          <c:extLst xmlns:c16r2="http://schemas.microsoft.com/office/drawing/2015/06/chart">
            <c:ext xmlns:c16="http://schemas.microsoft.com/office/drawing/2014/chart" uri="{C3380CC4-5D6E-409C-BE32-E72D297353CC}">
              <c16:uniqueId val="{00000001-7AAA-468F-BE55-BDD0EA0F4294}"/>
            </c:ext>
          </c:extLst>
        </c:ser>
        <c:dLbls>
          <c:showLegendKey val="0"/>
          <c:showVal val="0"/>
          <c:showCatName val="0"/>
          <c:showSerName val="0"/>
          <c:showPercent val="0"/>
          <c:showBubbleSize val="0"/>
        </c:dLbls>
        <c:axId val="664263112"/>
        <c:axId val="664263504"/>
      </c:scatterChart>
      <c:valAx>
        <c:axId val="664263112"/>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en-AU"/>
                  <a:t>Discharge (ML/day)</a:t>
                </a:r>
              </a:p>
            </c:rich>
          </c:tx>
          <c:layout>
            <c:manualLayout>
              <c:xMode val="edge"/>
              <c:yMode val="edge"/>
              <c:x val="0.35049707743587266"/>
              <c:y val="0.9308938741147923"/>
            </c:manualLayout>
          </c:layout>
          <c:overlay val="0"/>
          <c:spPr>
            <a:noFill/>
            <a:ln w="25400">
              <a:noFill/>
            </a:ln>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a:pPr>
            <a:endParaRPr lang="en-US"/>
          </a:p>
        </c:txPr>
        <c:crossAx val="664263504"/>
        <c:crosses val="autoZero"/>
        <c:crossBetween val="midCat"/>
      </c:valAx>
      <c:valAx>
        <c:axId val="664263504"/>
        <c:scaling>
          <c:orientation val="minMax"/>
          <c:max val="11"/>
          <c:min val="5"/>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AU"/>
                  <a:t>Dissolved Oxygen (mg/L)</a:t>
                </a:r>
              </a:p>
            </c:rich>
          </c:tx>
          <c:layout>
            <c:manualLayout>
              <c:xMode val="edge"/>
              <c:yMode val="edge"/>
              <c:x val="1.2363144344427113E-2"/>
              <c:y val="0.10941450946082722"/>
            </c:manualLayout>
          </c:layout>
          <c:overlay val="0"/>
          <c:spPr>
            <a:noFill/>
            <a:ln w="25400">
              <a:noFill/>
            </a:ln>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a:pPr>
            <a:endParaRPr lang="en-US"/>
          </a:p>
        </c:txPr>
        <c:crossAx val="664263112"/>
        <c:crosses val="autoZero"/>
        <c:crossBetween val="midCat"/>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Arial" panose="020B0604020202020204" pitchFamily="34" charset="0"/>
          <a:ea typeface="Calibri"/>
          <a:cs typeface="Arial" panose="020B0604020202020204" pitchFamily="34"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AU" sz="1000"/>
              <a:t>(f)</a:t>
            </a:r>
          </a:p>
        </c:rich>
      </c:tx>
      <c:layout>
        <c:manualLayout>
          <c:xMode val="edge"/>
          <c:yMode val="edge"/>
          <c:x val="0.2235204125299555"/>
          <c:y val="4.7044705092305676E-2"/>
        </c:manualLayout>
      </c:layout>
      <c:overlay val="0"/>
    </c:title>
    <c:autoTitleDeleted val="0"/>
    <c:plotArea>
      <c:layout>
        <c:manualLayout>
          <c:layoutTarget val="inner"/>
          <c:xMode val="edge"/>
          <c:yMode val="edge"/>
          <c:x val="0.22902830081022482"/>
          <c:y val="4.5571876560968172E-2"/>
          <c:w val="0.69074696165696681"/>
          <c:h val="0.7587035958488868"/>
        </c:manualLayout>
      </c:layout>
      <c:scatterChart>
        <c:scatterStyle val="lineMarker"/>
        <c:varyColors val="0"/>
        <c:ser>
          <c:idx val="0"/>
          <c:order val="0"/>
          <c:tx>
            <c:strRef>
              <c:f>'Regres fig'!$N$2</c:f>
              <c:strCache>
                <c:ptCount val="1"/>
                <c:pt idx="0">
                  <c:v>CEW</c:v>
                </c:pt>
              </c:strCache>
            </c:strRef>
          </c:tx>
          <c:spPr>
            <a:ln w="28575">
              <a:noFill/>
            </a:ln>
          </c:spPr>
          <c:marker>
            <c:symbol val="square"/>
            <c:size val="5"/>
            <c:spPr>
              <a:solidFill>
                <a:srgbClr val="CC3300"/>
              </a:solidFill>
              <a:ln w="9525">
                <a:solidFill>
                  <a:srgbClr val="CC3300"/>
                </a:solidFill>
              </a:ln>
              <a:effectLst/>
            </c:spPr>
          </c:marker>
          <c:trendline>
            <c:spPr>
              <a:ln w="3175" cap="rnd">
                <a:solidFill>
                  <a:schemeClr val="tx1"/>
                </a:solidFill>
                <a:prstDash val="solid"/>
              </a:ln>
              <a:effectLst/>
            </c:spPr>
            <c:trendlineType val="linear"/>
            <c:dispRSqr val="0"/>
            <c:dispEq val="0"/>
          </c:trendline>
          <c:trendline>
            <c:spPr>
              <a:ln w="19050" cap="rnd">
                <a:solidFill>
                  <a:srgbClr val="CC3300"/>
                </a:solidFill>
                <a:prstDash val="sysDot"/>
              </a:ln>
              <a:effectLst/>
            </c:spPr>
            <c:trendlineType val="linear"/>
            <c:dispRSqr val="1"/>
            <c:dispEq val="0"/>
            <c:trendlineLbl>
              <c:layout>
                <c:manualLayout>
                  <c:x val="0.17234285108300856"/>
                  <c:y val="-0.24550374830597155"/>
                </c:manualLayout>
              </c:layout>
              <c:numFmt formatCode="General" sourceLinked="0"/>
              <c:spPr>
                <a:noFill/>
                <a:ln>
                  <a:solidFill>
                    <a:srgbClr val="CC3300"/>
                  </a:solidFill>
                </a:ln>
                <a:effectLst/>
              </c:spPr>
              <c:txPr>
                <a:bodyPr/>
                <a:lstStyle/>
                <a:p>
                  <a:pPr>
                    <a:defRPr/>
                  </a:pPr>
                  <a:endParaRPr lang="en-US"/>
                </a:p>
              </c:txPr>
            </c:trendlineLbl>
          </c:trendline>
          <c:xVal>
            <c:numRef>
              <c:f>'Regres fig'!$D$2:$D$141</c:f>
              <c:numCache>
                <c:formatCode>0</c:formatCode>
                <c:ptCount val="140"/>
                <c:pt idx="0">
                  <c:v>1785.4449999999999</c:v>
                </c:pt>
                <c:pt idx="1">
                  <c:v>1669.155</c:v>
                </c:pt>
                <c:pt idx="2">
                  <c:v>1638.0540000000001</c:v>
                </c:pt>
                <c:pt idx="3">
                  <c:v>1893.4549999999999</c:v>
                </c:pt>
                <c:pt idx="4">
                  <c:v>1795.4929999999999</c:v>
                </c:pt>
                <c:pt idx="5">
                  <c:v>1750.7429999999999</c:v>
                </c:pt>
                <c:pt idx="6">
                  <c:v>1408.63</c:v>
                </c:pt>
                <c:pt idx="7">
                  <c:v>1244.2650000000001</c:v>
                </c:pt>
                <c:pt idx="8">
                  <c:v>994.97799999999995</c:v>
                </c:pt>
                <c:pt idx="9" formatCode="General">
                  <c:v>983.48900000000003</c:v>
                </c:pt>
                <c:pt idx="10" formatCode="General">
                  <c:v>1014.326</c:v>
                </c:pt>
                <c:pt idx="11" formatCode="General">
                  <c:v>828.90499999999997</c:v>
                </c:pt>
                <c:pt idx="12" formatCode="General">
                  <c:v>595.60400000000004</c:v>
                </c:pt>
                <c:pt idx="13" formatCode="General">
                  <c:v>3079.9580000000001</c:v>
                </c:pt>
                <c:pt idx="14" formatCode="General">
                  <c:v>1695.979</c:v>
                </c:pt>
                <c:pt idx="15" formatCode="General">
                  <c:v>752.84199999999998</c:v>
                </c:pt>
                <c:pt idx="16" formatCode="General">
                  <c:v>455.47199999999998</c:v>
                </c:pt>
                <c:pt idx="17" formatCode="General">
                  <c:v>337.13</c:v>
                </c:pt>
                <c:pt idx="18" formatCode="General">
                  <c:v>1936.6410000000001</c:v>
                </c:pt>
                <c:pt idx="19" formatCode="General">
                  <c:v>1962.403</c:v>
                </c:pt>
                <c:pt idx="20" formatCode="General">
                  <c:v>2011.9480000000001</c:v>
                </c:pt>
                <c:pt idx="21" formatCode="General">
                  <c:v>1959.954</c:v>
                </c:pt>
                <c:pt idx="22" formatCode="General">
                  <c:v>1610.356</c:v>
                </c:pt>
                <c:pt idx="23" formatCode="General">
                  <c:v>1404.492</c:v>
                </c:pt>
                <c:pt idx="24" formatCode="General">
                  <c:v>1306.7929999999999</c:v>
                </c:pt>
                <c:pt idx="25" formatCode="General">
                  <c:v>1308.192</c:v>
                </c:pt>
                <c:pt idx="26" formatCode="General">
                  <c:v>1318.4649999999999</c:v>
                </c:pt>
                <c:pt idx="27" formatCode="General">
                  <c:v>1303.5029999999999</c:v>
                </c:pt>
                <c:pt idx="28" formatCode="General">
                  <c:v>2251.0279999999998</c:v>
                </c:pt>
                <c:pt idx="29" formatCode="General">
                  <c:v>1256.3679999999999</c:v>
                </c:pt>
                <c:pt idx="30" formatCode="General">
                  <c:v>615.53099999999995</c:v>
                </c:pt>
                <c:pt idx="31" formatCode="General">
                  <c:v>443.52499999999998</c:v>
                </c:pt>
                <c:pt idx="32" formatCode="General">
                  <c:v>375.18599999999998</c:v>
                </c:pt>
                <c:pt idx="33" formatCode="General">
                  <c:v>566.38199999999995</c:v>
                </c:pt>
                <c:pt idx="34" formatCode="General">
                  <c:v>206.29499999999999</c:v>
                </c:pt>
                <c:pt idx="35" formatCode="General">
                  <c:v>210.41200000000001</c:v>
                </c:pt>
                <c:pt idx="36" formatCode="General">
                  <c:v>199.14400000000001</c:v>
                </c:pt>
                <c:pt idx="37" formatCode="General">
                  <c:v>192.499</c:v>
                </c:pt>
                <c:pt idx="38" formatCode="General">
                  <c:v>191.55199999999999</c:v>
                </c:pt>
                <c:pt idx="39" formatCode="General">
                  <c:v>187.929</c:v>
                </c:pt>
                <c:pt idx="40" formatCode="General">
                  <c:v>135.45400000000001</c:v>
                </c:pt>
                <c:pt idx="41" formatCode="General">
                  <c:v>115.087</c:v>
                </c:pt>
                <c:pt idx="42" formatCode="General">
                  <c:v>102.316</c:v>
                </c:pt>
                <c:pt idx="43" formatCode="General">
                  <c:v>90.864000000000004</c:v>
                </c:pt>
                <c:pt idx="44" formatCode="General">
                  <c:v>97.421000000000006</c:v>
                </c:pt>
                <c:pt idx="45" formatCode="General">
                  <c:v>95.23</c:v>
                </c:pt>
                <c:pt idx="46" formatCode="General">
                  <c:v>95.622</c:v>
                </c:pt>
                <c:pt idx="47" formatCode="General">
                  <c:v>94.448999999999998</c:v>
                </c:pt>
                <c:pt idx="48" formatCode="General">
                  <c:v>92.248000000000005</c:v>
                </c:pt>
                <c:pt idx="49" formatCode="General">
                  <c:v>92.236000000000004</c:v>
                </c:pt>
                <c:pt idx="50" formatCode="General">
                  <c:v>95.444999999999993</c:v>
                </c:pt>
                <c:pt idx="51" formatCode="General">
                  <c:v>131.465</c:v>
                </c:pt>
                <c:pt idx="52" formatCode="General">
                  <c:v>173.25200000000001</c:v>
                </c:pt>
                <c:pt idx="53" formatCode="General">
                  <c:v>176.81200000000001</c:v>
                </c:pt>
                <c:pt idx="54" formatCode="General">
                  <c:v>182.751</c:v>
                </c:pt>
                <c:pt idx="55" formatCode="General">
                  <c:v>191.18899999999999</c:v>
                </c:pt>
                <c:pt idx="56" formatCode="General">
                  <c:v>250.62700000000001</c:v>
                </c:pt>
                <c:pt idx="57" formatCode="General">
                  <c:v>265.59899999999999</c:v>
                </c:pt>
                <c:pt idx="58" formatCode="General">
                  <c:v>269.19900000000001</c:v>
                </c:pt>
                <c:pt idx="59" formatCode="General">
                  <c:v>334.79</c:v>
                </c:pt>
                <c:pt idx="60" formatCode="General">
                  <c:v>432.57799999999997</c:v>
                </c:pt>
                <c:pt idx="61" formatCode="General">
                  <c:v>445.94600000000003</c:v>
                </c:pt>
                <c:pt idx="62" formatCode="General">
                  <c:v>463.84</c:v>
                </c:pt>
                <c:pt idx="63" formatCode="General">
                  <c:v>534.91800000000001</c:v>
                </c:pt>
                <c:pt idx="64" formatCode="General">
                  <c:v>534.52800000000002</c:v>
                </c:pt>
                <c:pt idx="65" formatCode="General">
                  <c:v>538.48400000000004</c:v>
                </c:pt>
                <c:pt idx="66" formatCode="General">
                  <c:v>545.90800000000002</c:v>
                </c:pt>
                <c:pt idx="67" formatCode="General">
                  <c:v>463.48599999999999</c:v>
                </c:pt>
                <c:pt idx="72">
                  <c:v>107.455</c:v>
                </c:pt>
                <c:pt idx="73">
                  <c:v>289.55099999999999</c:v>
                </c:pt>
                <c:pt idx="74">
                  <c:v>372.815</c:v>
                </c:pt>
                <c:pt idx="75">
                  <c:v>347.69600000000003</c:v>
                </c:pt>
                <c:pt idx="76">
                  <c:v>358.79</c:v>
                </c:pt>
                <c:pt idx="77">
                  <c:v>366.89400000000001</c:v>
                </c:pt>
                <c:pt idx="78">
                  <c:v>403.221</c:v>
                </c:pt>
                <c:pt idx="79">
                  <c:v>404.54</c:v>
                </c:pt>
                <c:pt idx="80">
                  <c:v>535.43799999999999</c:v>
                </c:pt>
                <c:pt idx="81">
                  <c:v>740.02300000000002</c:v>
                </c:pt>
                <c:pt idx="82">
                  <c:v>863.39099999999996</c:v>
                </c:pt>
                <c:pt idx="83">
                  <c:v>1307.8869999999999</c:v>
                </c:pt>
                <c:pt idx="84">
                  <c:v>1568.9690000000001</c:v>
                </c:pt>
                <c:pt idx="85">
                  <c:v>1855.654</c:v>
                </c:pt>
                <c:pt idx="86">
                  <c:v>1799.5650000000001</c:v>
                </c:pt>
                <c:pt idx="87">
                  <c:v>1808.5150000000001</c:v>
                </c:pt>
                <c:pt idx="88">
                  <c:v>1817.0989999999999</c:v>
                </c:pt>
                <c:pt idx="89">
                  <c:v>1821.5119999999999</c:v>
                </c:pt>
                <c:pt idx="90" formatCode="General">
                  <c:v>447.16899999999998</c:v>
                </c:pt>
                <c:pt idx="91" formatCode="General">
                  <c:v>330.23500000000001</c:v>
                </c:pt>
                <c:pt idx="92" formatCode="General">
                  <c:v>225.82599999999999</c:v>
                </c:pt>
                <c:pt idx="93" formatCode="General">
                  <c:v>166.16900000000001</c:v>
                </c:pt>
                <c:pt idx="94" formatCode="General">
                  <c:v>84.879000000000005</c:v>
                </c:pt>
                <c:pt idx="95" formatCode="General">
                  <c:v>64.046999999999997</c:v>
                </c:pt>
                <c:pt idx="96" formatCode="General">
                  <c:v>48.598999999999997</c:v>
                </c:pt>
                <c:pt idx="97" formatCode="General">
                  <c:v>44.969000000000001</c:v>
                </c:pt>
                <c:pt idx="98" formatCode="General">
                  <c:v>41.039000000000001</c:v>
                </c:pt>
                <c:pt idx="99" formatCode="General">
                  <c:v>38.932000000000002</c:v>
                </c:pt>
                <c:pt idx="100" formatCode="General">
                  <c:v>37.255000000000003</c:v>
                </c:pt>
                <c:pt idx="101" formatCode="General">
                  <c:v>43.829000000000001</c:v>
                </c:pt>
                <c:pt idx="102" formatCode="General">
                  <c:v>69.665999999999997</c:v>
                </c:pt>
                <c:pt idx="103" formatCode="General">
                  <c:v>52.384</c:v>
                </c:pt>
                <c:pt idx="104" formatCode="General">
                  <c:v>53.417999999999999</c:v>
                </c:pt>
                <c:pt idx="105" formatCode="General">
                  <c:v>45.627000000000002</c:v>
                </c:pt>
                <c:pt idx="106" formatCode="General">
                  <c:v>86.766000000000005</c:v>
                </c:pt>
                <c:pt idx="107" formatCode="General">
                  <c:v>41.499000000000002</c:v>
                </c:pt>
                <c:pt idx="108" formatCode="General">
                  <c:v>22.83</c:v>
                </c:pt>
                <c:pt idx="109" formatCode="General">
                  <c:v>18.082000000000001</c:v>
                </c:pt>
                <c:pt idx="110" formatCode="General">
                  <c:v>14.612</c:v>
                </c:pt>
                <c:pt idx="111" formatCode="General">
                  <c:v>24.215</c:v>
                </c:pt>
                <c:pt idx="112" formatCode="General">
                  <c:v>31.334</c:v>
                </c:pt>
                <c:pt idx="113" formatCode="General">
                  <c:v>59.408000000000001</c:v>
                </c:pt>
                <c:pt idx="114" formatCode="General">
                  <c:v>70.561999999999998</c:v>
                </c:pt>
                <c:pt idx="115" formatCode="General">
                  <c:v>72.349999999999994</c:v>
                </c:pt>
                <c:pt idx="116" formatCode="General">
                  <c:v>51.923000000000002</c:v>
                </c:pt>
                <c:pt idx="117" formatCode="General">
                  <c:v>49.082000000000001</c:v>
                </c:pt>
                <c:pt idx="118" formatCode="General">
                  <c:v>41.55</c:v>
                </c:pt>
                <c:pt idx="119" formatCode="General">
                  <c:v>44.235999999999997</c:v>
                </c:pt>
                <c:pt idx="120" formatCode="General">
                  <c:v>32.811999999999998</c:v>
                </c:pt>
                <c:pt idx="121" formatCode="General">
                  <c:v>28.619</c:v>
                </c:pt>
                <c:pt idx="122" formatCode="General">
                  <c:v>18.631</c:v>
                </c:pt>
                <c:pt idx="123" formatCode="General">
                  <c:v>19.2</c:v>
                </c:pt>
                <c:pt idx="124" formatCode="General">
                  <c:v>16.337</c:v>
                </c:pt>
                <c:pt idx="125" formatCode="General">
                  <c:v>16.777999999999999</c:v>
                </c:pt>
                <c:pt idx="126" formatCode="General">
                  <c:v>21.890999999999998</c:v>
                </c:pt>
                <c:pt idx="127" formatCode="General">
                  <c:v>19.713000000000001</c:v>
                </c:pt>
                <c:pt idx="128" formatCode="General">
                  <c:v>13.455</c:v>
                </c:pt>
                <c:pt idx="129" formatCode="General">
                  <c:v>11.877000000000001</c:v>
                </c:pt>
                <c:pt idx="130" formatCode="General">
                  <c:v>29.731000000000002</c:v>
                </c:pt>
                <c:pt idx="131" formatCode="General">
                  <c:v>29.276</c:v>
                </c:pt>
                <c:pt idx="132" formatCode="General">
                  <c:v>21.966000000000001</c:v>
                </c:pt>
                <c:pt idx="133" formatCode="General">
                  <c:v>17.701000000000001</c:v>
                </c:pt>
                <c:pt idx="134" formatCode="General">
                  <c:v>26.023</c:v>
                </c:pt>
                <c:pt idx="135" formatCode="General">
                  <c:v>45.366999999999997</c:v>
                </c:pt>
                <c:pt idx="136" formatCode="General">
                  <c:v>41.652999999999999</c:v>
                </c:pt>
                <c:pt idx="137" formatCode="General">
                  <c:v>36.438000000000002</c:v>
                </c:pt>
                <c:pt idx="138" formatCode="General">
                  <c:v>33.887999999999998</c:v>
                </c:pt>
                <c:pt idx="139" formatCode="General">
                  <c:v>52.863999999999997</c:v>
                </c:pt>
              </c:numCache>
            </c:numRef>
          </c:xVal>
          <c:yVal>
            <c:numRef>
              <c:f>'Regres fig'!$I$2:$I$69</c:f>
              <c:numCache>
                <c:formatCode>0.00</c:formatCode>
                <c:ptCount val="68"/>
                <c:pt idx="0">
                  <c:v>0.36222222222222178</c:v>
                </c:pt>
                <c:pt idx="1">
                  <c:v>0.36548611111111057</c:v>
                </c:pt>
                <c:pt idx="2">
                  <c:v>0.36562499999999942</c:v>
                </c:pt>
                <c:pt idx="3">
                  <c:v>0.3631944444444441</c:v>
                </c:pt>
                <c:pt idx="4">
                  <c:v>0.36277777777777737</c:v>
                </c:pt>
                <c:pt idx="5">
                  <c:v>0.36256944444444389</c:v>
                </c:pt>
                <c:pt idx="6">
                  <c:v>0.36104166666666637</c:v>
                </c:pt>
                <c:pt idx="7">
                  <c:v>0.35999999999999965</c:v>
                </c:pt>
                <c:pt idx="8">
                  <c:v>0.35874999999999962</c:v>
                </c:pt>
                <c:pt idx="9">
                  <c:v>0.35944444444444407</c:v>
                </c:pt>
                <c:pt idx="10">
                  <c:v>0.36402777777777717</c:v>
                </c:pt>
                <c:pt idx="11">
                  <c:v>0.36381944444444381</c:v>
                </c:pt>
                <c:pt idx="12">
                  <c:v>0.3620138888888883</c:v>
                </c:pt>
                <c:pt idx="13">
                  <c:v>0.36486111111111025</c:v>
                </c:pt>
                <c:pt idx="14">
                  <c:v>0.36361111111111044</c:v>
                </c:pt>
                <c:pt idx="15">
                  <c:v>0.35888111888111851</c:v>
                </c:pt>
                <c:pt idx="16">
                  <c:v>0.35868055555555534</c:v>
                </c:pt>
                <c:pt idx="17">
                  <c:v>0.35493055555555558</c:v>
                </c:pt>
                <c:pt idx="18">
                  <c:v>0.3571527777777776</c:v>
                </c:pt>
                <c:pt idx="19">
                  <c:v>0.35618055555555572</c:v>
                </c:pt>
                <c:pt idx="20">
                  <c:v>0.35720000000000007</c:v>
                </c:pt>
                <c:pt idx="21">
                  <c:v>0.35730158730158695</c:v>
                </c:pt>
                <c:pt idx="22">
                  <c:v>0.35416666666666696</c:v>
                </c:pt>
                <c:pt idx="23">
                  <c:v>0.35375000000000034</c:v>
                </c:pt>
                <c:pt idx="24">
                  <c:v>0.35152777777777844</c:v>
                </c:pt>
                <c:pt idx="25">
                  <c:v>0.35743055555555547</c:v>
                </c:pt>
                <c:pt idx="26">
                  <c:v>0.3559722222222223</c:v>
                </c:pt>
                <c:pt idx="27">
                  <c:v>0.35694444444444434</c:v>
                </c:pt>
                <c:pt idx="28">
                  <c:v>0.35937499999999972</c:v>
                </c:pt>
                <c:pt idx="29">
                  <c:v>0.35618055555555544</c:v>
                </c:pt>
                <c:pt idx="30">
                  <c:v>0.35513888888888895</c:v>
                </c:pt>
                <c:pt idx="31">
                  <c:v>0.35833333333333311</c:v>
                </c:pt>
                <c:pt idx="32">
                  <c:v>0.35652777777777778</c:v>
                </c:pt>
                <c:pt idx="33">
                  <c:v>0.35416666666666669</c:v>
                </c:pt>
                <c:pt idx="34">
                  <c:v>0.35715277777777765</c:v>
                </c:pt>
                <c:pt idx="35">
                  <c:v>0.35659722222222207</c:v>
                </c:pt>
                <c:pt idx="36">
                  <c:v>0.35909722222222179</c:v>
                </c:pt>
                <c:pt idx="37">
                  <c:v>0.35749999999999976</c:v>
                </c:pt>
                <c:pt idx="38">
                  <c:v>0.35874999999999957</c:v>
                </c:pt>
                <c:pt idx="39">
                  <c:v>0.35916666666666663</c:v>
                </c:pt>
                <c:pt idx="40">
                  <c:v>0.35999999999999971</c:v>
                </c:pt>
                <c:pt idx="41">
                  <c:v>0.35986111111111074</c:v>
                </c:pt>
                <c:pt idx="42">
                  <c:v>0.36291666666666589</c:v>
                </c:pt>
                <c:pt idx="43">
                  <c:v>0.36388888888888815</c:v>
                </c:pt>
                <c:pt idx="44">
                  <c:v>0.36416666666666619</c:v>
                </c:pt>
                <c:pt idx="45">
                  <c:v>0.36347222222222159</c:v>
                </c:pt>
                <c:pt idx="46">
                  <c:v>0.36298611111111057</c:v>
                </c:pt>
                <c:pt idx="47">
                  <c:v>0.36340277777777746</c:v>
                </c:pt>
                <c:pt idx="48">
                  <c:v>0.36097222222222186</c:v>
                </c:pt>
                <c:pt idx="49">
                  <c:v>0.36055555555555518</c:v>
                </c:pt>
                <c:pt idx="50">
                  <c:v>0.36236111111111047</c:v>
                </c:pt>
                <c:pt idx="51">
                  <c:v>0.36486111111111019</c:v>
                </c:pt>
                <c:pt idx="52">
                  <c:v>0.362916666666666</c:v>
                </c:pt>
                <c:pt idx="53">
                  <c:v>0.3670138888888882</c:v>
                </c:pt>
                <c:pt idx="54">
                  <c:v>0.36506944444444384</c:v>
                </c:pt>
                <c:pt idx="55">
                  <c:v>0.36604166666666627</c:v>
                </c:pt>
                <c:pt idx="56">
                  <c:v>0.36534722222222149</c:v>
                </c:pt>
                <c:pt idx="57">
                  <c:v>0.36326388888888833</c:v>
                </c:pt>
                <c:pt idx="58">
                  <c:v>0.36465277777777749</c:v>
                </c:pt>
                <c:pt idx="59">
                  <c:v>0.36458333333333293</c:v>
                </c:pt>
                <c:pt idx="60">
                  <c:v>0.36784722222222166</c:v>
                </c:pt>
                <c:pt idx="61">
                  <c:v>0.36965277777777694</c:v>
                </c:pt>
                <c:pt idx="62">
                  <c:v>0.37055555555555503</c:v>
                </c:pt>
                <c:pt idx="63">
                  <c:v>0.37215277777777755</c:v>
                </c:pt>
                <c:pt idx="64">
                  <c:v>0.36833333333333262</c:v>
                </c:pt>
                <c:pt idx="65">
                  <c:v>0.37277777777777732</c:v>
                </c:pt>
                <c:pt idx="66">
                  <c:v>0.37159722222222163</c:v>
                </c:pt>
                <c:pt idx="67">
                  <c:v>0.37166666666666559</c:v>
                </c:pt>
              </c:numCache>
            </c:numRef>
          </c:yVal>
          <c:smooth val="0"/>
          <c:extLst xmlns:c16r2="http://schemas.microsoft.com/office/drawing/2015/06/chart">
            <c:ext xmlns:c16="http://schemas.microsoft.com/office/drawing/2014/chart" uri="{C3380CC4-5D6E-409C-BE32-E72D297353CC}">
              <c16:uniqueId val="{00000000-1211-4EEC-8858-C822A1A83167}"/>
            </c:ext>
          </c:extLst>
        </c:ser>
        <c:ser>
          <c:idx val="1"/>
          <c:order val="1"/>
          <c:tx>
            <c:strRef>
              <c:f>'Regres fig'!$N$74</c:f>
              <c:strCache>
                <c:ptCount val="1"/>
                <c:pt idx="0">
                  <c:v>NO CEW</c:v>
                </c:pt>
              </c:strCache>
            </c:strRef>
          </c:tx>
          <c:spPr>
            <a:ln w="28575">
              <a:noFill/>
            </a:ln>
          </c:spPr>
          <c:marker>
            <c:symbol val="circle"/>
            <c:size val="5"/>
            <c:spPr>
              <a:solidFill>
                <a:schemeClr val="tx2">
                  <a:lumMod val="60000"/>
                  <a:lumOff val="40000"/>
                </a:schemeClr>
              </a:solidFill>
              <a:ln w="9525">
                <a:solidFill>
                  <a:schemeClr val="tx2">
                    <a:lumMod val="60000"/>
                    <a:lumOff val="40000"/>
                  </a:schemeClr>
                </a:solidFill>
              </a:ln>
              <a:effectLst/>
            </c:spPr>
          </c:marker>
          <c:trendline>
            <c:spPr>
              <a:ln w="12700" cap="rnd">
                <a:solidFill>
                  <a:schemeClr val="tx2">
                    <a:lumMod val="60000"/>
                    <a:lumOff val="40000"/>
                  </a:schemeClr>
                </a:solidFill>
                <a:prstDash val="solid"/>
              </a:ln>
              <a:effectLst/>
            </c:spPr>
            <c:trendlineType val="linear"/>
            <c:dispRSqr val="1"/>
            <c:dispEq val="0"/>
            <c:trendlineLbl>
              <c:layout>
                <c:manualLayout>
                  <c:x val="0.17762223649500347"/>
                  <c:y val="7.6861948860166063E-2"/>
                </c:manualLayout>
              </c:layout>
              <c:numFmt formatCode="General" sourceLinked="0"/>
              <c:spPr>
                <a:noFill/>
                <a:ln>
                  <a:solidFill>
                    <a:schemeClr val="tx2">
                      <a:lumMod val="60000"/>
                      <a:lumOff val="40000"/>
                    </a:schemeClr>
                  </a:solidFill>
                </a:ln>
                <a:effectLst/>
              </c:spPr>
              <c:txPr>
                <a:bodyPr/>
                <a:lstStyle/>
                <a:p>
                  <a:pPr>
                    <a:defRPr/>
                  </a:pPr>
                  <a:endParaRPr lang="en-US"/>
                </a:p>
              </c:txPr>
            </c:trendlineLbl>
          </c:trendline>
          <c:xVal>
            <c:numRef>
              <c:f>'Regres fig'!$D$2:$D$141</c:f>
              <c:numCache>
                <c:formatCode>0</c:formatCode>
                <c:ptCount val="140"/>
                <c:pt idx="0">
                  <c:v>1785.4449999999999</c:v>
                </c:pt>
                <c:pt idx="1">
                  <c:v>1669.155</c:v>
                </c:pt>
                <c:pt idx="2">
                  <c:v>1638.0540000000001</c:v>
                </c:pt>
                <c:pt idx="3">
                  <c:v>1893.4549999999999</c:v>
                </c:pt>
                <c:pt idx="4">
                  <c:v>1795.4929999999999</c:v>
                </c:pt>
                <c:pt idx="5">
                  <c:v>1750.7429999999999</c:v>
                </c:pt>
                <c:pt idx="6">
                  <c:v>1408.63</c:v>
                </c:pt>
                <c:pt idx="7">
                  <c:v>1244.2650000000001</c:v>
                </c:pt>
                <c:pt idx="8">
                  <c:v>994.97799999999995</c:v>
                </c:pt>
                <c:pt idx="9" formatCode="General">
                  <c:v>983.48900000000003</c:v>
                </c:pt>
                <c:pt idx="10" formatCode="General">
                  <c:v>1014.326</c:v>
                </c:pt>
                <c:pt idx="11" formatCode="General">
                  <c:v>828.90499999999997</c:v>
                </c:pt>
                <c:pt idx="12" formatCode="General">
                  <c:v>595.60400000000004</c:v>
                </c:pt>
                <c:pt idx="13" formatCode="General">
                  <c:v>3079.9580000000001</c:v>
                </c:pt>
                <c:pt idx="14" formatCode="General">
                  <c:v>1695.979</c:v>
                </c:pt>
                <c:pt idx="15" formatCode="General">
                  <c:v>752.84199999999998</c:v>
                </c:pt>
                <c:pt idx="16" formatCode="General">
                  <c:v>455.47199999999998</c:v>
                </c:pt>
                <c:pt idx="17" formatCode="General">
                  <c:v>337.13</c:v>
                </c:pt>
                <c:pt idx="18" formatCode="General">
                  <c:v>1936.6410000000001</c:v>
                </c:pt>
                <c:pt idx="19" formatCode="General">
                  <c:v>1962.403</c:v>
                </c:pt>
                <c:pt idx="20" formatCode="General">
                  <c:v>2011.9480000000001</c:v>
                </c:pt>
                <c:pt idx="21" formatCode="General">
                  <c:v>1959.954</c:v>
                </c:pt>
                <c:pt idx="22" formatCode="General">
                  <c:v>1610.356</c:v>
                </c:pt>
                <c:pt idx="23" formatCode="General">
                  <c:v>1404.492</c:v>
                </c:pt>
                <c:pt idx="24" formatCode="General">
                  <c:v>1306.7929999999999</c:v>
                </c:pt>
                <c:pt idx="25" formatCode="General">
                  <c:v>1308.192</c:v>
                </c:pt>
                <c:pt idx="26" formatCode="General">
                  <c:v>1318.4649999999999</c:v>
                </c:pt>
                <c:pt idx="27" formatCode="General">
                  <c:v>1303.5029999999999</c:v>
                </c:pt>
                <c:pt idx="28" formatCode="General">
                  <c:v>2251.0279999999998</c:v>
                </c:pt>
                <c:pt idx="29" formatCode="General">
                  <c:v>1256.3679999999999</c:v>
                </c:pt>
                <c:pt idx="30" formatCode="General">
                  <c:v>615.53099999999995</c:v>
                </c:pt>
                <c:pt idx="31" formatCode="General">
                  <c:v>443.52499999999998</c:v>
                </c:pt>
                <c:pt idx="32" formatCode="General">
                  <c:v>375.18599999999998</c:v>
                </c:pt>
                <c:pt idx="33" formatCode="General">
                  <c:v>566.38199999999995</c:v>
                </c:pt>
                <c:pt idx="34" formatCode="General">
                  <c:v>206.29499999999999</c:v>
                </c:pt>
                <c:pt idx="35" formatCode="General">
                  <c:v>210.41200000000001</c:v>
                </c:pt>
                <c:pt idx="36" formatCode="General">
                  <c:v>199.14400000000001</c:v>
                </c:pt>
                <c:pt idx="37" formatCode="General">
                  <c:v>192.499</c:v>
                </c:pt>
                <c:pt idx="38" formatCode="General">
                  <c:v>191.55199999999999</c:v>
                </c:pt>
                <c:pt idx="39" formatCode="General">
                  <c:v>187.929</c:v>
                </c:pt>
                <c:pt idx="40" formatCode="General">
                  <c:v>135.45400000000001</c:v>
                </c:pt>
                <c:pt idx="41" formatCode="General">
                  <c:v>115.087</c:v>
                </c:pt>
                <c:pt idx="42" formatCode="General">
                  <c:v>102.316</c:v>
                </c:pt>
                <c:pt idx="43" formatCode="General">
                  <c:v>90.864000000000004</c:v>
                </c:pt>
                <c:pt idx="44" formatCode="General">
                  <c:v>97.421000000000006</c:v>
                </c:pt>
                <c:pt idx="45" formatCode="General">
                  <c:v>95.23</c:v>
                </c:pt>
                <c:pt idx="46" formatCode="General">
                  <c:v>95.622</c:v>
                </c:pt>
                <c:pt idx="47" formatCode="General">
                  <c:v>94.448999999999998</c:v>
                </c:pt>
                <c:pt idx="48" formatCode="General">
                  <c:v>92.248000000000005</c:v>
                </c:pt>
                <c:pt idx="49" formatCode="General">
                  <c:v>92.236000000000004</c:v>
                </c:pt>
                <c:pt idx="50" formatCode="General">
                  <c:v>95.444999999999993</c:v>
                </c:pt>
                <c:pt idx="51" formatCode="General">
                  <c:v>131.465</c:v>
                </c:pt>
                <c:pt idx="52" formatCode="General">
                  <c:v>173.25200000000001</c:v>
                </c:pt>
                <c:pt idx="53" formatCode="General">
                  <c:v>176.81200000000001</c:v>
                </c:pt>
                <c:pt idx="54" formatCode="General">
                  <c:v>182.751</c:v>
                </c:pt>
                <c:pt idx="55" formatCode="General">
                  <c:v>191.18899999999999</c:v>
                </c:pt>
                <c:pt idx="56" formatCode="General">
                  <c:v>250.62700000000001</c:v>
                </c:pt>
                <c:pt idx="57" formatCode="General">
                  <c:v>265.59899999999999</c:v>
                </c:pt>
                <c:pt idx="58" formatCode="General">
                  <c:v>269.19900000000001</c:v>
                </c:pt>
                <c:pt idx="59" formatCode="General">
                  <c:v>334.79</c:v>
                </c:pt>
                <c:pt idx="60" formatCode="General">
                  <c:v>432.57799999999997</c:v>
                </c:pt>
                <c:pt idx="61" formatCode="General">
                  <c:v>445.94600000000003</c:v>
                </c:pt>
                <c:pt idx="62" formatCode="General">
                  <c:v>463.84</c:v>
                </c:pt>
                <c:pt idx="63" formatCode="General">
                  <c:v>534.91800000000001</c:v>
                </c:pt>
                <c:pt idx="64" formatCode="General">
                  <c:v>534.52800000000002</c:v>
                </c:pt>
                <c:pt idx="65" formatCode="General">
                  <c:v>538.48400000000004</c:v>
                </c:pt>
                <c:pt idx="66" formatCode="General">
                  <c:v>545.90800000000002</c:v>
                </c:pt>
                <c:pt idx="67" formatCode="General">
                  <c:v>463.48599999999999</c:v>
                </c:pt>
                <c:pt idx="72">
                  <c:v>107.455</c:v>
                </c:pt>
                <c:pt idx="73">
                  <c:v>289.55099999999999</c:v>
                </c:pt>
                <c:pt idx="74">
                  <c:v>372.815</c:v>
                </c:pt>
                <c:pt idx="75">
                  <c:v>347.69600000000003</c:v>
                </c:pt>
                <c:pt idx="76">
                  <c:v>358.79</c:v>
                </c:pt>
                <c:pt idx="77">
                  <c:v>366.89400000000001</c:v>
                </c:pt>
                <c:pt idx="78">
                  <c:v>403.221</c:v>
                </c:pt>
                <c:pt idx="79">
                  <c:v>404.54</c:v>
                </c:pt>
                <c:pt idx="80">
                  <c:v>535.43799999999999</c:v>
                </c:pt>
                <c:pt idx="81">
                  <c:v>740.02300000000002</c:v>
                </c:pt>
                <c:pt idx="82">
                  <c:v>863.39099999999996</c:v>
                </c:pt>
                <c:pt idx="83">
                  <c:v>1307.8869999999999</c:v>
                </c:pt>
                <c:pt idx="84">
                  <c:v>1568.9690000000001</c:v>
                </c:pt>
                <c:pt idx="85">
                  <c:v>1855.654</c:v>
                </c:pt>
                <c:pt idx="86">
                  <c:v>1799.5650000000001</c:v>
                </c:pt>
                <c:pt idx="87">
                  <c:v>1808.5150000000001</c:v>
                </c:pt>
                <c:pt idx="88">
                  <c:v>1817.0989999999999</c:v>
                </c:pt>
                <c:pt idx="89">
                  <c:v>1821.5119999999999</c:v>
                </c:pt>
                <c:pt idx="90" formatCode="General">
                  <c:v>447.16899999999998</c:v>
                </c:pt>
                <c:pt idx="91" formatCode="General">
                  <c:v>330.23500000000001</c:v>
                </c:pt>
                <c:pt idx="92" formatCode="General">
                  <c:v>225.82599999999999</c:v>
                </c:pt>
                <c:pt idx="93" formatCode="General">
                  <c:v>166.16900000000001</c:v>
                </c:pt>
                <c:pt idx="94" formatCode="General">
                  <c:v>84.879000000000005</c:v>
                </c:pt>
                <c:pt idx="95" formatCode="General">
                  <c:v>64.046999999999997</c:v>
                </c:pt>
                <c:pt idx="96" formatCode="General">
                  <c:v>48.598999999999997</c:v>
                </c:pt>
                <c:pt idx="97" formatCode="General">
                  <c:v>44.969000000000001</c:v>
                </c:pt>
                <c:pt idx="98" formatCode="General">
                  <c:v>41.039000000000001</c:v>
                </c:pt>
                <c:pt idx="99" formatCode="General">
                  <c:v>38.932000000000002</c:v>
                </c:pt>
                <c:pt idx="100" formatCode="General">
                  <c:v>37.255000000000003</c:v>
                </c:pt>
                <c:pt idx="101" formatCode="General">
                  <c:v>43.829000000000001</c:v>
                </c:pt>
                <c:pt idx="102" formatCode="General">
                  <c:v>69.665999999999997</c:v>
                </c:pt>
                <c:pt idx="103" formatCode="General">
                  <c:v>52.384</c:v>
                </c:pt>
                <c:pt idx="104" formatCode="General">
                  <c:v>53.417999999999999</c:v>
                </c:pt>
                <c:pt idx="105" formatCode="General">
                  <c:v>45.627000000000002</c:v>
                </c:pt>
                <c:pt idx="106" formatCode="General">
                  <c:v>86.766000000000005</c:v>
                </c:pt>
                <c:pt idx="107" formatCode="General">
                  <c:v>41.499000000000002</c:v>
                </c:pt>
                <c:pt idx="108" formatCode="General">
                  <c:v>22.83</c:v>
                </c:pt>
                <c:pt idx="109" formatCode="General">
                  <c:v>18.082000000000001</c:v>
                </c:pt>
                <c:pt idx="110" formatCode="General">
                  <c:v>14.612</c:v>
                </c:pt>
                <c:pt idx="111" formatCode="General">
                  <c:v>24.215</c:v>
                </c:pt>
                <c:pt idx="112" formatCode="General">
                  <c:v>31.334</c:v>
                </c:pt>
                <c:pt idx="113" formatCode="General">
                  <c:v>59.408000000000001</c:v>
                </c:pt>
                <c:pt idx="114" formatCode="General">
                  <c:v>70.561999999999998</c:v>
                </c:pt>
                <c:pt idx="115" formatCode="General">
                  <c:v>72.349999999999994</c:v>
                </c:pt>
                <c:pt idx="116" formatCode="General">
                  <c:v>51.923000000000002</c:v>
                </c:pt>
                <c:pt idx="117" formatCode="General">
                  <c:v>49.082000000000001</c:v>
                </c:pt>
                <c:pt idx="118" formatCode="General">
                  <c:v>41.55</c:v>
                </c:pt>
                <c:pt idx="119" formatCode="General">
                  <c:v>44.235999999999997</c:v>
                </c:pt>
                <c:pt idx="120" formatCode="General">
                  <c:v>32.811999999999998</c:v>
                </c:pt>
                <c:pt idx="121" formatCode="General">
                  <c:v>28.619</c:v>
                </c:pt>
                <c:pt idx="122" formatCode="General">
                  <c:v>18.631</c:v>
                </c:pt>
                <c:pt idx="123" formatCode="General">
                  <c:v>19.2</c:v>
                </c:pt>
                <c:pt idx="124" formatCode="General">
                  <c:v>16.337</c:v>
                </c:pt>
                <c:pt idx="125" formatCode="General">
                  <c:v>16.777999999999999</c:v>
                </c:pt>
                <c:pt idx="126" formatCode="General">
                  <c:v>21.890999999999998</c:v>
                </c:pt>
                <c:pt idx="127" formatCode="General">
                  <c:v>19.713000000000001</c:v>
                </c:pt>
                <c:pt idx="128" formatCode="General">
                  <c:v>13.455</c:v>
                </c:pt>
                <c:pt idx="129" formatCode="General">
                  <c:v>11.877000000000001</c:v>
                </c:pt>
                <c:pt idx="130" formatCode="General">
                  <c:v>29.731000000000002</c:v>
                </c:pt>
                <c:pt idx="131" formatCode="General">
                  <c:v>29.276</c:v>
                </c:pt>
                <c:pt idx="132" formatCode="General">
                  <c:v>21.966000000000001</c:v>
                </c:pt>
                <c:pt idx="133" formatCode="General">
                  <c:v>17.701000000000001</c:v>
                </c:pt>
                <c:pt idx="134" formatCode="General">
                  <c:v>26.023</c:v>
                </c:pt>
                <c:pt idx="135" formatCode="General">
                  <c:v>45.366999999999997</c:v>
                </c:pt>
                <c:pt idx="136" formatCode="General">
                  <c:v>41.652999999999999</c:v>
                </c:pt>
                <c:pt idx="137" formatCode="General">
                  <c:v>36.438000000000002</c:v>
                </c:pt>
                <c:pt idx="138" formatCode="General">
                  <c:v>33.887999999999998</c:v>
                </c:pt>
                <c:pt idx="139" formatCode="General">
                  <c:v>52.863999999999997</c:v>
                </c:pt>
              </c:numCache>
            </c:numRef>
          </c:xVal>
          <c:yVal>
            <c:numRef>
              <c:f>'Regres fig'!$I$74:$I$141</c:f>
              <c:numCache>
                <c:formatCode>0.00</c:formatCode>
                <c:ptCount val="68"/>
                <c:pt idx="0">
                  <c:v>0.35694444444444456</c:v>
                </c:pt>
                <c:pt idx="1">
                  <c:v>0.35652777777777817</c:v>
                </c:pt>
                <c:pt idx="2">
                  <c:v>0.35520833333333374</c:v>
                </c:pt>
                <c:pt idx="3">
                  <c:v>0.35750000000000004</c:v>
                </c:pt>
                <c:pt idx="4">
                  <c:v>0.35777777777777781</c:v>
                </c:pt>
                <c:pt idx="5">
                  <c:v>0.35826388888888894</c:v>
                </c:pt>
                <c:pt idx="6">
                  <c:v>0.36048611111111095</c:v>
                </c:pt>
                <c:pt idx="7">
                  <c:v>0.35812500000000003</c:v>
                </c:pt>
                <c:pt idx="8">
                  <c:v>0.35687500000000011</c:v>
                </c:pt>
                <c:pt idx="9">
                  <c:v>0.35715277777777793</c:v>
                </c:pt>
                <c:pt idx="10">
                  <c:v>0.35736111111111124</c:v>
                </c:pt>
                <c:pt idx="11">
                  <c:v>0.35993055555555542</c:v>
                </c:pt>
                <c:pt idx="12">
                  <c:v>0.3604861111111109</c:v>
                </c:pt>
                <c:pt idx="13">
                  <c:v>0.3606944444444441</c:v>
                </c:pt>
                <c:pt idx="14">
                  <c:v>0.36020833333333308</c:v>
                </c:pt>
                <c:pt idx="15">
                  <c:v>0.3605555555555553</c:v>
                </c:pt>
                <c:pt idx="16">
                  <c:v>0.35993055555555536</c:v>
                </c:pt>
                <c:pt idx="17">
                  <c:v>0.36166666666666625</c:v>
                </c:pt>
                <c:pt idx="18">
                  <c:v>0.35219696969697012</c:v>
                </c:pt>
                <c:pt idx="19">
                  <c:v>0.35027777777777819</c:v>
                </c:pt>
                <c:pt idx="20">
                  <c:v>0.34993055555555586</c:v>
                </c:pt>
                <c:pt idx="21">
                  <c:v>0.35020833333333379</c:v>
                </c:pt>
                <c:pt idx="22">
                  <c:v>0.35083333333333394</c:v>
                </c:pt>
                <c:pt idx="23">
                  <c:v>0.35076388888888937</c:v>
                </c:pt>
                <c:pt idx="24">
                  <c:v>0.34958333333333391</c:v>
                </c:pt>
                <c:pt idx="25">
                  <c:v>0.34791666666666743</c:v>
                </c:pt>
                <c:pt idx="26">
                  <c:v>0.35006944444444454</c:v>
                </c:pt>
                <c:pt idx="27">
                  <c:v>0.3525000000000002</c:v>
                </c:pt>
                <c:pt idx="28">
                  <c:v>0.35250000000000015</c:v>
                </c:pt>
                <c:pt idx="29">
                  <c:v>0.35041666666666721</c:v>
                </c:pt>
                <c:pt idx="30">
                  <c:v>0.34937500000000066</c:v>
                </c:pt>
                <c:pt idx="31">
                  <c:v>0.34986111111111146</c:v>
                </c:pt>
                <c:pt idx="32">
                  <c:v>0.35027777777777847</c:v>
                </c:pt>
                <c:pt idx="33">
                  <c:v>0.34993055555555602</c:v>
                </c:pt>
                <c:pt idx="34">
                  <c:v>0.35055555555555606</c:v>
                </c:pt>
                <c:pt idx="35">
                  <c:v>0.35145833333333371</c:v>
                </c:pt>
                <c:pt idx="36">
                  <c:v>0.34979166666666717</c:v>
                </c:pt>
                <c:pt idx="37">
                  <c:v>0.35083333333333389</c:v>
                </c:pt>
                <c:pt idx="38">
                  <c:v>0.34854166666666714</c:v>
                </c:pt>
                <c:pt idx="39">
                  <c:v>0.35180555555555598</c:v>
                </c:pt>
                <c:pt idx="40">
                  <c:v>0.35187500000000027</c:v>
                </c:pt>
                <c:pt idx="41">
                  <c:v>0.35200000000000053</c:v>
                </c:pt>
                <c:pt idx="42">
                  <c:v>0.35354166666666687</c:v>
                </c:pt>
                <c:pt idx="43">
                  <c:v>0.35618055555555528</c:v>
                </c:pt>
                <c:pt idx="44">
                  <c:v>0.35534722222222215</c:v>
                </c:pt>
                <c:pt idx="45">
                  <c:v>0.3563194444444443</c:v>
                </c:pt>
                <c:pt idx="46">
                  <c:v>0.35937499999999961</c:v>
                </c:pt>
                <c:pt idx="47">
                  <c:v>0.35756944444444416</c:v>
                </c:pt>
                <c:pt idx="48">
                  <c:v>0.35701388888888863</c:v>
                </c:pt>
                <c:pt idx="49">
                  <c:v>0.35451388888888902</c:v>
                </c:pt>
                <c:pt idx="50">
                  <c:v>0.3552777777777778</c:v>
                </c:pt>
                <c:pt idx="51">
                  <c:v>0.35291666666666688</c:v>
                </c:pt>
                <c:pt idx="52">
                  <c:v>0.35236111111111157</c:v>
                </c:pt>
                <c:pt idx="53">
                  <c:v>0.3553472222222222</c:v>
                </c:pt>
                <c:pt idx="54">
                  <c:v>0.35812499999999958</c:v>
                </c:pt>
                <c:pt idx="55">
                  <c:v>0.35694444444444406</c:v>
                </c:pt>
                <c:pt idx="56">
                  <c:v>0.35562499999999997</c:v>
                </c:pt>
                <c:pt idx="57">
                  <c:v>0.35638888888888876</c:v>
                </c:pt>
                <c:pt idx="58">
                  <c:v>0.35631944444444424</c:v>
                </c:pt>
                <c:pt idx="59">
                  <c:v>0.35465277777777787</c:v>
                </c:pt>
                <c:pt idx="60">
                  <c:v>0.355138888888889</c:v>
                </c:pt>
                <c:pt idx="61">
                  <c:v>0.35451388888888907</c:v>
                </c:pt>
                <c:pt idx="62">
                  <c:v>0.35409722222222245</c:v>
                </c:pt>
                <c:pt idx="63">
                  <c:v>0.35472222222222222</c:v>
                </c:pt>
                <c:pt idx="64">
                  <c:v>0.35479166666666678</c:v>
                </c:pt>
                <c:pt idx="65">
                  <c:v>0.35590277777777757</c:v>
                </c:pt>
                <c:pt idx="66">
                  <c:v>0.35680555555555538</c:v>
                </c:pt>
                <c:pt idx="67">
                  <c:v>0.35652777777777767</c:v>
                </c:pt>
              </c:numCache>
            </c:numRef>
          </c:yVal>
          <c:smooth val="0"/>
          <c:extLst xmlns:c16r2="http://schemas.microsoft.com/office/drawing/2015/06/chart">
            <c:ext xmlns:c16="http://schemas.microsoft.com/office/drawing/2014/chart" uri="{C3380CC4-5D6E-409C-BE32-E72D297353CC}">
              <c16:uniqueId val="{00000001-1211-4EEC-8858-C822A1A83167}"/>
            </c:ext>
          </c:extLst>
        </c:ser>
        <c:dLbls>
          <c:showLegendKey val="0"/>
          <c:showVal val="0"/>
          <c:showCatName val="0"/>
          <c:showSerName val="0"/>
          <c:showPercent val="0"/>
          <c:showBubbleSize val="0"/>
        </c:dLbls>
        <c:axId val="664259976"/>
        <c:axId val="664260368"/>
      </c:scatterChart>
      <c:valAx>
        <c:axId val="664259976"/>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en-AU"/>
                  <a:t>Discharge (ML/day)</a:t>
                </a:r>
              </a:p>
            </c:rich>
          </c:tx>
          <c:layout>
            <c:manualLayout>
              <c:xMode val="edge"/>
              <c:yMode val="edge"/>
              <c:x val="0.31488572714727431"/>
              <c:y val="0.89397334151341112"/>
            </c:manualLayout>
          </c:layout>
          <c:overlay val="0"/>
          <c:spPr>
            <a:noFill/>
            <a:ln w="25400">
              <a:noFill/>
            </a:ln>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a:pPr>
            <a:endParaRPr lang="en-US"/>
          </a:p>
        </c:txPr>
        <c:crossAx val="664260368"/>
        <c:crosses val="autoZero"/>
        <c:crossBetween val="midCat"/>
      </c:valAx>
      <c:valAx>
        <c:axId val="664260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AU"/>
                  <a:t>Chlorophlyy-a (µg/L)</a:t>
                </a:r>
              </a:p>
            </c:rich>
          </c:tx>
          <c:layout>
            <c:manualLayout>
              <c:xMode val="edge"/>
              <c:yMode val="edge"/>
              <c:x val="4.277575659181309E-3"/>
              <c:y val="0.17996972192201466"/>
            </c:manualLayout>
          </c:layout>
          <c:overlay val="0"/>
          <c:spPr>
            <a:noFill/>
            <a:ln w="25400">
              <a:noFill/>
            </a:ln>
          </c:sp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a:pPr>
            <a:endParaRPr lang="en-US"/>
          </a:p>
        </c:txPr>
        <c:crossAx val="664259976"/>
        <c:crosses val="autoZero"/>
        <c:crossBetween val="midCat"/>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Arial" panose="020B0604020202020204" pitchFamily="34" charset="0"/>
          <a:ea typeface="Calibri"/>
          <a:cs typeface="Arial" panose="020B0604020202020204" pitchFamily="34"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000"/>
            </a:pPr>
            <a:r>
              <a:rPr lang="en-US" sz="1000"/>
              <a:t>(a) Gwydir River</a:t>
            </a:r>
          </a:p>
        </c:rich>
      </c:tx>
      <c:layout>
        <c:manualLayout>
          <c:xMode val="edge"/>
          <c:yMode val="edge"/>
          <c:x val="1.8268470439671792E-3"/>
          <c:y val="2.850450145344735E-3"/>
        </c:manualLayout>
      </c:layout>
      <c:overlay val="0"/>
      <c:spPr>
        <a:noFill/>
        <a:ln>
          <a:noFill/>
        </a:ln>
        <a:effectLst/>
      </c:spPr>
    </c:title>
    <c:autoTitleDeleted val="0"/>
    <c:plotArea>
      <c:layout>
        <c:manualLayout>
          <c:layoutTarget val="inner"/>
          <c:xMode val="edge"/>
          <c:yMode val="edge"/>
          <c:x val="9.8557215763109579E-2"/>
          <c:y val="0.11092113041622796"/>
          <c:w val="0.87238337401274935"/>
          <c:h val="0.52874103198228606"/>
        </c:manualLayout>
      </c:layout>
      <c:lineChart>
        <c:grouping val="standard"/>
        <c:varyColors val="0"/>
        <c:ser>
          <c:idx val="7"/>
          <c:order val="0"/>
          <c:tx>
            <c:strRef>
              <c:f>flows!$P$1</c:f>
              <c:strCache>
                <c:ptCount val="1"/>
                <c:pt idx="0">
                  <c:v>Environmental Water</c:v>
                </c:pt>
              </c:strCache>
            </c:strRef>
          </c:tx>
          <c:spPr>
            <a:ln w="28575" cap="rnd">
              <a:solidFill>
                <a:srgbClr val="00B050"/>
              </a:solidFill>
              <a:round/>
            </a:ln>
            <a:effectLst/>
          </c:spPr>
          <c:marker>
            <c:symbol val="none"/>
          </c:marker>
          <c:cat>
            <c:numRef>
              <c:f>flows!$A$5:$A$370</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flows!$P$5:$P$371</c:f>
              <c:numCache>
                <c:formatCode>General</c:formatCode>
                <c:ptCount val="367"/>
                <c:pt idx="176">
                  <c:v>3.4</c:v>
                </c:pt>
                <c:pt idx="177">
                  <c:v>3.4</c:v>
                </c:pt>
                <c:pt idx="178">
                  <c:v>3.4</c:v>
                </c:pt>
                <c:pt idx="179">
                  <c:v>3.4</c:v>
                </c:pt>
                <c:pt idx="180">
                  <c:v>3.4</c:v>
                </c:pt>
                <c:pt idx="181">
                  <c:v>3.4</c:v>
                </c:pt>
                <c:pt idx="182">
                  <c:v>3.4</c:v>
                </c:pt>
                <c:pt idx="183">
                  <c:v>3.4</c:v>
                </c:pt>
                <c:pt idx="184">
                  <c:v>3.4</c:v>
                </c:pt>
                <c:pt idx="185">
                  <c:v>3.4</c:v>
                </c:pt>
                <c:pt idx="186">
                  <c:v>3.4</c:v>
                </c:pt>
                <c:pt idx="187">
                  <c:v>3.4</c:v>
                </c:pt>
                <c:pt idx="188">
                  <c:v>3.4</c:v>
                </c:pt>
                <c:pt idx="189">
                  <c:v>3.4</c:v>
                </c:pt>
                <c:pt idx="190">
                  <c:v>3.4</c:v>
                </c:pt>
                <c:pt idx="191">
                  <c:v>3.4</c:v>
                </c:pt>
                <c:pt idx="192">
                  <c:v>3.4</c:v>
                </c:pt>
                <c:pt idx="193">
                  <c:v>3.4</c:v>
                </c:pt>
                <c:pt idx="202">
                  <c:v>3.4</c:v>
                </c:pt>
                <c:pt idx="203">
                  <c:v>3.4</c:v>
                </c:pt>
                <c:pt idx="204">
                  <c:v>3.4</c:v>
                </c:pt>
                <c:pt idx="205">
                  <c:v>3.4</c:v>
                </c:pt>
                <c:pt idx="206">
                  <c:v>3.4</c:v>
                </c:pt>
                <c:pt idx="207">
                  <c:v>3.4</c:v>
                </c:pt>
                <c:pt idx="208">
                  <c:v>3.4</c:v>
                </c:pt>
                <c:pt idx="209">
                  <c:v>3.4</c:v>
                </c:pt>
                <c:pt idx="210">
                  <c:v>3.4</c:v>
                </c:pt>
                <c:pt idx="211">
                  <c:v>3.4</c:v>
                </c:pt>
                <c:pt idx="212">
                  <c:v>3.4</c:v>
                </c:pt>
                <c:pt idx="213">
                  <c:v>3.4</c:v>
                </c:pt>
                <c:pt idx="214">
                  <c:v>3.4</c:v>
                </c:pt>
                <c:pt idx="215">
                  <c:v>3.4</c:v>
                </c:pt>
                <c:pt idx="216">
                  <c:v>3.4</c:v>
                </c:pt>
                <c:pt idx="217">
                  <c:v>3.4</c:v>
                </c:pt>
                <c:pt idx="218">
                  <c:v>3.4</c:v>
                </c:pt>
                <c:pt idx="219">
                  <c:v>3.4</c:v>
                </c:pt>
                <c:pt idx="287">
                  <c:v>3.4</c:v>
                </c:pt>
                <c:pt idx="288">
                  <c:v>3.4</c:v>
                </c:pt>
                <c:pt idx="289">
                  <c:v>3.4</c:v>
                </c:pt>
                <c:pt idx="290">
                  <c:v>3.4</c:v>
                </c:pt>
                <c:pt idx="291">
                  <c:v>3.4</c:v>
                </c:pt>
                <c:pt idx="292">
                  <c:v>3.4</c:v>
                </c:pt>
                <c:pt idx="293">
                  <c:v>3.4</c:v>
                </c:pt>
                <c:pt idx="294">
                  <c:v>3.4</c:v>
                </c:pt>
                <c:pt idx="295">
                  <c:v>3.4</c:v>
                </c:pt>
                <c:pt idx="296">
                  <c:v>3.4</c:v>
                </c:pt>
                <c:pt idx="297">
                  <c:v>3.4</c:v>
                </c:pt>
                <c:pt idx="298">
                  <c:v>3.4</c:v>
                </c:pt>
                <c:pt idx="299">
                  <c:v>3.4</c:v>
                </c:pt>
                <c:pt idx="300">
                  <c:v>3.4</c:v>
                </c:pt>
                <c:pt idx="301">
                  <c:v>3.4</c:v>
                </c:pt>
                <c:pt idx="302">
                  <c:v>3.4</c:v>
                </c:pt>
                <c:pt idx="303">
                  <c:v>3.4</c:v>
                </c:pt>
                <c:pt idx="304">
                  <c:v>3.4</c:v>
                </c:pt>
                <c:pt idx="305">
                  <c:v>3.4</c:v>
                </c:pt>
                <c:pt idx="306">
                  <c:v>3.4</c:v>
                </c:pt>
                <c:pt idx="307">
                  <c:v>3.4</c:v>
                </c:pt>
                <c:pt idx="308">
                  <c:v>3.4</c:v>
                </c:pt>
                <c:pt idx="309">
                  <c:v>3.4</c:v>
                </c:pt>
                <c:pt idx="310">
                  <c:v>3.4</c:v>
                </c:pt>
                <c:pt idx="311">
                  <c:v>3.4</c:v>
                </c:pt>
                <c:pt idx="312">
                  <c:v>3.4</c:v>
                </c:pt>
                <c:pt idx="313">
                  <c:v>3.4</c:v>
                </c:pt>
                <c:pt idx="314">
                  <c:v>3.4</c:v>
                </c:pt>
                <c:pt idx="315">
                  <c:v>3.4</c:v>
                </c:pt>
                <c:pt idx="316">
                  <c:v>3.4</c:v>
                </c:pt>
                <c:pt idx="317">
                  <c:v>3.4</c:v>
                </c:pt>
                <c:pt idx="318">
                  <c:v>3.4</c:v>
                </c:pt>
                <c:pt idx="319">
                  <c:v>3.4</c:v>
                </c:pt>
                <c:pt idx="320">
                  <c:v>3.4</c:v>
                </c:pt>
                <c:pt idx="321">
                  <c:v>3.4</c:v>
                </c:pt>
                <c:pt idx="322">
                  <c:v>3.4</c:v>
                </c:pt>
              </c:numCache>
            </c:numRef>
          </c:val>
          <c:smooth val="0"/>
        </c:ser>
        <c:ser>
          <c:idx val="6"/>
          <c:order val="1"/>
          <c:tx>
            <c:strRef>
              <c:f>flows!$R$1</c:f>
              <c:strCache>
                <c:ptCount val="1"/>
                <c:pt idx="0">
                  <c:v>Microinvertebrate Sampling</c:v>
                </c:pt>
              </c:strCache>
            </c:strRef>
          </c:tx>
          <c:spPr>
            <a:ln w="28575" cap="rnd">
              <a:solidFill>
                <a:schemeClr val="tx1"/>
              </a:solidFill>
              <a:round/>
            </a:ln>
            <a:effectLst/>
          </c:spPr>
          <c:marker>
            <c:symbol val="none"/>
          </c:marker>
          <c:cat>
            <c:numRef>
              <c:f>flows!$A$5:$A$370</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flows!$R$5:$R$300</c:f>
              <c:numCache>
                <c:formatCode>General</c:formatCode>
                <c:ptCount val="296"/>
                <c:pt idx="89">
                  <c:v>3.2</c:v>
                </c:pt>
                <c:pt idx="90">
                  <c:v>3.2</c:v>
                </c:pt>
                <c:pt idx="91">
                  <c:v>3.2</c:v>
                </c:pt>
                <c:pt idx="92">
                  <c:v>3.2</c:v>
                </c:pt>
                <c:pt idx="218">
                  <c:v>3.2</c:v>
                </c:pt>
                <c:pt idx="219">
                  <c:v>3.2</c:v>
                </c:pt>
                <c:pt idx="220">
                  <c:v>3.2</c:v>
                </c:pt>
                <c:pt idx="221">
                  <c:v>3.2</c:v>
                </c:pt>
                <c:pt idx="222">
                  <c:v>3.2</c:v>
                </c:pt>
                <c:pt idx="257">
                  <c:v>3.2</c:v>
                </c:pt>
                <c:pt idx="258">
                  <c:v>3.2</c:v>
                </c:pt>
                <c:pt idx="259">
                  <c:v>3.2</c:v>
                </c:pt>
                <c:pt idx="260">
                  <c:v>3.2</c:v>
                </c:pt>
                <c:pt idx="292">
                  <c:v>3.2</c:v>
                </c:pt>
                <c:pt idx="293">
                  <c:v>3.2</c:v>
                </c:pt>
                <c:pt idx="294">
                  <c:v>3.2</c:v>
                </c:pt>
                <c:pt idx="295">
                  <c:v>3.2</c:v>
                </c:pt>
              </c:numCache>
            </c:numRef>
          </c:val>
          <c:smooth val="0"/>
        </c:ser>
        <c:ser>
          <c:idx val="0"/>
          <c:order val="2"/>
          <c:tx>
            <c:strRef>
              <c:f>flows!$B$1</c:f>
              <c:strCache>
                <c:ptCount val="1"/>
                <c:pt idx="0">
                  <c:v>418001 - Gwydir @ Pallamallawa</c:v>
                </c:pt>
              </c:strCache>
            </c:strRef>
          </c:tx>
          <c:spPr>
            <a:ln w="28575" cap="rnd">
              <a:solidFill>
                <a:srgbClr val="FF0000"/>
              </a:solidFill>
              <a:prstDash val="sysDash"/>
              <a:round/>
            </a:ln>
            <a:effectLst/>
          </c:spPr>
          <c:marker>
            <c:symbol val="none"/>
          </c:marker>
          <c:cat>
            <c:numRef>
              <c:f>flows!$A$5:$A$370</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flows!$B$5:$B$370</c:f>
              <c:numCache>
                <c:formatCode>General</c:formatCode>
                <c:ptCount val="366"/>
                <c:pt idx="0">
                  <c:v>1.099</c:v>
                </c:pt>
                <c:pt idx="1">
                  <c:v>1.089</c:v>
                </c:pt>
                <c:pt idx="2">
                  <c:v>1.081</c:v>
                </c:pt>
                <c:pt idx="3">
                  <c:v>1.073</c:v>
                </c:pt>
                <c:pt idx="4">
                  <c:v>1.0669999999999999</c:v>
                </c:pt>
                <c:pt idx="5">
                  <c:v>1.0609999999999999</c:v>
                </c:pt>
                <c:pt idx="6">
                  <c:v>1.056</c:v>
                </c:pt>
                <c:pt idx="7">
                  <c:v>1.0509999999999999</c:v>
                </c:pt>
                <c:pt idx="8">
                  <c:v>1.046</c:v>
                </c:pt>
                <c:pt idx="9">
                  <c:v>1.042</c:v>
                </c:pt>
                <c:pt idx="10">
                  <c:v>1.04</c:v>
                </c:pt>
                <c:pt idx="11">
                  <c:v>1.038</c:v>
                </c:pt>
                <c:pt idx="12">
                  <c:v>1.0349999999999999</c:v>
                </c:pt>
                <c:pt idx="13">
                  <c:v>1.0349999999999999</c:v>
                </c:pt>
                <c:pt idx="14">
                  <c:v>1.0349999999999999</c:v>
                </c:pt>
                <c:pt idx="15">
                  <c:v>1.036</c:v>
                </c:pt>
                <c:pt idx="16">
                  <c:v>1.0349999999999999</c:v>
                </c:pt>
                <c:pt idx="17">
                  <c:v>1.036</c:v>
                </c:pt>
                <c:pt idx="18">
                  <c:v>1.0569999999999999</c:v>
                </c:pt>
                <c:pt idx="19">
                  <c:v>1.081</c:v>
                </c:pt>
                <c:pt idx="20">
                  <c:v>1.093</c:v>
                </c:pt>
                <c:pt idx="21">
                  <c:v>1.103</c:v>
                </c:pt>
                <c:pt idx="22">
                  <c:v>1.101</c:v>
                </c:pt>
                <c:pt idx="23">
                  <c:v>1.119</c:v>
                </c:pt>
                <c:pt idx="24">
                  <c:v>2.1019999999999999</c:v>
                </c:pt>
                <c:pt idx="25">
                  <c:v>2.1309999999999998</c:v>
                </c:pt>
                <c:pt idx="26">
                  <c:v>1.5189999999999999</c:v>
                </c:pt>
                <c:pt idx="27">
                  <c:v>1.367</c:v>
                </c:pt>
                <c:pt idx="28">
                  <c:v>1.2949999999999999</c:v>
                </c:pt>
                <c:pt idx="29">
                  <c:v>1.25</c:v>
                </c:pt>
                <c:pt idx="30">
                  <c:v>1.216</c:v>
                </c:pt>
                <c:pt idx="31">
                  <c:v>1.1879999999999999</c:v>
                </c:pt>
                <c:pt idx="32">
                  <c:v>1.1659999999999999</c:v>
                </c:pt>
                <c:pt idx="33">
                  <c:v>1.147</c:v>
                </c:pt>
                <c:pt idx="34">
                  <c:v>1.131</c:v>
                </c:pt>
                <c:pt idx="35">
                  <c:v>1.117</c:v>
                </c:pt>
                <c:pt idx="36">
                  <c:v>1.105</c:v>
                </c:pt>
                <c:pt idx="37">
                  <c:v>1.095</c:v>
                </c:pt>
                <c:pt idx="38">
                  <c:v>1.0860000000000001</c:v>
                </c:pt>
                <c:pt idx="39">
                  <c:v>1.0780000000000001</c:v>
                </c:pt>
                <c:pt idx="40">
                  <c:v>1.071</c:v>
                </c:pt>
                <c:pt idx="41">
                  <c:v>1.0649999999999999</c:v>
                </c:pt>
                <c:pt idx="42">
                  <c:v>1.0589999999999999</c:v>
                </c:pt>
                <c:pt idx="43">
                  <c:v>1.0509999999999999</c:v>
                </c:pt>
                <c:pt idx="44">
                  <c:v>1.0409999999999999</c:v>
                </c:pt>
                <c:pt idx="45">
                  <c:v>1.0409999999999999</c:v>
                </c:pt>
                <c:pt idx="46">
                  <c:v>1.036</c:v>
                </c:pt>
                <c:pt idx="47">
                  <c:v>1.0329999999999999</c:v>
                </c:pt>
                <c:pt idx="48">
                  <c:v>1.028</c:v>
                </c:pt>
                <c:pt idx="49">
                  <c:v>1.0229999999999999</c:v>
                </c:pt>
                <c:pt idx="50">
                  <c:v>1.0189999999999999</c:v>
                </c:pt>
                <c:pt idx="51">
                  <c:v>1.0149999999999999</c:v>
                </c:pt>
                <c:pt idx="52">
                  <c:v>1.0129999999999999</c:v>
                </c:pt>
                <c:pt idx="53">
                  <c:v>1.0089999999999999</c:v>
                </c:pt>
                <c:pt idx="54">
                  <c:v>1.099</c:v>
                </c:pt>
                <c:pt idx="55">
                  <c:v>3.35</c:v>
                </c:pt>
                <c:pt idx="56">
                  <c:v>2.427</c:v>
                </c:pt>
                <c:pt idx="57">
                  <c:v>1.732</c:v>
                </c:pt>
                <c:pt idx="58">
                  <c:v>1.514</c:v>
                </c:pt>
                <c:pt idx="59">
                  <c:v>1.399</c:v>
                </c:pt>
                <c:pt idx="60">
                  <c:v>1.333</c:v>
                </c:pt>
                <c:pt idx="61">
                  <c:v>1.286</c:v>
                </c:pt>
                <c:pt idx="62">
                  <c:v>1.25</c:v>
                </c:pt>
                <c:pt idx="63">
                  <c:v>1.2210000000000001</c:v>
                </c:pt>
                <c:pt idx="64">
                  <c:v>1.1970000000000001</c:v>
                </c:pt>
                <c:pt idx="65">
                  <c:v>1.18</c:v>
                </c:pt>
                <c:pt idx="66">
                  <c:v>1.175</c:v>
                </c:pt>
                <c:pt idx="67">
                  <c:v>1.165</c:v>
                </c:pt>
                <c:pt idx="68">
                  <c:v>1.159</c:v>
                </c:pt>
                <c:pt idx="69">
                  <c:v>1.163</c:v>
                </c:pt>
                <c:pt idx="70">
                  <c:v>1.1619999999999999</c:v>
                </c:pt>
                <c:pt idx="71">
                  <c:v>1.1499999999999999</c:v>
                </c:pt>
                <c:pt idx="72">
                  <c:v>1.137</c:v>
                </c:pt>
                <c:pt idx="73">
                  <c:v>1.1240000000000001</c:v>
                </c:pt>
                <c:pt idx="74">
                  <c:v>1.1120000000000001</c:v>
                </c:pt>
                <c:pt idx="75">
                  <c:v>1.101</c:v>
                </c:pt>
                <c:pt idx="76">
                  <c:v>1.093</c:v>
                </c:pt>
                <c:pt idx="77">
                  <c:v>1.085</c:v>
                </c:pt>
                <c:pt idx="78">
                  <c:v>1.0760000000000001</c:v>
                </c:pt>
                <c:pt idx="79">
                  <c:v>1.0669999999999999</c:v>
                </c:pt>
                <c:pt idx="80">
                  <c:v>1.0589999999999999</c:v>
                </c:pt>
                <c:pt idx="81">
                  <c:v>1.0529999999999999</c:v>
                </c:pt>
                <c:pt idx="82">
                  <c:v>1.0469999999999999</c:v>
                </c:pt>
                <c:pt idx="83">
                  <c:v>1.04</c:v>
                </c:pt>
                <c:pt idx="84">
                  <c:v>1.0309999999999999</c:v>
                </c:pt>
                <c:pt idx="85">
                  <c:v>1.0249999999999999</c:v>
                </c:pt>
                <c:pt idx="86">
                  <c:v>1.0169999999999999</c:v>
                </c:pt>
                <c:pt idx="87">
                  <c:v>0.94499999999999995</c:v>
                </c:pt>
                <c:pt idx="88">
                  <c:v>0.876</c:v>
                </c:pt>
                <c:pt idx="89">
                  <c:v>0.87</c:v>
                </c:pt>
                <c:pt idx="90">
                  <c:v>0.86899999999999999</c:v>
                </c:pt>
                <c:pt idx="91">
                  <c:v>0.876</c:v>
                </c:pt>
                <c:pt idx="92">
                  <c:v>0.84599999999999997</c:v>
                </c:pt>
                <c:pt idx="93">
                  <c:v>0.85499999999999998</c:v>
                </c:pt>
                <c:pt idx="94">
                  <c:v>0.92200000000000004</c:v>
                </c:pt>
                <c:pt idx="95">
                  <c:v>0.94699999999999995</c:v>
                </c:pt>
                <c:pt idx="96">
                  <c:v>0.94299999999999995</c:v>
                </c:pt>
                <c:pt idx="97">
                  <c:v>0.96299999999999997</c:v>
                </c:pt>
                <c:pt idx="98">
                  <c:v>0.93600000000000005</c:v>
                </c:pt>
                <c:pt idx="99">
                  <c:v>0.92900000000000005</c:v>
                </c:pt>
                <c:pt idx="100">
                  <c:v>0.94399999999999995</c:v>
                </c:pt>
                <c:pt idx="101">
                  <c:v>0.91700000000000004</c:v>
                </c:pt>
                <c:pt idx="102">
                  <c:v>0.91600000000000004</c:v>
                </c:pt>
                <c:pt idx="103">
                  <c:v>0.92900000000000005</c:v>
                </c:pt>
                <c:pt idx="104">
                  <c:v>0.92900000000000005</c:v>
                </c:pt>
                <c:pt idx="105">
                  <c:v>0.92900000000000005</c:v>
                </c:pt>
                <c:pt idx="106">
                  <c:v>0.91700000000000004</c:v>
                </c:pt>
                <c:pt idx="107">
                  <c:v>0.89100000000000001</c:v>
                </c:pt>
                <c:pt idx="108">
                  <c:v>0.89300000000000002</c:v>
                </c:pt>
                <c:pt idx="109">
                  <c:v>0.89800000000000002</c:v>
                </c:pt>
                <c:pt idx="110">
                  <c:v>0.90400000000000003</c:v>
                </c:pt>
                <c:pt idx="111">
                  <c:v>0.90100000000000002</c:v>
                </c:pt>
                <c:pt idx="112">
                  <c:v>0.89600000000000002</c:v>
                </c:pt>
                <c:pt idx="113">
                  <c:v>0.96699999999999997</c:v>
                </c:pt>
                <c:pt idx="114">
                  <c:v>1.0489999999999999</c:v>
                </c:pt>
                <c:pt idx="115">
                  <c:v>1.077</c:v>
                </c:pt>
                <c:pt idx="116">
                  <c:v>1.161</c:v>
                </c:pt>
                <c:pt idx="117">
                  <c:v>1.256</c:v>
                </c:pt>
                <c:pt idx="118">
                  <c:v>1.327</c:v>
                </c:pt>
                <c:pt idx="119">
                  <c:v>1.3080000000000001</c:v>
                </c:pt>
                <c:pt idx="120">
                  <c:v>1.2949999999999999</c:v>
                </c:pt>
                <c:pt idx="121">
                  <c:v>1.268</c:v>
                </c:pt>
                <c:pt idx="122">
                  <c:v>1.2070000000000001</c:v>
                </c:pt>
                <c:pt idx="123">
                  <c:v>1.206</c:v>
                </c:pt>
                <c:pt idx="124">
                  <c:v>1.202</c:v>
                </c:pt>
                <c:pt idx="125">
                  <c:v>1.1639999999999999</c:v>
                </c:pt>
                <c:pt idx="126">
                  <c:v>1.111</c:v>
                </c:pt>
                <c:pt idx="127">
                  <c:v>1.1180000000000001</c:v>
                </c:pt>
                <c:pt idx="128">
                  <c:v>2.633</c:v>
                </c:pt>
                <c:pt idx="129">
                  <c:v>1.843</c:v>
                </c:pt>
                <c:pt idx="130">
                  <c:v>1.369</c:v>
                </c:pt>
                <c:pt idx="131">
                  <c:v>1.248</c:v>
                </c:pt>
                <c:pt idx="132">
                  <c:v>1.212</c:v>
                </c:pt>
                <c:pt idx="133">
                  <c:v>1.1839999999999999</c:v>
                </c:pt>
                <c:pt idx="134">
                  <c:v>1.141</c:v>
                </c:pt>
                <c:pt idx="135">
                  <c:v>1.1020000000000001</c:v>
                </c:pt>
                <c:pt idx="136">
                  <c:v>1.08</c:v>
                </c:pt>
                <c:pt idx="137">
                  <c:v>1.0720000000000001</c:v>
                </c:pt>
                <c:pt idx="138">
                  <c:v>1.0469999999999999</c:v>
                </c:pt>
                <c:pt idx="139">
                  <c:v>1.07</c:v>
                </c:pt>
                <c:pt idx="140">
                  <c:v>1.1040000000000001</c:v>
                </c:pt>
                <c:pt idx="141">
                  <c:v>1.0589999999999999</c:v>
                </c:pt>
                <c:pt idx="142">
                  <c:v>1.0289999999999999</c:v>
                </c:pt>
                <c:pt idx="143">
                  <c:v>0.998</c:v>
                </c:pt>
                <c:pt idx="144">
                  <c:v>0.97899999999999998</c:v>
                </c:pt>
                <c:pt idx="145">
                  <c:v>0.89400000000000002</c:v>
                </c:pt>
                <c:pt idx="146">
                  <c:v>0.83499999999999996</c:v>
                </c:pt>
                <c:pt idx="147">
                  <c:v>0.81599999999999995</c:v>
                </c:pt>
                <c:pt idx="148">
                  <c:v>0.80800000000000005</c:v>
                </c:pt>
                <c:pt idx="149">
                  <c:v>0.80600000000000005</c:v>
                </c:pt>
                <c:pt idx="150">
                  <c:v>0.80200000000000005</c:v>
                </c:pt>
                <c:pt idx="151">
                  <c:v>0.82299999999999995</c:v>
                </c:pt>
                <c:pt idx="152">
                  <c:v>0.873</c:v>
                </c:pt>
                <c:pt idx="153">
                  <c:v>0.89700000000000002</c:v>
                </c:pt>
                <c:pt idx="154">
                  <c:v>0.96399999999999997</c:v>
                </c:pt>
                <c:pt idx="155">
                  <c:v>0.98099999999999998</c:v>
                </c:pt>
                <c:pt idx="156">
                  <c:v>0.97399999999999998</c:v>
                </c:pt>
                <c:pt idx="157">
                  <c:v>1.0029999999999999</c:v>
                </c:pt>
                <c:pt idx="158">
                  <c:v>0.98399999999999999</c:v>
                </c:pt>
                <c:pt idx="159">
                  <c:v>1.1160000000000001</c:v>
                </c:pt>
                <c:pt idx="160">
                  <c:v>1.165</c:v>
                </c:pt>
                <c:pt idx="161">
                  <c:v>1.153</c:v>
                </c:pt>
                <c:pt idx="162">
                  <c:v>1.1579999999999999</c:v>
                </c:pt>
                <c:pt idx="163">
                  <c:v>1.1619999999999999</c:v>
                </c:pt>
                <c:pt idx="164">
                  <c:v>1.18</c:v>
                </c:pt>
                <c:pt idx="165">
                  <c:v>1.181</c:v>
                </c:pt>
                <c:pt idx="166">
                  <c:v>1.2350000000000001</c:v>
                </c:pt>
                <c:pt idx="167">
                  <c:v>1.3120000000000001</c:v>
                </c:pt>
                <c:pt idx="168">
                  <c:v>1.3520000000000001</c:v>
                </c:pt>
                <c:pt idx="169">
                  <c:v>1.488</c:v>
                </c:pt>
                <c:pt idx="170">
                  <c:v>1.5569999999999999</c:v>
                </c:pt>
                <c:pt idx="171">
                  <c:v>1.629</c:v>
                </c:pt>
                <c:pt idx="172">
                  <c:v>1.6160000000000001</c:v>
                </c:pt>
                <c:pt idx="173">
                  <c:v>1.6180000000000001</c:v>
                </c:pt>
                <c:pt idx="174">
                  <c:v>1.62</c:v>
                </c:pt>
                <c:pt idx="175">
                  <c:v>1.621</c:v>
                </c:pt>
                <c:pt idx="176">
                  <c:v>1.6120000000000001</c:v>
                </c:pt>
                <c:pt idx="177">
                  <c:v>1.583</c:v>
                </c:pt>
                <c:pt idx="178">
                  <c:v>1.5760000000000001</c:v>
                </c:pt>
                <c:pt idx="179">
                  <c:v>1.6379999999999999</c:v>
                </c:pt>
                <c:pt idx="180">
                  <c:v>1.6140000000000001</c:v>
                </c:pt>
                <c:pt idx="181">
                  <c:v>1.603</c:v>
                </c:pt>
                <c:pt idx="182">
                  <c:v>1.516</c:v>
                </c:pt>
                <c:pt idx="183">
                  <c:v>1.4690000000000001</c:v>
                </c:pt>
                <c:pt idx="184">
                  <c:v>1.393</c:v>
                </c:pt>
                <c:pt idx="185">
                  <c:v>1.389</c:v>
                </c:pt>
                <c:pt idx="186">
                  <c:v>1.399</c:v>
                </c:pt>
                <c:pt idx="187">
                  <c:v>1.34</c:v>
                </c:pt>
                <c:pt idx="188">
                  <c:v>1.2609999999999999</c:v>
                </c:pt>
                <c:pt idx="189">
                  <c:v>1.921</c:v>
                </c:pt>
                <c:pt idx="190">
                  <c:v>1.5880000000000001</c:v>
                </c:pt>
                <c:pt idx="191">
                  <c:v>1.3169999999999999</c:v>
                </c:pt>
                <c:pt idx="192">
                  <c:v>1.208</c:v>
                </c:pt>
                <c:pt idx="193">
                  <c:v>1.1519999999999999</c:v>
                </c:pt>
                <c:pt idx="194">
                  <c:v>1.113</c:v>
                </c:pt>
                <c:pt idx="195">
                  <c:v>1.248</c:v>
                </c:pt>
                <c:pt idx="196">
                  <c:v>1.321</c:v>
                </c:pt>
                <c:pt idx="197">
                  <c:v>1.3220000000000001</c:v>
                </c:pt>
                <c:pt idx="198">
                  <c:v>1.3140000000000001</c:v>
                </c:pt>
                <c:pt idx="199">
                  <c:v>1.4159999999999999</c:v>
                </c:pt>
                <c:pt idx="200">
                  <c:v>1.6160000000000001</c:v>
                </c:pt>
                <c:pt idx="201">
                  <c:v>1.621</c:v>
                </c:pt>
                <c:pt idx="202">
                  <c:v>1.6479999999999999</c:v>
                </c:pt>
                <c:pt idx="203">
                  <c:v>1.655</c:v>
                </c:pt>
                <c:pt idx="204">
                  <c:v>1.669</c:v>
                </c:pt>
                <c:pt idx="205">
                  <c:v>1.6830000000000001</c:v>
                </c:pt>
                <c:pt idx="206">
                  <c:v>1.6559999999999999</c:v>
                </c:pt>
                <c:pt idx="207">
                  <c:v>1.569</c:v>
                </c:pt>
                <c:pt idx="208">
                  <c:v>1.5149999999999999</c:v>
                </c:pt>
                <c:pt idx="209">
                  <c:v>1.488</c:v>
                </c:pt>
                <c:pt idx="210">
                  <c:v>1.4890000000000001</c:v>
                </c:pt>
                <c:pt idx="211">
                  <c:v>1.492</c:v>
                </c:pt>
                <c:pt idx="212">
                  <c:v>1.4870000000000001</c:v>
                </c:pt>
                <c:pt idx="213">
                  <c:v>1.73</c:v>
                </c:pt>
                <c:pt idx="214">
                  <c:v>1.466</c:v>
                </c:pt>
                <c:pt idx="215">
                  <c:v>1.272</c:v>
                </c:pt>
                <c:pt idx="216">
                  <c:v>1.2030000000000001</c:v>
                </c:pt>
                <c:pt idx="217">
                  <c:v>1.171</c:v>
                </c:pt>
                <c:pt idx="218">
                  <c:v>1.244</c:v>
                </c:pt>
                <c:pt idx="219">
                  <c:v>1.1990000000000001</c:v>
                </c:pt>
                <c:pt idx="220">
                  <c:v>1.165</c:v>
                </c:pt>
                <c:pt idx="221">
                  <c:v>1.2170000000000001</c:v>
                </c:pt>
                <c:pt idx="222">
                  <c:v>1.2050000000000001</c:v>
                </c:pt>
                <c:pt idx="223">
                  <c:v>1.1479999999999999</c:v>
                </c:pt>
                <c:pt idx="224">
                  <c:v>1.085</c:v>
                </c:pt>
                <c:pt idx="225">
                  <c:v>1.04</c:v>
                </c:pt>
                <c:pt idx="226">
                  <c:v>0.95399999999999996</c:v>
                </c:pt>
                <c:pt idx="227">
                  <c:v>0.92400000000000004</c:v>
                </c:pt>
                <c:pt idx="228">
                  <c:v>0.89700000000000002</c:v>
                </c:pt>
                <c:pt idx="229">
                  <c:v>0.89</c:v>
                </c:pt>
                <c:pt idx="230">
                  <c:v>0.88200000000000001</c:v>
                </c:pt>
                <c:pt idx="231">
                  <c:v>0.877</c:v>
                </c:pt>
                <c:pt idx="232">
                  <c:v>0.873</c:v>
                </c:pt>
                <c:pt idx="233">
                  <c:v>0.88500000000000001</c:v>
                </c:pt>
                <c:pt idx="234">
                  <c:v>0.93300000000000005</c:v>
                </c:pt>
                <c:pt idx="235">
                  <c:v>0.90400000000000003</c:v>
                </c:pt>
                <c:pt idx="236">
                  <c:v>0.90600000000000003</c:v>
                </c:pt>
                <c:pt idx="237">
                  <c:v>0.89100000000000001</c:v>
                </c:pt>
                <c:pt idx="238">
                  <c:v>0.875</c:v>
                </c:pt>
                <c:pt idx="239">
                  <c:v>0.85299999999999998</c:v>
                </c:pt>
                <c:pt idx="240">
                  <c:v>0.82399999999999995</c:v>
                </c:pt>
                <c:pt idx="241">
                  <c:v>0.80700000000000005</c:v>
                </c:pt>
                <c:pt idx="242">
                  <c:v>0.79700000000000004</c:v>
                </c:pt>
                <c:pt idx="243">
                  <c:v>0.79600000000000004</c:v>
                </c:pt>
                <c:pt idx="244">
                  <c:v>0.83699999999999997</c:v>
                </c:pt>
                <c:pt idx="245">
                  <c:v>0.83799999999999997</c:v>
                </c:pt>
                <c:pt idx="246">
                  <c:v>0.85499999999999998</c:v>
                </c:pt>
                <c:pt idx="247">
                  <c:v>0.92100000000000004</c:v>
                </c:pt>
                <c:pt idx="248">
                  <c:v>0.96499999999999997</c:v>
                </c:pt>
                <c:pt idx="249">
                  <c:v>0.96299999999999997</c:v>
                </c:pt>
                <c:pt idx="250">
                  <c:v>0.96799999999999997</c:v>
                </c:pt>
                <c:pt idx="251">
                  <c:v>0.96699999999999997</c:v>
                </c:pt>
                <c:pt idx="252">
                  <c:v>0.96599999999999997</c:v>
                </c:pt>
                <c:pt idx="253">
                  <c:v>0.95699999999999996</c:v>
                </c:pt>
                <c:pt idx="254">
                  <c:v>0.88100000000000001</c:v>
                </c:pt>
                <c:pt idx="255">
                  <c:v>0.83699999999999997</c:v>
                </c:pt>
                <c:pt idx="256">
                  <c:v>0.82099999999999995</c:v>
                </c:pt>
                <c:pt idx="257">
                  <c:v>0.80900000000000005</c:v>
                </c:pt>
                <c:pt idx="258">
                  <c:v>0.83899999999999997</c:v>
                </c:pt>
                <c:pt idx="259">
                  <c:v>0.86</c:v>
                </c:pt>
                <c:pt idx="260">
                  <c:v>0.91200000000000003</c:v>
                </c:pt>
                <c:pt idx="261">
                  <c:v>0.93400000000000005</c:v>
                </c:pt>
                <c:pt idx="262">
                  <c:v>0.93700000000000006</c:v>
                </c:pt>
                <c:pt idx="263">
                  <c:v>0.90300000000000002</c:v>
                </c:pt>
                <c:pt idx="264">
                  <c:v>0.89800000000000002</c:v>
                </c:pt>
                <c:pt idx="265">
                  <c:v>0.88300000000000001</c:v>
                </c:pt>
                <c:pt idx="266">
                  <c:v>0.88900000000000001</c:v>
                </c:pt>
                <c:pt idx="267">
                  <c:v>0.86299999999999999</c:v>
                </c:pt>
                <c:pt idx="268">
                  <c:v>0.85299999999999998</c:v>
                </c:pt>
                <c:pt idx="269">
                  <c:v>0.82299999999999995</c:v>
                </c:pt>
                <c:pt idx="270">
                  <c:v>0.82499999999999996</c:v>
                </c:pt>
                <c:pt idx="271">
                  <c:v>0.81499999999999995</c:v>
                </c:pt>
                <c:pt idx="272">
                  <c:v>0.81699999999999995</c:v>
                </c:pt>
                <c:pt idx="273">
                  <c:v>0.83399999999999996</c:v>
                </c:pt>
                <c:pt idx="274">
                  <c:v>0.82699999999999996</c:v>
                </c:pt>
                <c:pt idx="275">
                  <c:v>0.80400000000000005</c:v>
                </c:pt>
                <c:pt idx="276">
                  <c:v>0.79600000000000004</c:v>
                </c:pt>
                <c:pt idx="277">
                  <c:v>0.85599999999999998</c:v>
                </c:pt>
                <c:pt idx="278">
                  <c:v>0.85499999999999998</c:v>
                </c:pt>
                <c:pt idx="279">
                  <c:v>0.83399999999999996</c:v>
                </c:pt>
                <c:pt idx="280">
                  <c:v>0.82</c:v>
                </c:pt>
                <c:pt idx="281">
                  <c:v>0.84399999999999997</c:v>
                </c:pt>
                <c:pt idx="282">
                  <c:v>0.89100000000000001</c:v>
                </c:pt>
                <c:pt idx="283">
                  <c:v>0.88300000000000001</c:v>
                </c:pt>
                <c:pt idx="284">
                  <c:v>0.872</c:v>
                </c:pt>
                <c:pt idx="285">
                  <c:v>0.86599999999999999</c:v>
                </c:pt>
                <c:pt idx="286">
                  <c:v>0.89700000000000002</c:v>
                </c:pt>
                <c:pt idx="287">
                  <c:v>1.071</c:v>
                </c:pt>
                <c:pt idx="288">
                  <c:v>1.0740000000000001</c:v>
                </c:pt>
                <c:pt idx="289">
                  <c:v>1.0660000000000001</c:v>
                </c:pt>
                <c:pt idx="290">
                  <c:v>1.0609999999999999</c:v>
                </c:pt>
                <c:pt idx="291">
                  <c:v>1.06</c:v>
                </c:pt>
                <c:pt idx="292">
                  <c:v>1.0580000000000001</c:v>
                </c:pt>
                <c:pt idx="293">
                  <c:v>1.0569999999999999</c:v>
                </c:pt>
                <c:pt idx="294">
                  <c:v>1.038</c:v>
                </c:pt>
                <c:pt idx="295">
                  <c:v>1.0129999999999999</c:v>
                </c:pt>
                <c:pt idx="296">
                  <c:v>0.99199999999999999</c:v>
                </c:pt>
                <c:pt idx="297">
                  <c:v>0.97699999999999998</c:v>
                </c:pt>
                <c:pt idx="298">
                  <c:v>0.96299999999999997</c:v>
                </c:pt>
                <c:pt idx="299">
                  <c:v>0.97099999999999997</c:v>
                </c:pt>
                <c:pt idx="300">
                  <c:v>0.96799999999999997</c:v>
                </c:pt>
                <c:pt idx="301">
                  <c:v>0.96899999999999997</c:v>
                </c:pt>
                <c:pt idx="302">
                  <c:v>0.96799999999999997</c:v>
                </c:pt>
                <c:pt idx="303">
                  <c:v>0.96499999999999997</c:v>
                </c:pt>
                <c:pt idx="304">
                  <c:v>0.96499999999999997</c:v>
                </c:pt>
                <c:pt idx="305">
                  <c:v>0.96899999999999997</c:v>
                </c:pt>
                <c:pt idx="306">
                  <c:v>1.008</c:v>
                </c:pt>
                <c:pt idx="307">
                  <c:v>1.046</c:v>
                </c:pt>
                <c:pt idx="308">
                  <c:v>1.0489999999999999</c:v>
                </c:pt>
                <c:pt idx="309">
                  <c:v>1.054</c:v>
                </c:pt>
                <c:pt idx="310">
                  <c:v>1.06</c:v>
                </c:pt>
                <c:pt idx="311">
                  <c:v>1.1020000000000001</c:v>
                </c:pt>
                <c:pt idx="312">
                  <c:v>1.111</c:v>
                </c:pt>
                <c:pt idx="313">
                  <c:v>1.113</c:v>
                </c:pt>
                <c:pt idx="314">
                  <c:v>1.1499999999999999</c:v>
                </c:pt>
                <c:pt idx="315">
                  <c:v>1.1990000000000001</c:v>
                </c:pt>
                <c:pt idx="316">
                  <c:v>1.2050000000000001</c:v>
                </c:pt>
                <c:pt idx="317">
                  <c:v>1.2130000000000001</c:v>
                </c:pt>
                <c:pt idx="318">
                  <c:v>1.242</c:v>
                </c:pt>
                <c:pt idx="319">
                  <c:v>1.242</c:v>
                </c:pt>
                <c:pt idx="320">
                  <c:v>1.2430000000000001</c:v>
                </c:pt>
                <c:pt idx="321">
                  <c:v>1.246</c:v>
                </c:pt>
                <c:pt idx="322">
                  <c:v>1.212</c:v>
                </c:pt>
                <c:pt idx="324">
                  <c:v>3.35</c:v>
                </c:pt>
              </c:numCache>
            </c:numRef>
          </c:val>
          <c:smooth val="0"/>
        </c:ser>
        <c:ser>
          <c:idx val="8"/>
          <c:order val="3"/>
          <c:tx>
            <c:strRef>
              <c:f>flows!$E$1</c:f>
              <c:strCache>
                <c:ptCount val="1"/>
                <c:pt idx="0">
                  <c:v>418063 - Gwydir @ DS Tyreel</c:v>
                </c:pt>
              </c:strCache>
            </c:strRef>
          </c:tx>
          <c:spPr>
            <a:ln w="28575" cap="rnd">
              <a:solidFill>
                <a:schemeClr val="tx2">
                  <a:lumMod val="60000"/>
                  <a:lumOff val="40000"/>
                </a:schemeClr>
              </a:solidFill>
              <a:round/>
            </a:ln>
            <a:effectLst/>
          </c:spPr>
          <c:marker>
            <c:symbol val="none"/>
          </c:marker>
          <c:cat>
            <c:numRef>
              <c:f>flows!$A$5:$A$370</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flows!$E$5:$E$370</c:f>
              <c:numCache>
                <c:formatCode>General</c:formatCode>
                <c:ptCount val="366"/>
                <c:pt idx="0">
                  <c:v>0.49600000000000932</c:v>
                </c:pt>
                <c:pt idx="1">
                  <c:v>0.46899999999999409</c:v>
                </c:pt>
                <c:pt idx="2">
                  <c:v>0.44599999999999795</c:v>
                </c:pt>
                <c:pt idx="3">
                  <c:v>0.42500000000001137</c:v>
                </c:pt>
                <c:pt idx="4">
                  <c:v>0.38599999999999568</c:v>
                </c:pt>
                <c:pt idx="5">
                  <c:v>0.36299999999999955</c:v>
                </c:pt>
                <c:pt idx="6">
                  <c:v>0.36299999999999955</c:v>
                </c:pt>
                <c:pt idx="7">
                  <c:v>0.36199999999999477</c:v>
                </c:pt>
                <c:pt idx="8">
                  <c:v>0.36199999999999477</c:v>
                </c:pt>
                <c:pt idx="9">
                  <c:v>0.36199999999999477</c:v>
                </c:pt>
                <c:pt idx="10">
                  <c:v>0.36199999999999477</c:v>
                </c:pt>
                <c:pt idx="11">
                  <c:v>0.36299999999999955</c:v>
                </c:pt>
                <c:pt idx="12">
                  <c:v>0.35800000000000409</c:v>
                </c:pt>
                <c:pt idx="13">
                  <c:v>0.35800000000000409</c:v>
                </c:pt>
                <c:pt idx="14">
                  <c:v>0.35800000000000409</c:v>
                </c:pt>
                <c:pt idx="15">
                  <c:v>0.35800000000000409</c:v>
                </c:pt>
                <c:pt idx="16">
                  <c:v>0.35900000000000887</c:v>
                </c:pt>
                <c:pt idx="17">
                  <c:v>0.36000000000001364</c:v>
                </c:pt>
                <c:pt idx="18">
                  <c:v>0.36000000000001364</c:v>
                </c:pt>
                <c:pt idx="19">
                  <c:v>0.81299999999998818</c:v>
                </c:pt>
                <c:pt idx="20">
                  <c:v>0.34999999999999432</c:v>
                </c:pt>
                <c:pt idx="21">
                  <c:v>0.23300000000000409</c:v>
                </c:pt>
                <c:pt idx="22">
                  <c:v>0.13800000000000523</c:v>
                </c:pt>
                <c:pt idx="23">
                  <c:v>0.37299999999999045</c:v>
                </c:pt>
                <c:pt idx="24">
                  <c:v>1.01400000000001</c:v>
                </c:pt>
                <c:pt idx="25">
                  <c:v>2.7119999999999891</c:v>
                </c:pt>
                <c:pt idx="26">
                  <c:v>2.0829999999999984</c:v>
                </c:pt>
                <c:pt idx="27">
                  <c:v>1.7160000000000082</c:v>
                </c:pt>
                <c:pt idx="28">
                  <c:v>1.4000000000000057</c:v>
                </c:pt>
                <c:pt idx="29">
                  <c:v>1.0680000000000121</c:v>
                </c:pt>
                <c:pt idx="30">
                  <c:v>1.0480000000000018</c:v>
                </c:pt>
                <c:pt idx="31">
                  <c:v>0.99199999999999022</c:v>
                </c:pt>
                <c:pt idx="32">
                  <c:v>0.86000000000001364</c:v>
                </c:pt>
                <c:pt idx="33">
                  <c:v>0.6980000000000075</c:v>
                </c:pt>
                <c:pt idx="34">
                  <c:v>0.53499999999999659</c:v>
                </c:pt>
                <c:pt idx="35">
                  <c:v>0.47399999999998954</c:v>
                </c:pt>
                <c:pt idx="36">
                  <c:v>0.42799999999999727</c:v>
                </c:pt>
                <c:pt idx="37">
                  <c:v>0.37299999999999045</c:v>
                </c:pt>
                <c:pt idx="38">
                  <c:v>0.36099999999999</c:v>
                </c:pt>
                <c:pt idx="39">
                  <c:v>0.36000000000001364</c:v>
                </c:pt>
                <c:pt idx="40">
                  <c:v>0.36000000000001364</c:v>
                </c:pt>
                <c:pt idx="41">
                  <c:v>0.36000000000001364</c:v>
                </c:pt>
                <c:pt idx="42">
                  <c:v>0.36000000000001364</c:v>
                </c:pt>
                <c:pt idx="43">
                  <c:v>0.36299999999999955</c:v>
                </c:pt>
                <c:pt idx="44">
                  <c:v>0.36299999999999955</c:v>
                </c:pt>
                <c:pt idx="45">
                  <c:v>0.36400000000000432</c:v>
                </c:pt>
                <c:pt idx="46">
                  <c:v>0.36199999999999477</c:v>
                </c:pt>
                <c:pt idx="47">
                  <c:v>0.34100000000000819</c:v>
                </c:pt>
                <c:pt idx="48">
                  <c:v>0.33099999999998886</c:v>
                </c:pt>
                <c:pt idx="49">
                  <c:v>0.32800000000000296</c:v>
                </c:pt>
                <c:pt idx="50">
                  <c:v>0.32200000000000273</c:v>
                </c:pt>
                <c:pt idx="51">
                  <c:v>0.29499999999998749</c:v>
                </c:pt>
                <c:pt idx="52">
                  <c:v>0.28100000000000591</c:v>
                </c:pt>
                <c:pt idx="53">
                  <c:v>0.26800000000000068</c:v>
                </c:pt>
                <c:pt idx="54">
                  <c:v>0.25999999999999091</c:v>
                </c:pt>
                <c:pt idx="55">
                  <c:v>1.4240000000000066</c:v>
                </c:pt>
                <c:pt idx="56">
                  <c:v>2.4310000000000116</c:v>
                </c:pt>
                <c:pt idx="57">
                  <c:v>1.7529999999999859</c:v>
                </c:pt>
                <c:pt idx="58">
                  <c:v>1.7160000000000082</c:v>
                </c:pt>
                <c:pt idx="59">
                  <c:v>1.632000000000005</c:v>
                </c:pt>
                <c:pt idx="60">
                  <c:v>1.51400000000001</c:v>
                </c:pt>
                <c:pt idx="61">
                  <c:v>1.3580000000000041</c:v>
                </c:pt>
                <c:pt idx="62">
                  <c:v>1.0900000000000034</c:v>
                </c:pt>
                <c:pt idx="63">
                  <c:v>0.90899999999999181</c:v>
                </c:pt>
                <c:pt idx="64">
                  <c:v>0.83799999999999386</c:v>
                </c:pt>
                <c:pt idx="65">
                  <c:v>0.76800000000000068</c:v>
                </c:pt>
                <c:pt idx="66">
                  <c:v>0.76499999999998636</c:v>
                </c:pt>
                <c:pt idx="67">
                  <c:v>0.76400000000001</c:v>
                </c:pt>
                <c:pt idx="68">
                  <c:v>0.72200000000000841</c:v>
                </c:pt>
                <c:pt idx="69">
                  <c:v>0.64799999999999613</c:v>
                </c:pt>
                <c:pt idx="70">
                  <c:v>0.63100000000000023</c:v>
                </c:pt>
                <c:pt idx="71">
                  <c:v>0.62999999999999545</c:v>
                </c:pt>
                <c:pt idx="72">
                  <c:v>0.59299999999998931</c:v>
                </c:pt>
                <c:pt idx="73">
                  <c:v>0.48300000000000409</c:v>
                </c:pt>
                <c:pt idx="74">
                  <c:v>0.46500000000000341</c:v>
                </c:pt>
                <c:pt idx="75">
                  <c:v>0.43000000000000682</c:v>
                </c:pt>
                <c:pt idx="76">
                  <c:v>0.38399999999998613</c:v>
                </c:pt>
                <c:pt idx="77">
                  <c:v>0.38300000000000978</c:v>
                </c:pt>
                <c:pt idx="78">
                  <c:v>0.38100000000000023</c:v>
                </c:pt>
                <c:pt idx="79">
                  <c:v>0.34299999999998931</c:v>
                </c:pt>
                <c:pt idx="80">
                  <c:v>0.31800000000001205</c:v>
                </c:pt>
                <c:pt idx="81">
                  <c:v>0.31700000000000728</c:v>
                </c:pt>
                <c:pt idx="82">
                  <c:v>0.31700000000000728</c:v>
                </c:pt>
                <c:pt idx="83">
                  <c:v>0.31700000000000728</c:v>
                </c:pt>
                <c:pt idx="84">
                  <c:v>0.30299999999999727</c:v>
                </c:pt>
                <c:pt idx="85">
                  <c:v>0.27600000000001046</c:v>
                </c:pt>
                <c:pt idx="86">
                  <c:v>0.27600000000001046</c:v>
                </c:pt>
                <c:pt idx="87">
                  <c:v>0.27400000000000091</c:v>
                </c:pt>
                <c:pt idx="88">
                  <c:v>0.27099999999998658</c:v>
                </c:pt>
                <c:pt idx="89">
                  <c:v>0.26099999999999568</c:v>
                </c:pt>
                <c:pt idx="90">
                  <c:v>0.25100000000000477</c:v>
                </c:pt>
                <c:pt idx="91">
                  <c:v>0.25</c:v>
                </c:pt>
                <c:pt idx="92">
                  <c:v>0.25</c:v>
                </c:pt>
                <c:pt idx="93">
                  <c:v>0.24500000000000455</c:v>
                </c:pt>
                <c:pt idx="94">
                  <c:v>0.23500000000001364</c:v>
                </c:pt>
                <c:pt idx="95">
                  <c:v>0.23099999999999454</c:v>
                </c:pt>
                <c:pt idx="96">
                  <c:v>0.22599999999999909</c:v>
                </c:pt>
                <c:pt idx="97">
                  <c:v>0.22300000000001319</c:v>
                </c:pt>
                <c:pt idx="98">
                  <c:v>0.22399999999998954</c:v>
                </c:pt>
                <c:pt idx="99">
                  <c:v>0.22300000000001319</c:v>
                </c:pt>
                <c:pt idx="100">
                  <c:v>0.22200000000000841</c:v>
                </c:pt>
                <c:pt idx="101">
                  <c:v>0.22100000000000364</c:v>
                </c:pt>
                <c:pt idx="102">
                  <c:v>0.22100000000000364</c:v>
                </c:pt>
                <c:pt idx="103">
                  <c:v>0.21899999999999409</c:v>
                </c:pt>
                <c:pt idx="104">
                  <c:v>0.21799999999998931</c:v>
                </c:pt>
                <c:pt idx="105">
                  <c:v>0.21799999999998931</c:v>
                </c:pt>
                <c:pt idx="106">
                  <c:v>0.21799999999998931</c:v>
                </c:pt>
                <c:pt idx="107">
                  <c:v>0.22399999999998954</c:v>
                </c:pt>
                <c:pt idx="108">
                  <c:v>0.22700000000000387</c:v>
                </c:pt>
                <c:pt idx="109">
                  <c:v>0.22900000000001342</c:v>
                </c:pt>
                <c:pt idx="110">
                  <c:v>0.22900000000001342</c:v>
                </c:pt>
                <c:pt idx="111">
                  <c:v>0.22999999999998977</c:v>
                </c:pt>
                <c:pt idx="112">
                  <c:v>0.22900000000001342</c:v>
                </c:pt>
                <c:pt idx="113">
                  <c:v>0.22999999999998977</c:v>
                </c:pt>
                <c:pt idx="114">
                  <c:v>0.23199999999999932</c:v>
                </c:pt>
                <c:pt idx="115">
                  <c:v>0.23599999999999</c:v>
                </c:pt>
                <c:pt idx="116">
                  <c:v>0.22399999999998954</c:v>
                </c:pt>
                <c:pt idx="117">
                  <c:v>0.20400000000000773</c:v>
                </c:pt>
                <c:pt idx="118">
                  <c:v>0.20199999999999818</c:v>
                </c:pt>
                <c:pt idx="119">
                  <c:v>0.19999999999998863</c:v>
                </c:pt>
                <c:pt idx="120">
                  <c:v>0.20099999999999341</c:v>
                </c:pt>
                <c:pt idx="121">
                  <c:v>0.19999999999998863</c:v>
                </c:pt>
                <c:pt idx="122">
                  <c:v>0.19900000000001228</c:v>
                </c:pt>
                <c:pt idx="123">
                  <c:v>0.1980000000000075</c:v>
                </c:pt>
                <c:pt idx="124">
                  <c:v>0.19900000000001228</c:v>
                </c:pt>
                <c:pt idx="125">
                  <c:v>0.19900000000001228</c:v>
                </c:pt>
                <c:pt idx="126">
                  <c:v>0.1980000000000075</c:v>
                </c:pt>
                <c:pt idx="127">
                  <c:v>0.19700000000000273</c:v>
                </c:pt>
                <c:pt idx="128">
                  <c:v>1.0740000000000123</c:v>
                </c:pt>
                <c:pt idx="129">
                  <c:v>2.1949999999999932</c:v>
                </c:pt>
                <c:pt idx="130">
                  <c:v>1.1810000000000116</c:v>
                </c:pt>
                <c:pt idx="131">
                  <c:v>1.1810000000000116</c:v>
                </c:pt>
                <c:pt idx="132">
                  <c:v>1.1730000000000018</c:v>
                </c:pt>
                <c:pt idx="133">
                  <c:v>0.78999999999999204</c:v>
                </c:pt>
                <c:pt idx="134">
                  <c:v>0.56399999999999295</c:v>
                </c:pt>
                <c:pt idx="135">
                  <c:v>0.53399999999999181</c:v>
                </c:pt>
                <c:pt idx="136">
                  <c:v>0.39400000000000546</c:v>
                </c:pt>
                <c:pt idx="137">
                  <c:v>0.33199999999999363</c:v>
                </c:pt>
                <c:pt idx="138">
                  <c:v>0.32900000000000773</c:v>
                </c:pt>
                <c:pt idx="139">
                  <c:v>0.28800000000001091</c:v>
                </c:pt>
                <c:pt idx="140">
                  <c:v>0.22499999999999432</c:v>
                </c:pt>
                <c:pt idx="141">
                  <c:v>0.50399999999999068</c:v>
                </c:pt>
                <c:pt idx="142">
                  <c:v>0.56200000000001182</c:v>
                </c:pt>
                <c:pt idx="143">
                  <c:v>0.39400000000000546</c:v>
                </c:pt>
                <c:pt idx="144">
                  <c:v>0.31200000000001182</c:v>
                </c:pt>
                <c:pt idx="145">
                  <c:v>0.26300000000000523</c:v>
                </c:pt>
                <c:pt idx="146">
                  <c:v>0.24199999999999022</c:v>
                </c:pt>
                <c:pt idx="147">
                  <c:v>0.22399999999998954</c:v>
                </c:pt>
                <c:pt idx="148">
                  <c:v>0.1939999999999884</c:v>
                </c:pt>
                <c:pt idx="149">
                  <c:v>0.18000000000000682</c:v>
                </c:pt>
                <c:pt idx="150">
                  <c:v>0.18000000000000682</c:v>
                </c:pt>
                <c:pt idx="151">
                  <c:v>0.1810000000000116</c:v>
                </c:pt>
                <c:pt idx="152">
                  <c:v>0.1810000000000116</c:v>
                </c:pt>
                <c:pt idx="153">
                  <c:v>0.18000000000000682</c:v>
                </c:pt>
                <c:pt idx="154">
                  <c:v>0.17599999999998772</c:v>
                </c:pt>
                <c:pt idx="155">
                  <c:v>0.17599999999998772</c:v>
                </c:pt>
                <c:pt idx="156">
                  <c:v>0.17300000000000182</c:v>
                </c:pt>
                <c:pt idx="157">
                  <c:v>0.17199999999999704</c:v>
                </c:pt>
                <c:pt idx="158">
                  <c:v>0.17199999999999704</c:v>
                </c:pt>
                <c:pt idx="159">
                  <c:v>0.17199999999999704</c:v>
                </c:pt>
                <c:pt idx="160">
                  <c:v>0.65299999999999159</c:v>
                </c:pt>
                <c:pt idx="161">
                  <c:v>0.68700000000001182</c:v>
                </c:pt>
                <c:pt idx="162">
                  <c:v>0.64500000000001023</c:v>
                </c:pt>
                <c:pt idx="163">
                  <c:v>0.51300000000000523</c:v>
                </c:pt>
                <c:pt idx="164">
                  <c:v>0.29599999999999227</c:v>
                </c:pt>
                <c:pt idx="165">
                  <c:v>0.22599999999999909</c:v>
                </c:pt>
                <c:pt idx="166">
                  <c:v>0.22399999999998954</c:v>
                </c:pt>
                <c:pt idx="167">
                  <c:v>0.42799999999999727</c:v>
                </c:pt>
                <c:pt idx="168">
                  <c:v>0.6279999999999859</c:v>
                </c:pt>
                <c:pt idx="169">
                  <c:v>0.64500000000001023</c:v>
                </c:pt>
                <c:pt idx="170">
                  <c:v>0.70799999999999841</c:v>
                </c:pt>
                <c:pt idx="171">
                  <c:v>0.77899999999999636</c:v>
                </c:pt>
                <c:pt idx="172">
                  <c:v>0.85699999999999932</c:v>
                </c:pt>
                <c:pt idx="173">
                  <c:v>0.88100000000000023</c:v>
                </c:pt>
                <c:pt idx="174">
                  <c:v>0.67900000000000205</c:v>
                </c:pt>
                <c:pt idx="175">
                  <c:v>0.65000000000000568</c:v>
                </c:pt>
                <c:pt idx="176">
                  <c:v>0.65100000000001046</c:v>
                </c:pt>
                <c:pt idx="177">
                  <c:v>0.63100000000000023</c:v>
                </c:pt>
                <c:pt idx="178">
                  <c:v>0.53200000000001069</c:v>
                </c:pt>
                <c:pt idx="179">
                  <c:v>0.68700000000001182</c:v>
                </c:pt>
                <c:pt idx="180">
                  <c:v>0.68299999999999272</c:v>
                </c:pt>
                <c:pt idx="181">
                  <c:v>0.78499999999999659</c:v>
                </c:pt>
                <c:pt idx="182">
                  <c:v>0.90299999999999159</c:v>
                </c:pt>
                <c:pt idx="183">
                  <c:v>0.72700000000000387</c:v>
                </c:pt>
                <c:pt idx="184">
                  <c:v>0.6220000000000141</c:v>
                </c:pt>
                <c:pt idx="185">
                  <c:v>0.8189999999999884</c:v>
                </c:pt>
                <c:pt idx="186">
                  <c:v>0.83099999999998886</c:v>
                </c:pt>
                <c:pt idx="187">
                  <c:v>0.80000000000001137</c:v>
                </c:pt>
                <c:pt idx="188">
                  <c:v>0.75800000000000978</c:v>
                </c:pt>
                <c:pt idx="189">
                  <c:v>1.4130000000000109</c:v>
                </c:pt>
                <c:pt idx="190">
                  <c:v>2.2529999999999859</c:v>
                </c:pt>
                <c:pt idx="191">
                  <c:v>1.6990000000000123</c:v>
                </c:pt>
                <c:pt idx="192">
                  <c:v>1.1260000000000048</c:v>
                </c:pt>
                <c:pt idx="193">
                  <c:v>1.0020000000000095</c:v>
                </c:pt>
                <c:pt idx="194">
                  <c:v>0.90899999999999181</c:v>
                </c:pt>
                <c:pt idx="195">
                  <c:v>0.70199999999999818</c:v>
                </c:pt>
                <c:pt idx="196">
                  <c:v>0.58400000000000318</c:v>
                </c:pt>
                <c:pt idx="197">
                  <c:v>0.45699999999999363</c:v>
                </c:pt>
                <c:pt idx="198">
                  <c:v>0.33400000000000318</c:v>
                </c:pt>
                <c:pt idx="199">
                  <c:v>0.28899999999998727</c:v>
                </c:pt>
                <c:pt idx="200">
                  <c:v>0.29499999999998749</c:v>
                </c:pt>
                <c:pt idx="201">
                  <c:v>0.29099999999999682</c:v>
                </c:pt>
                <c:pt idx="202">
                  <c:v>0.26699999999999591</c:v>
                </c:pt>
                <c:pt idx="203">
                  <c:v>0.25600000000000023</c:v>
                </c:pt>
                <c:pt idx="204">
                  <c:v>0.25100000000000477</c:v>
                </c:pt>
                <c:pt idx="205">
                  <c:v>0.2529999999999859</c:v>
                </c:pt>
                <c:pt idx="206">
                  <c:v>0.5660000000000025</c:v>
                </c:pt>
                <c:pt idx="207">
                  <c:v>0.96000000000000796</c:v>
                </c:pt>
                <c:pt idx="208">
                  <c:v>0.92300000000000182</c:v>
                </c:pt>
                <c:pt idx="209">
                  <c:v>0.90000000000000568</c:v>
                </c:pt>
                <c:pt idx="210">
                  <c:v>0.88100000000000023</c:v>
                </c:pt>
                <c:pt idx="211">
                  <c:v>0.87999999999999545</c:v>
                </c:pt>
                <c:pt idx="212">
                  <c:v>0.73199999999999932</c:v>
                </c:pt>
                <c:pt idx="213">
                  <c:v>0.53700000000000614</c:v>
                </c:pt>
                <c:pt idx="214">
                  <c:v>0.74500000000000455</c:v>
                </c:pt>
                <c:pt idx="215">
                  <c:v>1.1040000000000134</c:v>
                </c:pt>
                <c:pt idx="216">
                  <c:v>0.49600000000000932</c:v>
                </c:pt>
                <c:pt idx="217">
                  <c:v>0.49000000000000909</c:v>
                </c:pt>
                <c:pt idx="218">
                  <c:v>0.49100000000001387</c:v>
                </c:pt>
                <c:pt idx="219">
                  <c:v>0.65999999999999659</c:v>
                </c:pt>
                <c:pt idx="220">
                  <c:v>1.0209999999999866</c:v>
                </c:pt>
                <c:pt idx="221">
                  <c:v>0.99600000000000932</c:v>
                </c:pt>
                <c:pt idx="222">
                  <c:v>0.46399999999999864</c:v>
                </c:pt>
                <c:pt idx="223">
                  <c:v>0.33400000000000318</c:v>
                </c:pt>
                <c:pt idx="224">
                  <c:v>0.26900000000000546</c:v>
                </c:pt>
                <c:pt idx="225">
                  <c:v>0.19300000000001205</c:v>
                </c:pt>
                <c:pt idx="226">
                  <c:v>0.1910000000000025</c:v>
                </c:pt>
                <c:pt idx="227">
                  <c:v>0.18899999999999295</c:v>
                </c:pt>
                <c:pt idx="228">
                  <c:v>0.18700000000001182</c:v>
                </c:pt>
                <c:pt idx="229">
                  <c:v>0.15600000000000591</c:v>
                </c:pt>
                <c:pt idx="230">
                  <c:v>0.13499999999999091</c:v>
                </c:pt>
                <c:pt idx="231">
                  <c:v>0.13399999999998613</c:v>
                </c:pt>
                <c:pt idx="232">
                  <c:v>0.13300000000000978</c:v>
                </c:pt>
                <c:pt idx="233">
                  <c:v>0.132000000000005</c:v>
                </c:pt>
                <c:pt idx="234">
                  <c:v>0.12999999999999545</c:v>
                </c:pt>
                <c:pt idx="235">
                  <c:v>0.1279999999999859</c:v>
                </c:pt>
                <c:pt idx="236">
                  <c:v>0.125</c:v>
                </c:pt>
                <c:pt idx="237">
                  <c:v>0.12399999999999523</c:v>
                </c:pt>
                <c:pt idx="238">
                  <c:v>0.12299999999999045</c:v>
                </c:pt>
                <c:pt idx="239">
                  <c:v>0.1220000000000141</c:v>
                </c:pt>
                <c:pt idx="240">
                  <c:v>0.12100000000000932</c:v>
                </c:pt>
                <c:pt idx="241">
                  <c:v>0.1220000000000141</c:v>
                </c:pt>
                <c:pt idx="242">
                  <c:v>0.12299999999999045</c:v>
                </c:pt>
                <c:pt idx="243">
                  <c:v>0.12399999999999523</c:v>
                </c:pt>
                <c:pt idx="244">
                  <c:v>0.12399999999999523</c:v>
                </c:pt>
                <c:pt idx="245">
                  <c:v>0.12000000000000455</c:v>
                </c:pt>
                <c:pt idx="246">
                  <c:v>0.11699999999999022</c:v>
                </c:pt>
                <c:pt idx="247">
                  <c:v>0.11699999999999022</c:v>
                </c:pt>
                <c:pt idx="248">
                  <c:v>0.11899999999999977</c:v>
                </c:pt>
                <c:pt idx="249">
                  <c:v>0.117999999999995</c:v>
                </c:pt>
                <c:pt idx="250">
                  <c:v>0.11699999999999022</c:v>
                </c:pt>
                <c:pt idx="251">
                  <c:v>0.117999999999995</c:v>
                </c:pt>
                <c:pt idx="252">
                  <c:v>0.11699999999999022</c:v>
                </c:pt>
                <c:pt idx="253">
                  <c:v>0.11600000000001387</c:v>
                </c:pt>
                <c:pt idx="254">
                  <c:v>0.11500000000000909</c:v>
                </c:pt>
                <c:pt idx="255">
                  <c:v>0.11400000000000432</c:v>
                </c:pt>
                <c:pt idx="256">
                  <c:v>0.11299999999999955</c:v>
                </c:pt>
                <c:pt idx="257">
                  <c:v>0.11299999999999955</c:v>
                </c:pt>
                <c:pt idx="258">
                  <c:v>0.11400000000000432</c:v>
                </c:pt>
                <c:pt idx="259">
                  <c:v>0.11400000000000432</c:v>
                </c:pt>
                <c:pt idx="260">
                  <c:v>0.11400000000000432</c:v>
                </c:pt>
                <c:pt idx="261">
                  <c:v>0.11400000000000432</c:v>
                </c:pt>
                <c:pt idx="262">
                  <c:v>0.11299999999999955</c:v>
                </c:pt>
                <c:pt idx="263">
                  <c:v>0.11299999999999955</c:v>
                </c:pt>
                <c:pt idx="264">
                  <c:v>0.11299999999999955</c:v>
                </c:pt>
                <c:pt idx="265">
                  <c:v>0.11299999999999955</c:v>
                </c:pt>
                <c:pt idx="266">
                  <c:v>0.11299999999999955</c:v>
                </c:pt>
                <c:pt idx="267">
                  <c:v>0.11299999999999955</c:v>
                </c:pt>
                <c:pt idx="268">
                  <c:v>0.11299999999999955</c:v>
                </c:pt>
                <c:pt idx="269">
                  <c:v>0.10800000000000409</c:v>
                </c:pt>
                <c:pt idx="270">
                  <c:v>9.8000000000013188E-2</c:v>
                </c:pt>
                <c:pt idx="271">
                  <c:v>9.8999999999989541E-2</c:v>
                </c:pt>
                <c:pt idx="272">
                  <c:v>9.8999999999989541E-2</c:v>
                </c:pt>
                <c:pt idx="273">
                  <c:v>9.8999999999989541E-2</c:v>
                </c:pt>
                <c:pt idx="274">
                  <c:v>9.9999999999994316E-2</c:v>
                </c:pt>
                <c:pt idx="275">
                  <c:v>9.9999999999994316E-2</c:v>
                </c:pt>
                <c:pt idx="276">
                  <c:v>9.8000000000013188E-2</c:v>
                </c:pt>
                <c:pt idx="277">
                  <c:v>9.8000000000013188E-2</c:v>
                </c:pt>
                <c:pt idx="278">
                  <c:v>9.8000000000013188E-2</c:v>
                </c:pt>
                <c:pt idx="279">
                  <c:v>9.8999999999989541E-2</c:v>
                </c:pt>
                <c:pt idx="280">
                  <c:v>9.8999999999989541E-2</c:v>
                </c:pt>
                <c:pt idx="281">
                  <c:v>0.10099999999999909</c:v>
                </c:pt>
                <c:pt idx="282">
                  <c:v>0.10200000000000387</c:v>
                </c:pt>
                <c:pt idx="283">
                  <c:v>0.10200000000000387</c:v>
                </c:pt>
                <c:pt idx="284">
                  <c:v>9.9999999999994316E-2</c:v>
                </c:pt>
                <c:pt idx="285">
                  <c:v>0.10300000000000864</c:v>
                </c:pt>
                <c:pt idx="286">
                  <c:v>0.10300000000000864</c:v>
                </c:pt>
                <c:pt idx="287">
                  <c:v>0.10300000000000864</c:v>
                </c:pt>
                <c:pt idx="288">
                  <c:v>0.10300000000000864</c:v>
                </c:pt>
                <c:pt idx="289">
                  <c:v>0.10499999999998977</c:v>
                </c:pt>
                <c:pt idx="290">
                  <c:v>0.1279999999999859</c:v>
                </c:pt>
                <c:pt idx="291">
                  <c:v>0.17599999999998772</c:v>
                </c:pt>
                <c:pt idx="292">
                  <c:v>0.17300000000000182</c:v>
                </c:pt>
                <c:pt idx="293">
                  <c:v>0.17199999999999704</c:v>
                </c:pt>
                <c:pt idx="294">
                  <c:v>0.17099999999999227</c:v>
                </c:pt>
                <c:pt idx="295">
                  <c:v>0.16999999999998749</c:v>
                </c:pt>
                <c:pt idx="296">
                  <c:v>0.15899999999999181</c:v>
                </c:pt>
                <c:pt idx="297">
                  <c:v>0.12700000000000955</c:v>
                </c:pt>
                <c:pt idx="298">
                  <c:v>0.14099999999999113</c:v>
                </c:pt>
                <c:pt idx="299">
                  <c:v>0.16599999999999682</c:v>
                </c:pt>
                <c:pt idx="300">
                  <c:v>0.20300000000000296</c:v>
                </c:pt>
                <c:pt idx="301">
                  <c:v>0.22200000000000841</c:v>
                </c:pt>
                <c:pt idx="302">
                  <c:v>0.21600000000000819</c:v>
                </c:pt>
                <c:pt idx="303">
                  <c:v>0.20799999999999841</c:v>
                </c:pt>
                <c:pt idx="304">
                  <c:v>0.20500000000001251</c:v>
                </c:pt>
                <c:pt idx="305">
                  <c:v>0.19300000000001205</c:v>
                </c:pt>
                <c:pt idx="306">
                  <c:v>0.18899999999999295</c:v>
                </c:pt>
                <c:pt idx="307">
                  <c:v>0.17199999999999704</c:v>
                </c:pt>
                <c:pt idx="308">
                  <c:v>0.14900000000000091</c:v>
                </c:pt>
                <c:pt idx="309">
                  <c:v>0.14500000000001023</c:v>
                </c:pt>
                <c:pt idx="310">
                  <c:v>0.14400000000000546</c:v>
                </c:pt>
                <c:pt idx="311">
                  <c:v>0.14300000000000068</c:v>
                </c:pt>
                <c:pt idx="312">
                  <c:v>0.14300000000000068</c:v>
                </c:pt>
                <c:pt idx="313">
                  <c:v>0.14599999999998658</c:v>
                </c:pt>
                <c:pt idx="314">
                  <c:v>0.14699999999999136</c:v>
                </c:pt>
                <c:pt idx="315">
                  <c:v>0.15000000000000568</c:v>
                </c:pt>
                <c:pt idx="316">
                  <c:v>0.15399999999999636</c:v>
                </c:pt>
                <c:pt idx="317">
                  <c:v>0.15799999999998704</c:v>
                </c:pt>
                <c:pt idx="318">
                  <c:v>0.16100000000000136</c:v>
                </c:pt>
                <c:pt idx="319">
                  <c:v>0.16300000000001091</c:v>
                </c:pt>
                <c:pt idx="320">
                  <c:v>0.16599999999999682</c:v>
                </c:pt>
                <c:pt idx="321">
                  <c:v>0.16700000000000159</c:v>
                </c:pt>
                <c:pt idx="322">
                  <c:v>0.16800000000000637</c:v>
                </c:pt>
                <c:pt idx="323">
                  <c:v>0.16900000000001114</c:v>
                </c:pt>
                <c:pt idx="324">
                  <c:v>0.17099999999999227</c:v>
                </c:pt>
                <c:pt idx="325">
                  <c:v>0.17199999999999704</c:v>
                </c:pt>
                <c:pt idx="326">
                  <c:v>0.17500000000001137</c:v>
                </c:pt>
                <c:pt idx="327">
                  <c:v>0.17599999999998772</c:v>
                </c:pt>
                <c:pt idx="328">
                  <c:v>0.17900000000000205</c:v>
                </c:pt>
                <c:pt idx="329">
                  <c:v>0.22300000000001319</c:v>
                </c:pt>
                <c:pt idx="330">
                  <c:v>0.28200000000001069</c:v>
                </c:pt>
                <c:pt idx="331">
                  <c:v>0.23599999999999</c:v>
                </c:pt>
                <c:pt idx="332">
                  <c:v>0.21000000000000796</c:v>
                </c:pt>
                <c:pt idx="333">
                  <c:v>0.21199999999998909</c:v>
                </c:pt>
                <c:pt idx="334">
                  <c:v>0.21700000000001296</c:v>
                </c:pt>
                <c:pt idx="335">
                  <c:v>0.21999999999999886</c:v>
                </c:pt>
                <c:pt idx="336">
                  <c:v>0.22100000000000364</c:v>
                </c:pt>
                <c:pt idx="337">
                  <c:v>0.31000000000000227</c:v>
                </c:pt>
                <c:pt idx="338">
                  <c:v>0.40899999999999181</c:v>
                </c:pt>
                <c:pt idx="339">
                  <c:v>0.44900000000001228</c:v>
                </c:pt>
                <c:pt idx="340">
                  <c:v>0.4480000000000075</c:v>
                </c:pt>
                <c:pt idx="341">
                  <c:v>0.44700000000000273</c:v>
                </c:pt>
                <c:pt idx="342">
                  <c:v>0.44700000000000273</c:v>
                </c:pt>
              </c:numCache>
            </c:numRef>
          </c:val>
          <c:smooth val="0"/>
        </c:ser>
        <c:ser>
          <c:idx val="2"/>
          <c:order val="4"/>
          <c:tx>
            <c:strRef>
              <c:f>flows!$F$1</c:f>
              <c:strCache>
                <c:ptCount val="1"/>
                <c:pt idx="0">
                  <c:v>418074 - Gingham @ Teralba</c:v>
                </c:pt>
              </c:strCache>
            </c:strRef>
          </c:tx>
          <c:spPr>
            <a:ln w="28575" cap="rnd">
              <a:solidFill>
                <a:schemeClr val="tx1"/>
              </a:solidFill>
              <a:prstDash val="sysDot"/>
              <a:round/>
            </a:ln>
            <a:effectLst/>
          </c:spPr>
          <c:marker>
            <c:symbol val="none"/>
          </c:marker>
          <c:cat>
            <c:numRef>
              <c:f>flows!$A$5:$A$370</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flows!$F$5:$F$370</c:f>
              <c:numCache>
                <c:formatCode>General</c:formatCode>
                <c:ptCount val="366"/>
                <c:pt idx="0">
                  <c:v>0.40899999999999997</c:v>
                </c:pt>
                <c:pt idx="1">
                  <c:v>0.40899999999999997</c:v>
                </c:pt>
                <c:pt idx="2">
                  <c:v>0.41799999999999998</c:v>
                </c:pt>
                <c:pt idx="3">
                  <c:v>0.40699999999999997</c:v>
                </c:pt>
                <c:pt idx="4">
                  <c:v>0.37</c:v>
                </c:pt>
                <c:pt idx="5">
                  <c:v>0.36899999999999999</c:v>
                </c:pt>
                <c:pt idx="6">
                  <c:v>0.371</c:v>
                </c:pt>
                <c:pt idx="7">
                  <c:v>0.37</c:v>
                </c:pt>
                <c:pt idx="8">
                  <c:v>0.36899999999999999</c:v>
                </c:pt>
                <c:pt idx="9">
                  <c:v>0.36299999999999999</c:v>
                </c:pt>
                <c:pt idx="10">
                  <c:v>0.35899999999999999</c:v>
                </c:pt>
                <c:pt idx="11">
                  <c:v>0.35799999999999998</c:v>
                </c:pt>
                <c:pt idx="12">
                  <c:v>0.35699999999999998</c:v>
                </c:pt>
                <c:pt idx="13">
                  <c:v>0.36499999999999999</c:v>
                </c:pt>
                <c:pt idx="14">
                  <c:v>0.36299999999999999</c:v>
                </c:pt>
                <c:pt idx="15">
                  <c:v>0.35899999999999999</c:v>
                </c:pt>
                <c:pt idx="16">
                  <c:v>0.35699999999999998</c:v>
                </c:pt>
                <c:pt idx="17">
                  <c:v>0.35899999999999999</c:v>
                </c:pt>
                <c:pt idx="18">
                  <c:v>0.35499999999999998</c:v>
                </c:pt>
                <c:pt idx="19">
                  <c:v>0.32100000000000001</c:v>
                </c:pt>
                <c:pt idx="20">
                  <c:v>0.27100000000000002</c:v>
                </c:pt>
                <c:pt idx="21">
                  <c:v>0.23499999999999999</c:v>
                </c:pt>
                <c:pt idx="22">
                  <c:v>0.214</c:v>
                </c:pt>
                <c:pt idx="23">
                  <c:v>0.33500000000000002</c:v>
                </c:pt>
                <c:pt idx="24">
                  <c:v>0.45700000000000002</c:v>
                </c:pt>
                <c:pt idx="25">
                  <c:v>1.77</c:v>
                </c:pt>
                <c:pt idx="26">
                  <c:v>1.1930000000000001</c:v>
                </c:pt>
                <c:pt idx="27">
                  <c:v>0.495</c:v>
                </c:pt>
                <c:pt idx="28">
                  <c:v>0.49</c:v>
                </c:pt>
                <c:pt idx="29">
                  <c:v>0.57699999999999996</c:v>
                </c:pt>
                <c:pt idx="30">
                  <c:v>0.55800000000000005</c:v>
                </c:pt>
                <c:pt idx="31">
                  <c:v>0.53600000000000003</c:v>
                </c:pt>
                <c:pt idx="32">
                  <c:v>0.50600000000000001</c:v>
                </c:pt>
                <c:pt idx="33">
                  <c:v>0.46400000000000002</c:v>
                </c:pt>
                <c:pt idx="34">
                  <c:v>0.439</c:v>
                </c:pt>
                <c:pt idx="35">
                  <c:v>0.41399999999999998</c:v>
                </c:pt>
                <c:pt idx="36">
                  <c:v>0.39500000000000002</c:v>
                </c:pt>
                <c:pt idx="37">
                  <c:v>0.4</c:v>
                </c:pt>
                <c:pt idx="38">
                  <c:v>0.4</c:v>
                </c:pt>
                <c:pt idx="39">
                  <c:v>0.39200000000000002</c:v>
                </c:pt>
                <c:pt idx="40">
                  <c:v>0.38600000000000001</c:v>
                </c:pt>
                <c:pt idx="41">
                  <c:v>0.38100000000000001</c:v>
                </c:pt>
                <c:pt idx="42">
                  <c:v>0.373</c:v>
                </c:pt>
                <c:pt idx="43">
                  <c:v>0.35799999999999998</c:v>
                </c:pt>
                <c:pt idx="44">
                  <c:v>0.35</c:v>
                </c:pt>
                <c:pt idx="45">
                  <c:v>0.34699999999999998</c:v>
                </c:pt>
                <c:pt idx="46">
                  <c:v>0.34300000000000003</c:v>
                </c:pt>
                <c:pt idx="47">
                  <c:v>0.34</c:v>
                </c:pt>
                <c:pt idx="48">
                  <c:v>0.375</c:v>
                </c:pt>
                <c:pt idx="49">
                  <c:v>0.36</c:v>
                </c:pt>
                <c:pt idx="50">
                  <c:v>0.32300000000000001</c:v>
                </c:pt>
                <c:pt idx="51">
                  <c:v>0.308</c:v>
                </c:pt>
                <c:pt idx="52">
                  <c:v>0.309</c:v>
                </c:pt>
                <c:pt idx="53">
                  <c:v>0.32200000000000001</c:v>
                </c:pt>
                <c:pt idx="54">
                  <c:v>0.32800000000000001</c:v>
                </c:pt>
                <c:pt idx="55">
                  <c:v>0.441</c:v>
                </c:pt>
                <c:pt idx="56">
                  <c:v>1.827</c:v>
                </c:pt>
                <c:pt idx="57">
                  <c:v>0.59499999999999997</c:v>
                </c:pt>
                <c:pt idx="58">
                  <c:v>0.39900000000000002</c:v>
                </c:pt>
                <c:pt idx="59">
                  <c:v>0.47399999999999998</c:v>
                </c:pt>
                <c:pt idx="60">
                  <c:v>0.51100000000000001</c:v>
                </c:pt>
                <c:pt idx="61">
                  <c:v>0.57699999999999996</c:v>
                </c:pt>
                <c:pt idx="62">
                  <c:v>0.57299999999999995</c:v>
                </c:pt>
                <c:pt idx="63">
                  <c:v>0.57999999999999996</c:v>
                </c:pt>
                <c:pt idx="64">
                  <c:v>0.54800000000000004</c:v>
                </c:pt>
                <c:pt idx="65">
                  <c:v>0.53500000000000003</c:v>
                </c:pt>
                <c:pt idx="66">
                  <c:v>0.50600000000000001</c:v>
                </c:pt>
                <c:pt idx="67">
                  <c:v>0.48899999999999999</c:v>
                </c:pt>
                <c:pt idx="68">
                  <c:v>0.47599999999999998</c:v>
                </c:pt>
                <c:pt idx="69">
                  <c:v>0.48</c:v>
                </c:pt>
                <c:pt idx="70">
                  <c:v>0.48899999999999999</c:v>
                </c:pt>
                <c:pt idx="71">
                  <c:v>0.49299999999999999</c:v>
                </c:pt>
                <c:pt idx="72">
                  <c:v>0.48499999999999999</c:v>
                </c:pt>
                <c:pt idx="73">
                  <c:v>0.41799999999999998</c:v>
                </c:pt>
                <c:pt idx="74">
                  <c:v>0.45700000000000002</c:v>
                </c:pt>
                <c:pt idx="75">
                  <c:v>0.47299999999999998</c:v>
                </c:pt>
                <c:pt idx="76">
                  <c:v>0.40799999999999997</c:v>
                </c:pt>
                <c:pt idx="77">
                  <c:v>0.38300000000000001</c:v>
                </c:pt>
                <c:pt idx="78">
                  <c:v>0.372</c:v>
                </c:pt>
                <c:pt idx="79">
                  <c:v>0.35199999999999998</c:v>
                </c:pt>
                <c:pt idx="80">
                  <c:v>0.33700000000000002</c:v>
                </c:pt>
                <c:pt idx="81">
                  <c:v>0.35199999999999998</c:v>
                </c:pt>
                <c:pt idx="82">
                  <c:v>0.36</c:v>
                </c:pt>
                <c:pt idx="83">
                  <c:v>0.35899999999999999</c:v>
                </c:pt>
                <c:pt idx="84">
                  <c:v>0.35199999999999998</c:v>
                </c:pt>
                <c:pt idx="85">
                  <c:v>0.33200000000000002</c:v>
                </c:pt>
                <c:pt idx="86">
                  <c:v>0.31900000000000001</c:v>
                </c:pt>
                <c:pt idx="87">
                  <c:v>0.31</c:v>
                </c:pt>
                <c:pt idx="88">
                  <c:v>0.30599999999999999</c:v>
                </c:pt>
                <c:pt idx="89">
                  <c:v>0.30599999999999999</c:v>
                </c:pt>
                <c:pt idx="90">
                  <c:v>0.308</c:v>
                </c:pt>
                <c:pt idx="91">
                  <c:v>0.31</c:v>
                </c:pt>
                <c:pt idx="92">
                  <c:v>0.30399999999999999</c:v>
                </c:pt>
                <c:pt idx="93">
                  <c:v>0.29699999999999999</c:v>
                </c:pt>
                <c:pt idx="94">
                  <c:v>0.29499999999999998</c:v>
                </c:pt>
                <c:pt idx="95">
                  <c:v>0.29599999999999999</c:v>
                </c:pt>
                <c:pt idx="96">
                  <c:v>0.29299999999999998</c:v>
                </c:pt>
                <c:pt idx="97">
                  <c:v>0.28599999999999998</c:v>
                </c:pt>
                <c:pt idx="98">
                  <c:v>0.28699999999999998</c:v>
                </c:pt>
                <c:pt idx="99">
                  <c:v>0.30199999999999999</c:v>
                </c:pt>
                <c:pt idx="100">
                  <c:v>0.30099999999999999</c:v>
                </c:pt>
                <c:pt idx="101">
                  <c:v>0.29699999999999999</c:v>
                </c:pt>
                <c:pt idx="102">
                  <c:v>0.29199999999999998</c:v>
                </c:pt>
                <c:pt idx="103">
                  <c:v>0.28699999999999998</c:v>
                </c:pt>
                <c:pt idx="104">
                  <c:v>0.28199999999999997</c:v>
                </c:pt>
                <c:pt idx="105">
                  <c:v>0.27800000000000002</c:v>
                </c:pt>
                <c:pt idx="106">
                  <c:v>0.26700000000000002</c:v>
                </c:pt>
                <c:pt idx="107">
                  <c:v>0.25800000000000001</c:v>
                </c:pt>
                <c:pt idx="108">
                  <c:v>0.26900000000000002</c:v>
                </c:pt>
                <c:pt idx="109">
                  <c:v>0.27600000000000002</c:v>
                </c:pt>
                <c:pt idx="110">
                  <c:v>0.26100000000000001</c:v>
                </c:pt>
                <c:pt idx="111">
                  <c:v>0.24399999999999999</c:v>
                </c:pt>
                <c:pt idx="112">
                  <c:v>0.23200000000000001</c:v>
                </c:pt>
                <c:pt idx="113">
                  <c:v>0.22800000000000001</c:v>
                </c:pt>
                <c:pt idx="114">
                  <c:v>0.216</c:v>
                </c:pt>
                <c:pt idx="115">
                  <c:v>0.20799999999999999</c:v>
                </c:pt>
                <c:pt idx="116">
                  <c:v>0.20200000000000001</c:v>
                </c:pt>
                <c:pt idx="117">
                  <c:v>0.20699999999999999</c:v>
                </c:pt>
                <c:pt idx="118">
                  <c:v>0.224</c:v>
                </c:pt>
                <c:pt idx="119">
                  <c:v>0.25</c:v>
                </c:pt>
                <c:pt idx="120">
                  <c:v>0.254</c:v>
                </c:pt>
                <c:pt idx="121">
                  <c:v>0.26200000000000001</c:v>
                </c:pt>
                <c:pt idx="122">
                  <c:v>0.26800000000000002</c:v>
                </c:pt>
                <c:pt idx="123">
                  <c:v>0.27</c:v>
                </c:pt>
                <c:pt idx="124">
                  <c:v>0.28499999999999998</c:v>
                </c:pt>
                <c:pt idx="125">
                  <c:v>0.28499999999999998</c:v>
                </c:pt>
                <c:pt idx="126">
                  <c:v>0.27400000000000002</c:v>
                </c:pt>
                <c:pt idx="127">
                  <c:v>0.29899999999999999</c:v>
                </c:pt>
                <c:pt idx="128">
                  <c:v>0.33100000000000002</c:v>
                </c:pt>
                <c:pt idx="129">
                  <c:v>1.161</c:v>
                </c:pt>
                <c:pt idx="130">
                  <c:v>0.53300000000000003</c:v>
                </c:pt>
                <c:pt idx="131">
                  <c:v>0.50800000000000001</c:v>
                </c:pt>
                <c:pt idx="132">
                  <c:v>0.45</c:v>
                </c:pt>
                <c:pt idx="133">
                  <c:v>0.39400000000000002</c:v>
                </c:pt>
                <c:pt idx="134">
                  <c:v>0.47499999999999998</c:v>
                </c:pt>
                <c:pt idx="135">
                  <c:v>0.45100000000000001</c:v>
                </c:pt>
                <c:pt idx="136">
                  <c:v>0.40799999999999997</c:v>
                </c:pt>
                <c:pt idx="137">
                  <c:v>0.36799999999999999</c:v>
                </c:pt>
                <c:pt idx="138">
                  <c:v>0.31</c:v>
                </c:pt>
                <c:pt idx="139">
                  <c:v>0.26300000000000001</c:v>
                </c:pt>
                <c:pt idx="140">
                  <c:v>0.25600000000000001</c:v>
                </c:pt>
                <c:pt idx="141">
                  <c:v>0.38200000000000001</c:v>
                </c:pt>
                <c:pt idx="142">
                  <c:v>0.42899999999999999</c:v>
                </c:pt>
                <c:pt idx="143">
                  <c:v>0.378</c:v>
                </c:pt>
                <c:pt idx="144">
                  <c:v>0.33600000000000002</c:v>
                </c:pt>
                <c:pt idx="145">
                  <c:v>0.31</c:v>
                </c:pt>
                <c:pt idx="146">
                  <c:v>0.29499999999999998</c:v>
                </c:pt>
                <c:pt idx="147">
                  <c:v>0.28000000000000003</c:v>
                </c:pt>
                <c:pt idx="148">
                  <c:v>0.27200000000000002</c:v>
                </c:pt>
                <c:pt idx="149">
                  <c:v>0.26400000000000001</c:v>
                </c:pt>
                <c:pt idx="150">
                  <c:v>0.255</c:v>
                </c:pt>
                <c:pt idx="151">
                  <c:v>0.245</c:v>
                </c:pt>
                <c:pt idx="152">
                  <c:v>0.23799999999999999</c:v>
                </c:pt>
                <c:pt idx="153">
                  <c:v>0.23100000000000001</c:v>
                </c:pt>
                <c:pt idx="154">
                  <c:v>0.23300000000000001</c:v>
                </c:pt>
                <c:pt idx="155">
                  <c:v>0.249</c:v>
                </c:pt>
                <c:pt idx="156">
                  <c:v>0.246</c:v>
                </c:pt>
                <c:pt idx="157">
                  <c:v>0.23200000000000001</c:v>
                </c:pt>
                <c:pt idx="158">
                  <c:v>0.217</c:v>
                </c:pt>
                <c:pt idx="159">
                  <c:v>0.20799999999999999</c:v>
                </c:pt>
                <c:pt idx="160">
                  <c:v>0.312</c:v>
                </c:pt>
                <c:pt idx="161">
                  <c:v>0.309</c:v>
                </c:pt>
                <c:pt idx="162">
                  <c:v>0.29099999999999998</c:v>
                </c:pt>
                <c:pt idx="163">
                  <c:v>0.26400000000000001</c:v>
                </c:pt>
                <c:pt idx="164">
                  <c:v>0.23400000000000001</c:v>
                </c:pt>
                <c:pt idx="165">
                  <c:v>0.29099999999999998</c:v>
                </c:pt>
                <c:pt idx="166">
                  <c:v>0.32300000000000001</c:v>
                </c:pt>
                <c:pt idx="167">
                  <c:v>0.29699999999999999</c:v>
                </c:pt>
                <c:pt idx="168">
                  <c:v>0.25800000000000001</c:v>
                </c:pt>
                <c:pt idx="169">
                  <c:v>0.28299999999999997</c:v>
                </c:pt>
                <c:pt idx="170">
                  <c:v>0.27300000000000002</c:v>
                </c:pt>
                <c:pt idx="171">
                  <c:v>0.30299999999999999</c:v>
                </c:pt>
                <c:pt idx="172">
                  <c:v>0.312</c:v>
                </c:pt>
                <c:pt idx="173">
                  <c:v>0.249</c:v>
                </c:pt>
                <c:pt idx="174">
                  <c:v>0.221</c:v>
                </c:pt>
                <c:pt idx="175">
                  <c:v>0.251</c:v>
                </c:pt>
                <c:pt idx="176">
                  <c:v>0.26400000000000001</c:v>
                </c:pt>
                <c:pt idx="177">
                  <c:v>0.26800000000000002</c:v>
                </c:pt>
                <c:pt idx="178">
                  <c:v>0.30399999999999999</c:v>
                </c:pt>
                <c:pt idx="179">
                  <c:v>0.30499999999999999</c:v>
                </c:pt>
                <c:pt idx="180">
                  <c:v>0.3</c:v>
                </c:pt>
                <c:pt idx="181">
                  <c:v>0.307</c:v>
                </c:pt>
                <c:pt idx="182">
                  <c:v>0.379</c:v>
                </c:pt>
                <c:pt idx="183">
                  <c:v>0.377</c:v>
                </c:pt>
                <c:pt idx="184">
                  <c:v>0.34899999999999998</c:v>
                </c:pt>
                <c:pt idx="185">
                  <c:v>0.33400000000000002</c:v>
                </c:pt>
                <c:pt idx="186">
                  <c:v>0.37</c:v>
                </c:pt>
                <c:pt idx="187">
                  <c:v>0.38200000000000001</c:v>
                </c:pt>
                <c:pt idx="188">
                  <c:v>0.32200000000000001</c:v>
                </c:pt>
                <c:pt idx="189">
                  <c:v>0.40300000000000002</c:v>
                </c:pt>
                <c:pt idx="190">
                  <c:v>1.3</c:v>
                </c:pt>
                <c:pt idx="191">
                  <c:v>0.76200000000000001</c:v>
                </c:pt>
                <c:pt idx="192">
                  <c:v>0.48899999999999999</c:v>
                </c:pt>
                <c:pt idx="193">
                  <c:v>0.443</c:v>
                </c:pt>
                <c:pt idx="194">
                  <c:v>0.48499999999999999</c:v>
                </c:pt>
                <c:pt idx="195">
                  <c:v>0.47799999999999998</c:v>
                </c:pt>
                <c:pt idx="196">
                  <c:v>0.40500000000000003</c:v>
                </c:pt>
                <c:pt idx="197">
                  <c:v>0.39300000000000002</c:v>
                </c:pt>
                <c:pt idx="198">
                  <c:v>0.314</c:v>
                </c:pt>
                <c:pt idx="199">
                  <c:v>0.35099999999999998</c:v>
                </c:pt>
                <c:pt idx="200">
                  <c:v>0.372</c:v>
                </c:pt>
                <c:pt idx="201">
                  <c:v>0.32</c:v>
                </c:pt>
                <c:pt idx="202">
                  <c:v>0.28799999999999998</c:v>
                </c:pt>
                <c:pt idx="203">
                  <c:v>0.33200000000000002</c:v>
                </c:pt>
                <c:pt idx="204">
                  <c:v>0.32400000000000001</c:v>
                </c:pt>
                <c:pt idx="205">
                  <c:v>0.31</c:v>
                </c:pt>
                <c:pt idx="206">
                  <c:v>0.36299999999999999</c:v>
                </c:pt>
                <c:pt idx="207">
                  <c:v>0.33500000000000002</c:v>
                </c:pt>
                <c:pt idx="208">
                  <c:v>0.20399999999999999</c:v>
                </c:pt>
                <c:pt idx="209">
                  <c:v>0.13400000000000001</c:v>
                </c:pt>
                <c:pt idx="210">
                  <c:v>0.108</c:v>
                </c:pt>
                <c:pt idx="211">
                  <c:v>0.14000000000000001</c:v>
                </c:pt>
                <c:pt idx="212">
                  <c:v>0.129</c:v>
                </c:pt>
                <c:pt idx="213">
                  <c:v>0.113</c:v>
                </c:pt>
                <c:pt idx="214">
                  <c:v>0.217</c:v>
                </c:pt>
                <c:pt idx="215">
                  <c:v>0.44400000000000001</c:v>
                </c:pt>
                <c:pt idx="216">
                  <c:v>0.38600000000000001</c:v>
                </c:pt>
                <c:pt idx="217">
                  <c:v>0.35299999999999998</c:v>
                </c:pt>
                <c:pt idx="218">
                  <c:v>0.35</c:v>
                </c:pt>
                <c:pt idx="219">
                  <c:v>0.34200000000000003</c:v>
                </c:pt>
                <c:pt idx="220">
                  <c:v>0.49</c:v>
                </c:pt>
                <c:pt idx="221">
                  <c:v>0.441</c:v>
                </c:pt>
                <c:pt idx="222">
                  <c:v>0.35299999999999998</c:v>
                </c:pt>
                <c:pt idx="223">
                  <c:v>0.46100000000000002</c:v>
                </c:pt>
                <c:pt idx="224">
                  <c:v>0.44500000000000001</c:v>
                </c:pt>
                <c:pt idx="225">
                  <c:v>0.439</c:v>
                </c:pt>
                <c:pt idx="226">
                  <c:v>0.34699999999999998</c:v>
                </c:pt>
                <c:pt idx="227">
                  <c:v>0.28899999999999998</c:v>
                </c:pt>
                <c:pt idx="228">
                  <c:v>0.26500000000000001</c:v>
                </c:pt>
                <c:pt idx="229">
                  <c:v>0.23499999999999999</c:v>
                </c:pt>
                <c:pt idx="230">
                  <c:v>0.217</c:v>
                </c:pt>
                <c:pt idx="231">
                  <c:v>0.26400000000000001</c:v>
                </c:pt>
                <c:pt idx="232">
                  <c:v>0.316</c:v>
                </c:pt>
                <c:pt idx="233">
                  <c:v>0.311</c:v>
                </c:pt>
                <c:pt idx="234">
                  <c:v>0.29599999999999999</c:v>
                </c:pt>
                <c:pt idx="235">
                  <c:v>0.26200000000000001</c:v>
                </c:pt>
                <c:pt idx="236">
                  <c:v>0.23599999999999999</c:v>
                </c:pt>
                <c:pt idx="237">
                  <c:v>0.21199999999999999</c:v>
                </c:pt>
                <c:pt idx="238">
                  <c:v>0.19400000000000001</c:v>
                </c:pt>
                <c:pt idx="239">
                  <c:v>0.18</c:v>
                </c:pt>
                <c:pt idx="240">
                  <c:v>0.17</c:v>
                </c:pt>
                <c:pt idx="241">
                  <c:v>0.20200000000000001</c:v>
                </c:pt>
                <c:pt idx="242">
                  <c:v>0.253</c:v>
                </c:pt>
                <c:pt idx="243">
                  <c:v>0.22900000000000001</c:v>
                </c:pt>
                <c:pt idx="244">
                  <c:v>0.22900000000000001</c:v>
                </c:pt>
                <c:pt idx="245">
                  <c:v>0.21199999999999999</c:v>
                </c:pt>
                <c:pt idx="246">
                  <c:v>0.23799999999999999</c:v>
                </c:pt>
                <c:pt idx="247">
                  <c:v>0.26600000000000001</c:v>
                </c:pt>
                <c:pt idx="248">
                  <c:v>0.247</c:v>
                </c:pt>
                <c:pt idx="249">
                  <c:v>0.22700000000000001</c:v>
                </c:pt>
                <c:pt idx="250">
                  <c:v>0.20899999999999999</c:v>
                </c:pt>
                <c:pt idx="251">
                  <c:v>0.193</c:v>
                </c:pt>
                <c:pt idx="252">
                  <c:v>0.17899999999999999</c:v>
                </c:pt>
                <c:pt idx="253">
                  <c:v>0.16900000000000001</c:v>
                </c:pt>
                <c:pt idx="254">
                  <c:v>0.158</c:v>
                </c:pt>
                <c:pt idx="255">
                  <c:v>0.14899999999999999</c:v>
                </c:pt>
                <c:pt idx="256">
                  <c:v>0.14099999999999999</c:v>
                </c:pt>
                <c:pt idx="257">
                  <c:v>0.13200000000000001</c:v>
                </c:pt>
                <c:pt idx="258">
                  <c:v>0.124</c:v>
                </c:pt>
                <c:pt idx="259">
                  <c:v>0.113</c:v>
                </c:pt>
                <c:pt idx="260">
                  <c:v>0.1</c:v>
                </c:pt>
                <c:pt idx="261">
                  <c:v>0.08</c:v>
                </c:pt>
                <c:pt idx="262">
                  <c:v>5.8999999999999997E-2</c:v>
                </c:pt>
                <c:pt idx="263">
                  <c:v>3.7999999999999999E-2</c:v>
                </c:pt>
                <c:pt idx="264">
                  <c:v>2.9000000000000001E-2</c:v>
                </c:pt>
                <c:pt idx="265">
                  <c:v>2.9000000000000001E-2</c:v>
                </c:pt>
                <c:pt idx="266">
                  <c:v>2.9000000000000001E-2</c:v>
                </c:pt>
                <c:pt idx="267">
                  <c:v>2.9000000000000001E-2</c:v>
                </c:pt>
                <c:pt idx="268">
                  <c:v>2.9000000000000001E-2</c:v>
                </c:pt>
                <c:pt idx="269">
                  <c:v>2.9000000000000001E-2</c:v>
                </c:pt>
                <c:pt idx="270">
                  <c:v>2.9000000000000001E-2</c:v>
                </c:pt>
                <c:pt idx="271">
                  <c:v>2.9000000000000001E-2</c:v>
                </c:pt>
                <c:pt idx="272">
                  <c:v>2.9000000000000001E-2</c:v>
                </c:pt>
                <c:pt idx="273">
                  <c:v>2.9000000000000001E-2</c:v>
                </c:pt>
                <c:pt idx="274">
                  <c:v>2.9000000000000001E-2</c:v>
                </c:pt>
                <c:pt idx="275">
                  <c:v>2.9000000000000001E-2</c:v>
                </c:pt>
                <c:pt idx="276">
                  <c:v>2.9000000000000001E-2</c:v>
                </c:pt>
                <c:pt idx="277">
                  <c:v>2.9000000000000001E-2</c:v>
                </c:pt>
                <c:pt idx="278">
                  <c:v>2.9000000000000001E-2</c:v>
                </c:pt>
                <c:pt idx="279">
                  <c:v>2.9000000000000001E-2</c:v>
                </c:pt>
                <c:pt idx="280">
                  <c:v>2.9000000000000001E-2</c:v>
                </c:pt>
                <c:pt idx="281">
                  <c:v>2.9000000000000001E-2</c:v>
                </c:pt>
                <c:pt idx="282">
                  <c:v>2.9000000000000001E-2</c:v>
                </c:pt>
                <c:pt idx="283">
                  <c:v>2.9000000000000001E-2</c:v>
                </c:pt>
                <c:pt idx="284">
                  <c:v>2.9000000000000001E-2</c:v>
                </c:pt>
                <c:pt idx="285">
                  <c:v>2.9000000000000001E-2</c:v>
                </c:pt>
                <c:pt idx="286">
                  <c:v>2.9000000000000001E-2</c:v>
                </c:pt>
                <c:pt idx="287">
                  <c:v>2.9000000000000001E-2</c:v>
                </c:pt>
                <c:pt idx="288">
                  <c:v>2.9000000000000001E-2</c:v>
                </c:pt>
                <c:pt idx="289">
                  <c:v>2.9000000000000001E-2</c:v>
                </c:pt>
                <c:pt idx="290">
                  <c:v>2.9000000000000001E-2</c:v>
                </c:pt>
                <c:pt idx="291">
                  <c:v>2.9000000000000001E-2</c:v>
                </c:pt>
                <c:pt idx="292">
                  <c:v>2.9000000000000001E-2</c:v>
                </c:pt>
                <c:pt idx="293">
                  <c:v>2.9000000000000001E-2</c:v>
                </c:pt>
                <c:pt idx="294">
                  <c:v>2.9000000000000001E-2</c:v>
                </c:pt>
                <c:pt idx="295">
                  <c:v>2.9000000000000001E-2</c:v>
                </c:pt>
                <c:pt idx="296">
                  <c:v>2.9000000000000001E-2</c:v>
                </c:pt>
                <c:pt idx="297">
                  <c:v>2.9000000000000001E-2</c:v>
                </c:pt>
                <c:pt idx="298">
                  <c:v>2.9000000000000001E-2</c:v>
                </c:pt>
                <c:pt idx="299">
                  <c:v>2.9000000000000001E-2</c:v>
                </c:pt>
                <c:pt idx="300">
                  <c:v>2.9000000000000001E-2</c:v>
                </c:pt>
                <c:pt idx="301">
                  <c:v>2.9000000000000001E-2</c:v>
                </c:pt>
                <c:pt idx="302">
                  <c:v>2.9000000000000001E-2</c:v>
                </c:pt>
                <c:pt idx="303">
                  <c:v>2.9000000000000001E-2</c:v>
                </c:pt>
                <c:pt idx="304">
                  <c:v>2.9000000000000001E-2</c:v>
                </c:pt>
                <c:pt idx="305">
                  <c:v>0.27</c:v>
                </c:pt>
                <c:pt idx="306">
                  <c:v>0.29199999999999998</c:v>
                </c:pt>
                <c:pt idx="307">
                  <c:v>0.33400000000000002</c:v>
                </c:pt>
                <c:pt idx="308">
                  <c:v>0.34699999999999998</c:v>
                </c:pt>
                <c:pt idx="309">
                  <c:v>0.33300000000000002</c:v>
                </c:pt>
                <c:pt idx="310">
                  <c:v>0.32200000000000001</c:v>
                </c:pt>
                <c:pt idx="311">
                  <c:v>0.317</c:v>
                </c:pt>
                <c:pt idx="312">
                  <c:v>0.312</c:v>
                </c:pt>
                <c:pt idx="313">
                  <c:v>0.31900000000000001</c:v>
                </c:pt>
                <c:pt idx="314">
                  <c:v>0.32300000000000001</c:v>
                </c:pt>
                <c:pt idx="315">
                  <c:v>0.312</c:v>
                </c:pt>
                <c:pt idx="316">
                  <c:v>0.29899999999999999</c:v>
                </c:pt>
                <c:pt idx="317">
                  <c:v>0.29399999999999998</c:v>
                </c:pt>
                <c:pt idx="318">
                  <c:v>0.29099999999999998</c:v>
                </c:pt>
                <c:pt idx="319">
                  <c:v>0.28899999999999998</c:v>
                </c:pt>
                <c:pt idx="320">
                  <c:v>0.316</c:v>
                </c:pt>
                <c:pt idx="321">
                  <c:v>0.32700000000000001</c:v>
                </c:pt>
                <c:pt idx="322">
                  <c:v>0.33</c:v>
                </c:pt>
                <c:pt idx="323">
                  <c:v>0.33700000000000002</c:v>
                </c:pt>
                <c:pt idx="324">
                  <c:v>0.33600000000000002</c:v>
                </c:pt>
                <c:pt idx="325">
                  <c:v>0.33</c:v>
                </c:pt>
                <c:pt idx="326">
                  <c:v>0.32700000000000001</c:v>
                </c:pt>
                <c:pt idx="327">
                  <c:v>0.32300000000000001</c:v>
                </c:pt>
                <c:pt idx="328">
                  <c:v>0.317</c:v>
                </c:pt>
                <c:pt idx="329">
                  <c:v>0.29199999999999998</c:v>
                </c:pt>
                <c:pt idx="330">
                  <c:v>0.25800000000000001</c:v>
                </c:pt>
                <c:pt idx="331">
                  <c:v>0.23100000000000001</c:v>
                </c:pt>
                <c:pt idx="332">
                  <c:v>0.20899999999999999</c:v>
                </c:pt>
                <c:pt idx="333">
                  <c:v>0.19400000000000001</c:v>
                </c:pt>
                <c:pt idx="334">
                  <c:v>0.182</c:v>
                </c:pt>
                <c:pt idx="335">
                  <c:v>0.17199999999999999</c:v>
                </c:pt>
                <c:pt idx="336">
                  <c:v>0.16500000000000001</c:v>
                </c:pt>
                <c:pt idx="337">
                  <c:v>0.161</c:v>
                </c:pt>
                <c:pt idx="338">
                  <c:v>0.187</c:v>
                </c:pt>
                <c:pt idx="339">
                  <c:v>0.245</c:v>
                </c:pt>
                <c:pt idx="340">
                  <c:v>0.27500000000000002</c:v>
                </c:pt>
                <c:pt idx="341">
                  <c:v>0.249</c:v>
                </c:pt>
              </c:numCache>
            </c:numRef>
          </c:val>
          <c:smooth val="0"/>
          <c:extLst xmlns:c16r2="http://schemas.microsoft.com/office/drawing/2015/06/chart">
            <c:ext xmlns:c16="http://schemas.microsoft.com/office/drawing/2014/chart" uri="{C3380CC4-5D6E-409C-BE32-E72D297353CC}">
              <c16:uniqueId val="{00000002-6B83-4F32-895E-FF7105E1F411}"/>
            </c:ext>
          </c:extLst>
        </c:ser>
        <c:dLbls>
          <c:showLegendKey val="0"/>
          <c:showVal val="0"/>
          <c:showCatName val="0"/>
          <c:showSerName val="0"/>
          <c:showPercent val="0"/>
          <c:showBubbleSize val="0"/>
        </c:dLbls>
        <c:smooth val="0"/>
        <c:axId val="664257624"/>
        <c:axId val="664258016"/>
      </c:lineChart>
      <c:dateAx>
        <c:axId val="664257624"/>
        <c:scaling>
          <c:orientation val="minMax"/>
          <c:max val="42551"/>
        </c:scaling>
        <c:delete val="0"/>
        <c:axPos val="b"/>
        <c:numFmt formatCode="d/mm/yy;@" sourceLinked="0"/>
        <c:majorTickMark val="out"/>
        <c:minorTickMark val="none"/>
        <c:tickLblPos val="nextTo"/>
        <c:spPr>
          <a:noFill/>
          <a:ln w="9525" cap="flat" cmpd="sng" algn="ctr">
            <a:solidFill>
              <a:schemeClr val="bg1">
                <a:lumMod val="50000"/>
              </a:schemeClr>
            </a:solidFill>
            <a:round/>
          </a:ln>
          <a:effectLst/>
        </c:spPr>
        <c:txPr>
          <a:bodyPr rot="-60000000" vert="horz"/>
          <a:lstStyle/>
          <a:p>
            <a:pPr>
              <a:defRPr/>
            </a:pPr>
            <a:endParaRPr lang="en-US"/>
          </a:p>
        </c:txPr>
        <c:crossAx val="664258016"/>
        <c:crosses val="autoZero"/>
        <c:auto val="0"/>
        <c:lblOffset val="100"/>
        <c:baseTimeUnit val="days"/>
      </c:dateAx>
      <c:valAx>
        <c:axId val="664258016"/>
        <c:scaling>
          <c:orientation val="minMax"/>
          <c:max val="3.5"/>
          <c:min val="0"/>
        </c:scaling>
        <c:delete val="0"/>
        <c:axPos val="l"/>
        <c:title>
          <c:tx>
            <c:rich>
              <a:bodyPr/>
              <a:lstStyle/>
              <a:p>
                <a:pPr>
                  <a:defRPr/>
                </a:pPr>
                <a:r>
                  <a:rPr lang="en-AU"/>
                  <a:t>Water level (m)</a:t>
                </a:r>
              </a:p>
            </c:rich>
          </c:tx>
          <c:layout>
            <c:manualLayout>
              <c:xMode val="edge"/>
              <c:yMode val="edge"/>
              <c:x val="6.0627608144564566E-3"/>
              <c:y val="0.21140875271532861"/>
            </c:manualLayout>
          </c:layout>
          <c:overlay val="0"/>
        </c:title>
        <c:numFmt formatCode="General" sourceLinked="1"/>
        <c:majorTickMark val="out"/>
        <c:minorTickMark val="none"/>
        <c:tickLblPos val="nextTo"/>
        <c:spPr>
          <a:noFill/>
          <a:ln>
            <a:solidFill>
              <a:schemeClr val="bg1">
                <a:lumMod val="50000"/>
              </a:schemeClr>
            </a:solidFill>
          </a:ln>
          <a:effectLst/>
        </c:spPr>
        <c:txPr>
          <a:bodyPr rot="-60000000" vert="horz"/>
          <a:lstStyle/>
          <a:p>
            <a:pPr>
              <a:defRPr/>
            </a:pPr>
            <a:endParaRPr lang="en-US"/>
          </a:p>
        </c:txPr>
        <c:crossAx val="664257624"/>
        <c:crosses val="autoZero"/>
        <c:crossBetween val="between"/>
      </c:valAx>
      <c:spPr>
        <a:noFill/>
        <a:ln>
          <a:noFill/>
        </a:ln>
        <a:effectLst/>
      </c:spPr>
    </c:plotArea>
    <c:legend>
      <c:legendPos val="r"/>
      <c:layout>
        <c:manualLayout>
          <c:xMode val="edge"/>
          <c:yMode val="edge"/>
          <c:x val="0"/>
          <c:y val="0.81227171126043718"/>
          <c:w val="1"/>
          <c:h val="0.16803808126134773"/>
        </c:manualLayout>
      </c:layout>
      <c:overlay val="0"/>
      <c:spPr>
        <a:noFill/>
        <a:ln>
          <a:noFill/>
        </a:ln>
        <a:effectLst/>
      </c:spPr>
      <c:txPr>
        <a:bodyPr rot="0" vert="horz"/>
        <a:lstStyle/>
        <a:p>
          <a:pPr>
            <a:defRPr sz="900"/>
          </a:pPr>
          <a:endParaRPr lang="en-US"/>
        </a:p>
      </c:txPr>
    </c:legend>
    <c:plotVisOnly val="1"/>
    <c:dispBlanksAs val="gap"/>
    <c:showDLblsOverMax val="0"/>
  </c:chart>
  <c:spPr>
    <a:noFill/>
    <a:ln w="9525" cap="flat" cmpd="sng" algn="ctr">
      <a:noFill/>
      <a:round/>
    </a:ln>
    <a:effectLst/>
  </c:spPr>
  <c:txPr>
    <a:bodyPr/>
    <a:lstStyle/>
    <a:p>
      <a:pPr>
        <a:defRPr sz="1000" b="0">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000"/>
            </a:pPr>
            <a:r>
              <a:rPr lang="en-US" sz="1000"/>
              <a:t>(b) Gingham Watercourse</a:t>
            </a:r>
          </a:p>
        </c:rich>
      </c:tx>
      <c:layout>
        <c:manualLayout>
          <c:xMode val="edge"/>
          <c:yMode val="edge"/>
          <c:x val="1.6680592686882346E-3"/>
          <c:y val="2.0652313565699392E-3"/>
        </c:manualLayout>
      </c:layout>
      <c:overlay val="0"/>
      <c:spPr>
        <a:noFill/>
        <a:ln>
          <a:noFill/>
        </a:ln>
        <a:effectLst/>
      </c:spPr>
    </c:title>
    <c:autoTitleDeleted val="0"/>
    <c:plotArea>
      <c:layout>
        <c:manualLayout>
          <c:layoutTarget val="inner"/>
          <c:xMode val="edge"/>
          <c:yMode val="edge"/>
          <c:x val="9.4794504695990156E-2"/>
          <c:y val="0.11854817098911587"/>
          <c:w val="0.87549729506202045"/>
          <c:h val="0.53842336141548741"/>
        </c:manualLayout>
      </c:layout>
      <c:lineChart>
        <c:grouping val="standard"/>
        <c:varyColors val="0"/>
        <c:ser>
          <c:idx val="7"/>
          <c:order val="0"/>
          <c:tx>
            <c:strRef>
              <c:f>flows!$P$1</c:f>
              <c:strCache>
                <c:ptCount val="1"/>
                <c:pt idx="0">
                  <c:v>Environmental Water</c:v>
                </c:pt>
              </c:strCache>
            </c:strRef>
          </c:tx>
          <c:spPr>
            <a:ln w="28575" cap="rnd">
              <a:solidFill>
                <a:srgbClr val="00B050"/>
              </a:solidFill>
              <a:round/>
            </a:ln>
            <a:effectLst/>
          </c:spPr>
          <c:marker>
            <c:symbol val="none"/>
          </c:marker>
          <c:cat>
            <c:numRef>
              <c:f>flows!$A$5:$A$370</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flows!$P$5:$P$371</c:f>
              <c:numCache>
                <c:formatCode>General</c:formatCode>
                <c:ptCount val="367"/>
                <c:pt idx="176">
                  <c:v>3.4</c:v>
                </c:pt>
                <c:pt idx="177">
                  <c:v>3.4</c:v>
                </c:pt>
                <c:pt idx="178">
                  <c:v>3.4</c:v>
                </c:pt>
                <c:pt idx="179">
                  <c:v>3.4</c:v>
                </c:pt>
                <c:pt idx="180">
                  <c:v>3.4</c:v>
                </c:pt>
                <c:pt idx="181">
                  <c:v>3.4</c:v>
                </c:pt>
                <c:pt idx="182">
                  <c:v>3.4</c:v>
                </c:pt>
                <c:pt idx="183">
                  <c:v>3.4</c:v>
                </c:pt>
                <c:pt idx="184">
                  <c:v>3.4</c:v>
                </c:pt>
                <c:pt idx="185">
                  <c:v>3.4</c:v>
                </c:pt>
                <c:pt idx="186">
                  <c:v>3.4</c:v>
                </c:pt>
                <c:pt idx="187">
                  <c:v>3.4</c:v>
                </c:pt>
                <c:pt idx="188">
                  <c:v>3.4</c:v>
                </c:pt>
                <c:pt idx="189">
                  <c:v>3.4</c:v>
                </c:pt>
                <c:pt idx="190">
                  <c:v>3.4</c:v>
                </c:pt>
                <c:pt idx="191">
                  <c:v>3.4</c:v>
                </c:pt>
                <c:pt idx="192">
                  <c:v>3.4</c:v>
                </c:pt>
                <c:pt idx="193">
                  <c:v>3.4</c:v>
                </c:pt>
                <c:pt idx="202">
                  <c:v>3.4</c:v>
                </c:pt>
                <c:pt idx="203">
                  <c:v>3.4</c:v>
                </c:pt>
                <c:pt idx="204">
                  <c:v>3.4</c:v>
                </c:pt>
                <c:pt idx="205">
                  <c:v>3.4</c:v>
                </c:pt>
                <c:pt idx="206">
                  <c:v>3.4</c:v>
                </c:pt>
                <c:pt idx="207">
                  <c:v>3.4</c:v>
                </c:pt>
                <c:pt idx="208">
                  <c:v>3.4</c:v>
                </c:pt>
                <c:pt idx="209">
                  <c:v>3.4</c:v>
                </c:pt>
                <c:pt idx="210">
                  <c:v>3.4</c:v>
                </c:pt>
                <c:pt idx="211">
                  <c:v>3.4</c:v>
                </c:pt>
                <c:pt idx="212">
                  <c:v>3.4</c:v>
                </c:pt>
                <c:pt idx="213">
                  <c:v>3.4</c:v>
                </c:pt>
                <c:pt idx="214">
                  <c:v>3.4</c:v>
                </c:pt>
                <c:pt idx="215">
                  <c:v>3.4</c:v>
                </c:pt>
                <c:pt idx="216">
                  <c:v>3.4</c:v>
                </c:pt>
                <c:pt idx="217">
                  <c:v>3.4</c:v>
                </c:pt>
                <c:pt idx="218">
                  <c:v>3.4</c:v>
                </c:pt>
                <c:pt idx="219">
                  <c:v>3.4</c:v>
                </c:pt>
                <c:pt idx="287">
                  <c:v>3.4</c:v>
                </c:pt>
                <c:pt idx="288">
                  <c:v>3.4</c:v>
                </c:pt>
                <c:pt idx="289">
                  <c:v>3.4</c:v>
                </c:pt>
                <c:pt idx="290">
                  <c:v>3.4</c:v>
                </c:pt>
                <c:pt idx="291">
                  <c:v>3.4</c:v>
                </c:pt>
                <c:pt idx="292">
                  <c:v>3.4</c:v>
                </c:pt>
                <c:pt idx="293">
                  <c:v>3.4</c:v>
                </c:pt>
                <c:pt idx="294">
                  <c:v>3.4</c:v>
                </c:pt>
                <c:pt idx="295">
                  <c:v>3.4</c:v>
                </c:pt>
                <c:pt idx="296">
                  <c:v>3.4</c:v>
                </c:pt>
                <c:pt idx="297">
                  <c:v>3.4</c:v>
                </c:pt>
                <c:pt idx="298">
                  <c:v>3.4</c:v>
                </c:pt>
                <c:pt idx="299">
                  <c:v>3.4</c:v>
                </c:pt>
                <c:pt idx="300">
                  <c:v>3.4</c:v>
                </c:pt>
                <c:pt idx="301">
                  <c:v>3.4</c:v>
                </c:pt>
                <c:pt idx="302">
                  <c:v>3.4</c:v>
                </c:pt>
                <c:pt idx="303">
                  <c:v>3.4</c:v>
                </c:pt>
                <c:pt idx="304">
                  <c:v>3.4</c:v>
                </c:pt>
                <c:pt idx="305">
                  <c:v>3.4</c:v>
                </c:pt>
                <c:pt idx="306">
                  <c:v>3.4</c:v>
                </c:pt>
                <c:pt idx="307">
                  <c:v>3.4</c:v>
                </c:pt>
                <c:pt idx="308">
                  <c:v>3.4</c:v>
                </c:pt>
                <c:pt idx="309">
                  <c:v>3.4</c:v>
                </c:pt>
                <c:pt idx="310">
                  <c:v>3.4</c:v>
                </c:pt>
                <c:pt idx="311">
                  <c:v>3.4</c:v>
                </c:pt>
                <c:pt idx="312">
                  <c:v>3.4</c:v>
                </c:pt>
                <c:pt idx="313">
                  <c:v>3.4</c:v>
                </c:pt>
                <c:pt idx="314">
                  <c:v>3.4</c:v>
                </c:pt>
                <c:pt idx="315">
                  <c:v>3.4</c:v>
                </c:pt>
                <c:pt idx="316">
                  <c:v>3.4</c:v>
                </c:pt>
                <c:pt idx="317">
                  <c:v>3.4</c:v>
                </c:pt>
                <c:pt idx="318">
                  <c:v>3.4</c:v>
                </c:pt>
                <c:pt idx="319">
                  <c:v>3.4</c:v>
                </c:pt>
                <c:pt idx="320">
                  <c:v>3.4</c:v>
                </c:pt>
                <c:pt idx="321">
                  <c:v>3.4</c:v>
                </c:pt>
                <c:pt idx="322">
                  <c:v>3.4</c:v>
                </c:pt>
              </c:numCache>
            </c:numRef>
          </c:val>
          <c:smooth val="0"/>
        </c:ser>
        <c:ser>
          <c:idx val="6"/>
          <c:order val="1"/>
          <c:tx>
            <c:strRef>
              <c:f>flows!$R$1</c:f>
              <c:strCache>
                <c:ptCount val="1"/>
                <c:pt idx="0">
                  <c:v>Microinvertebrate Sampling</c:v>
                </c:pt>
              </c:strCache>
            </c:strRef>
          </c:tx>
          <c:spPr>
            <a:ln w="28575" cap="rnd">
              <a:solidFill>
                <a:schemeClr val="tx1"/>
              </a:solidFill>
              <a:round/>
            </a:ln>
            <a:effectLst/>
          </c:spPr>
          <c:marker>
            <c:symbol val="none"/>
          </c:marker>
          <c:cat>
            <c:numRef>
              <c:f>flows!$A$5:$A$370</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flows!$R$5:$R$300</c:f>
              <c:numCache>
                <c:formatCode>General</c:formatCode>
                <c:ptCount val="296"/>
                <c:pt idx="89">
                  <c:v>3.2</c:v>
                </c:pt>
                <c:pt idx="90">
                  <c:v>3.2</c:v>
                </c:pt>
                <c:pt idx="91">
                  <c:v>3.2</c:v>
                </c:pt>
                <c:pt idx="92">
                  <c:v>3.2</c:v>
                </c:pt>
                <c:pt idx="218">
                  <c:v>3.2</c:v>
                </c:pt>
                <c:pt idx="219">
                  <c:v>3.2</c:v>
                </c:pt>
                <c:pt idx="220">
                  <c:v>3.2</c:v>
                </c:pt>
                <c:pt idx="221">
                  <c:v>3.2</c:v>
                </c:pt>
                <c:pt idx="222">
                  <c:v>3.2</c:v>
                </c:pt>
                <c:pt idx="257">
                  <c:v>3.2</c:v>
                </c:pt>
                <c:pt idx="258">
                  <c:v>3.2</c:v>
                </c:pt>
                <c:pt idx="259">
                  <c:v>3.2</c:v>
                </c:pt>
                <c:pt idx="260">
                  <c:v>3.2</c:v>
                </c:pt>
                <c:pt idx="292">
                  <c:v>3.2</c:v>
                </c:pt>
                <c:pt idx="293">
                  <c:v>3.2</c:v>
                </c:pt>
                <c:pt idx="294">
                  <c:v>3.2</c:v>
                </c:pt>
                <c:pt idx="295">
                  <c:v>3.2</c:v>
                </c:pt>
              </c:numCache>
            </c:numRef>
          </c:val>
          <c:smooth val="0"/>
        </c:ser>
        <c:ser>
          <c:idx val="8"/>
          <c:order val="2"/>
          <c:tx>
            <c:strRef>
              <c:f>flows!$J$1</c:f>
              <c:strCache>
                <c:ptCount val="1"/>
                <c:pt idx="0">
                  <c:v>Bunnor Bird Hide rmCam</c:v>
                </c:pt>
              </c:strCache>
            </c:strRef>
          </c:tx>
          <c:spPr>
            <a:ln w="28575" cap="rnd">
              <a:solidFill>
                <a:srgbClr val="FF0000"/>
              </a:solidFill>
              <a:prstDash val="sysDash"/>
              <a:round/>
            </a:ln>
            <a:effectLst/>
          </c:spPr>
          <c:marker>
            <c:symbol val="none"/>
          </c:marker>
          <c:cat>
            <c:numRef>
              <c:f>flows!$A$5:$A$370</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flows!$J$5:$J$370</c:f>
              <c:numCache>
                <c:formatCode>General</c:formatCode>
                <c:ptCount val="366"/>
                <c:pt idx="17" formatCode="0.00">
                  <c:v>0.44600694444444589</c:v>
                </c:pt>
                <c:pt idx="18" formatCode="0.00">
                  <c:v>0.44260416666666624</c:v>
                </c:pt>
                <c:pt idx="19" formatCode="0.00">
                  <c:v>0.45243055555555667</c:v>
                </c:pt>
                <c:pt idx="20" formatCode="0.00">
                  <c:v>0.46173611111110929</c:v>
                </c:pt>
                <c:pt idx="21" formatCode="0.00">
                  <c:v>0.47121527777777694</c:v>
                </c:pt>
                <c:pt idx="22" formatCode="0.00">
                  <c:v>0.47357638888888814</c:v>
                </c:pt>
                <c:pt idx="23" formatCode="0.00">
                  <c:v>0.47565972222222147</c:v>
                </c:pt>
                <c:pt idx="24" formatCode="0.00">
                  <c:v>0.48701388888888686</c:v>
                </c:pt>
                <c:pt idx="25" formatCode="0.00">
                  <c:v>0.48930555555555411</c:v>
                </c:pt>
                <c:pt idx="26" formatCode="0.00">
                  <c:v>0.48899305555555422</c:v>
                </c:pt>
                <c:pt idx="27" formatCode="0.00">
                  <c:v>0.48732638888888757</c:v>
                </c:pt>
                <c:pt idx="28" formatCode="0.00">
                  <c:v>0.48607638888888677</c:v>
                </c:pt>
                <c:pt idx="29" formatCode="0.00">
                  <c:v>0.49013888888888751</c:v>
                </c:pt>
                <c:pt idx="30" formatCode="0.00">
                  <c:v>0.493993055555556</c:v>
                </c:pt>
                <c:pt idx="31" formatCode="0.00">
                  <c:v>0.49645833333333322</c:v>
                </c:pt>
                <c:pt idx="32" formatCode="0.00">
                  <c:v>0.49149305555555423</c:v>
                </c:pt>
                <c:pt idx="33" formatCode="0.00">
                  <c:v>0.49013888888888779</c:v>
                </c:pt>
                <c:pt idx="34" formatCode="0.00">
                  <c:v>0.48892361111110955</c:v>
                </c:pt>
                <c:pt idx="35" formatCode="0.00">
                  <c:v>0.48079861111111177</c:v>
                </c:pt>
                <c:pt idx="36" formatCode="0.00">
                  <c:v>0.48704861111110948</c:v>
                </c:pt>
                <c:pt idx="37" formatCode="0.00">
                  <c:v>0.490034722222221</c:v>
                </c:pt>
                <c:pt idx="38" formatCode="0.00">
                  <c:v>0.49861111111111156</c:v>
                </c:pt>
                <c:pt idx="39" formatCode="0.00">
                  <c:v>0.50142361111111144</c:v>
                </c:pt>
                <c:pt idx="40" formatCode="0.00">
                  <c:v>0.5062500000000012</c:v>
                </c:pt>
                <c:pt idx="41" formatCode="0.00">
                  <c:v>0.52548611111111154</c:v>
                </c:pt>
                <c:pt idx="42" formatCode="0.00">
                  <c:v>0.52</c:v>
                </c:pt>
                <c:pt idx="43" formatCode="0.00">
                  <c:v>0.53</c:v>
                </c:pt>
                <c:pt idx="44" formatCode="0.00">
                  <c:v>0.52</c:v>
                </c:pt>
                <c:pt idx="45" formatCode="0.00">
                  <c:v>0.53</c:v>
                </c:pt>
                <c:pt idx="46" formatCode="0.00">
                  <c:v>0.53</c:v>
                </c:pt>
                <c:pt idx="47" formatCode="0.00">
                  <c:v>0.54</c:v>
                </c:pt>
                <c:pt idx="48" formatCode="0.00">
                  <c:v>0.54</c:v>
                </c:pt>
                <c:pt idx="49" formatCode="0.00">
                  <c:v>0.54</c:v>
                </c:pt>
                <c:pt idx="50" formatCode="0.00">
                  <c:v>0.55000000000000004</c:v>
                </c:pt>
                <c:pt idx="51" formatCode="0.00">
                  <c:v>0.55000000000000004</c:v>
                </c:pt>
                <c:pt idx="52" formatCode="0.00">
                  <c:v>0.56000000000000005</c:v>
                </c:pt>
                <c:pt idx="53" formatCode="0.00">
                  <c:v>0.56000000000000005</c:v>
                </c:pt>
                <c:pt idx="54" formatCode="0.00">
                  <c:v>0.56999999999999995</c:v>
                </c:pt>
                <c:pt idx="55" formatCode="0.00">
                  <c:v>0.56999999999999995</c:v>
                </c:pt>
                <c:pt idx="56" formatCode="0.00">
                  <c:v>0.56000000000000005</c:v>
                </c:pt>
                <c:pt idx="57" formatCode="0.00">
                  <c:v>0.55000000000000004</c:v>
                </c:pt>
                <c:pt idx="58" formatCode="0.00">
                  <c:v>0.55000000000000004</c:v>
                </c:pt>
                <c:pt idx="59" formatCode="0.00">
                  <c:v>0.55000000000000004</c:v>
                </c:pt>
                <c:pt idx="60" formatCode="0.00">
                  <c:v>0.54</c:v>
                </c:pt>
                <c:pt idx="61" formatCode="0.00">
                  <c:v>0.54</c:v>
                </c:pt>
                <c:pt idx="62" formatCode="0.00">
                  <c:v>0.59888888888888636</c:v>
                </c:pt>
                <c:pt idx="63" formatCode="0.00">
                  <c:v>0.59822916666666504</c:v>
                </c:pt>
                <c:pt idx="64" formatCode="0.00">
                  <c:v>0.60684027777777561</c:v>
                </c:pt>
                <c:pt idx="65" formatCode="0.00">
                  <c:v>0.61250000000000338</c:v>
                </c:pt>
                <c:pt idx="66" formatCode="0.00">
                  <c:v>0.62000000000000244</c:v>
                </c:pt>
                <c:pt idx="67" formatCode="0.00">
                  <c:v>0.62000000000000244</c:v>
                </c:pt>
                <c:pt idx="68" formatCode="0.00">
                  <c:v>0.62000000000000244</c:v>
                </c:pt>
                <c:pt idx="69" formatCode="0.00">
                  <c:v>0.61420138888889053</c:v>
                </c:pt>
                <c:pt idx="70" formatCode="0.00">
                  <c:v>0.60951388888889224</c:v>
                </c:pt>
                <c:pt idx="71" formatCode="0.00">
                  <c:v>0.60267361111111295</c:v>
                </c:pt>
                <c:pt idx="72" formatCode="0.00">
                  <c:v>0.59999999999999676</c:v>
                </c:pt>
                <c:pt idx="73" formatCode="0.00">
                  <c:v>0.59999999999999676</c:v>
                </c:pt>
                <c:pt idx="74" formatCode="0.00">
                  <c:v>0.59999999999999676</c:v>
                </c:pt>
                <c:pt idx="75" formatCode="0.00">
                  <c:v>0.59999999999999676</c:v>
                </c:pt>
                <c:pt idx="76" formatCode="0.00">
                  <c:v>0.59663194444444145</c:v>
                </c:pt>
                <c:pt idx="77" formatCode="0.00">
                  <c:v>0.59000000000000274</c:v>
                </c:pt>
                <c:pt idx="78" formatCode="0.00">
                  <c:v>0.5882638888888907</c:v>
                </c:pt>
                <c:pt idx="79" formatCode="0.00">
                  <c:v>0.58333333333333348</c:v>
                </c:pt>
                <c:pt idx="80" formatCode="0.00">
                  <c:v>0.57465277777777923</c:v>
                </c:pt>
                <c:pt idx="81" formatCode="0.00">
                  <c:v>0.56996527777777373</c:v>
                </c:pt>
                <c:pt idx="82" formatCode="0.00">
                  <c:v>0.56180555555555556</c:v>
                </c:pt>
                <c:pt idx="83" formatCode="0.00">
                  <c:v>0.5545486111111112</c:v>
                </c:pt>
                <c:pt idx="84" formatCode="0.00">
                  <c:v>0.54996527777777837</c:v>
                </c:pt>
                <c:pt idx="85" formatCode="0.00">
                  <c:v>0.5500000000000006</c:v>
                </c:pt>
                <c:pt idx="86" formatCode="0.00">
                  <c:v>0.54993055555555614</c:v>
                </c:pt>
                <c:pt idx="87" formatCode="0.00">
                  <c:v>0.54989583333333392</c:v>
                </c:pt>
                <c:pt idx="88" formatCode="0.00">
                  <c:v>0.54635416666666725</c:v>
                </c:pt>
                <c:pt idx="89" formatCode="0.00">
                  <c:v>0.54000000000000092</c:v>
                </c:pt>
                <c:pt idx="90" formatCode="0.00">
                  <c:v>0.53687500000000132</c:v>
                </c:pt>
                <c:pt idx="91" formatCode="0.00">
                  <c:v>0.53027777777777885</c:v>
                </c:pt>
                <c:pt idx="92" formatCode="0.00">
                  <c:v>0.53000000000000091</c:v>
                </c:pt>
                <c:pt idx="93" formatCode="0.00">
                  <c:v>0.52545138888888987</c:v>
                </c:pt>
                <c:pt idx="94" formatCode="0.00">
                  <c:v>0.52204861111111245</c:v>
                </c:pt>
                <c:pt idx="95" formatCode="0.00">
                  <c:v>0.52090277777777871</c:v>
                </c:pt>
                <c:pt idx="96" formatCode="0.00">
                  <c:v>0.52000000000000035</c:v>
                </c:pt>
                <c:pt idx="97" formatCode="0.00">
                  <c:v>0.52000000000000035</c:v>
                </c:pt>
                <c:pt idx="98" formatCode="0.00">
                  <c:v>0.5193055555555558</c:v>
                </c:pt>
                <c:pt idx="99" formatCode="0.00">
                  <c:v>0.51302083333333337</c:v>
                </c:pt>
                <c:pt idx="100" formatCode="0.00">
                  <c:v>0.51010416666666736</c:v>
                </c:pt>
                <c:pt idx="101" formatCode="0.00">
                  <c:v>0.51003472222222301</c:v>
                </c:pt>
                <c:pt idx="102" formatCode="0.00">
                  <c:v>0.51138888888888845</c:v>
                </c:pt>
                <c:pt idx="103" formatCode="0.00">
                  <c:v>0.51388888888888862</c:v>
                </c:pt>
                <c:pt idx="104" formatCode="0.00">
                  <c:v>0.51361111111111191</c:v>
                </c:pt>
                <c:pt idx="105" formatCode="0.00">
                  <c:v>0.51083333333333392</c:v>
                </c:pt>
                <c:pt idx="106" formatCode="0.00">
                  <c:v>0.51281250000000067</c:v>
                </c:pt>
                <c:pt idx="107" formatCode="0.00">
                  <c:v>0.5104513888888893</c:v>
                </c:pt>
                <c:pt idx="108" formatCode="0.00">
                  <c:v>0.51034722222222273</c:v>
                </c:pt>
                <c:pt idx="109" formatCode="0.00">
                  <c:v>0.50520833333333437</c:v>
                </c:pt>
                <c:pt idx="110" formatCode="0.00">
                  <c:v>0.49774305555555565</c:v>
                </c:pt>
                <c:pt idx="111" formatCode="0.00">
                  <c:v>0.4943749999999994</c:v>
                </c:pt>
                <c:pt idx="112" formatCode="0.00">
                  <c:v>0.49107638888888733</c:v>
                </c:pt>
                <c:pt idx="113" formatCode="0.00">
                  <c:v>0.48999999999999883</c:v>
                </c:pt>
                <c:pt idx="114" formatCode="0.00">
                  <c:v>0.4840624999999989</c:v>
                </c:pt>
                <c:pt idx="115" formatCode="0.00">
                  <c:v>0.47746527777777836</c:v>
                </c:pt>
                <c:pt idx="116" formatCode="0.00">
                  <c:v>0.46996527777777686</c:v>
                </c:pt>
                <c:pt idx="117" formatCode="0.00">
                  <c:v>0.46590277777777622</c:v>
                </c:pt>
                <c:pt idx="118" formatCode="0.00">
                  <c:v>0.46649305555555515</c:v>
                </c:pt>
                <c:pt idx="119" formatCode="0.00">
                  <c:v>0.45586805555555315</c:v>
                </c:pt>
                <c:pt idx="120" formatCode="0.00">
                  <c:v>0.44718750000000185</c:v>
                </c:pt>
                <c:pt idx="121" formatCode="0.00">
                  <c:v>0.4362152777777763</c:v>
                </c:pt>
                <c:pt idx="122" formatCode="0.00">
                  <c:v>0.43065972222222482</c:v>
                </c:pt>
                <c:pt idx="123" formatCode="0.00">
                  <c:v>0.43225694444444684</c:v>
                </c:pt>
                <c:pt idx="124" formatCode="0.00">
                  <c:v>0.44173611111111039</c:v>
                </c:pt>
                <c:pt idx="125" formatCode="0.00">
                  <c:v>0.4487847222222236</c:v>
                </c:pt>
                <c:pt idx="126" formatCode="0.00">
                  <c:v>0.45395833333333435</c:v>
                </c:pt>
                <c:pt idx="127" formatCode="0.00">
                  <c:v>0.46645833333333125</c:v>
                </c:pt>
                <c:pt idx="128" formatCode="0.00">
                  <c:v>0.47881944444444469</c:v>
                </c:pt>
                <c:pt idx="129" formatCode="0.00">
                  <c:v>0.47954861111111158</c:v>
                </c:pt>
                <c:pt idx="130" formatCode="0.00">
                  <c:v>0.48041666666666694</c:v>
                </c:pt>
                <c:pt idx="131" formatCode="0.00">
                  <c:v>0.48826388888888672</c:v>
                </c:pt>
                <c:pt idx="132" formatCode="0.00">
                  <c:v>0.49843750000000042</c:v>
                </c:pt>
                <c:pt idx="133" formatCode="0.00">
                  <c:v>0.50444444444444558</c:v>
                </c:pt>
                <c:pt idx="134" formatCode="0.00">
                  <c:v>0.51166666666666727</c:v>
                </c:pt>
                <c:pt idx="135" formatCode="0.00">
                  <c:v>0.51982638888888932</c:v>
                </c:pt>
                <c:pt idx="136" formatCode="0.00">
                  <c:v>0.52621527777777832</c:v>
                </c:pt>
                <c:pt idx="137" formatCode="0.00">
                  <c:v>0.52871527777777882</c:v>
                </c:pt>
                <c:pt idx="138" formatCode="0.00">
                  <c:v>0.53003472222222314</c:v>
                </c:pt>
                <c:pt idx="139" formatCode="0.00">
                  <c:v>0.53020833333333439</c:v>
                </c:pt>
                <c:pt idx="140" formatCode="0.00">
                  <c:v>0.53381944444444629</c:v>
                </c:pt>
                <c:pt idx="141" formatCode="0.00">
                  <c:v>0.52965277777777886</c:v>
                </c:pt>
                <c:pt idx="142" formatCode="0.00">
                  <c:v>0.52447916666666727</c:v>
                </c:pt>
                <c:pt idx="143" formatCode="0.00">
                  <c:v>0.51545138888888853</c:v>
                </c:pt>
                <c:pt idx="144" formatCode="0.00">
                  <c:v>0.5186111111111088</c:v>
                </c:pt>
                <c:pt idx="145" formatCode="0.00">
                  <c:v>0.52805555555555739</c:v>
                </c:pt>
                <c:pt idx="146" formatCode="0.00">
                  <c:v>0.52795138888889004</c:v>
                </c:pt>
                <c:pt idx="147" formatCode="0.00">
                  <c:v>0.52986111111111212</c:v>
                </c:pt>
                <c:pt idx="148" formatCode="0.00">
                  <c:v>0.52783216783216902</c:v>
                </c:pt>
                <c:pt idx="149" formatCode="0.00">
                  <c:v>0.51579861111111081</c:v>
                </c:pt>
                <c:pt idx="150" formatCode="0.00">
                  <c:v>0.50913194444444521</c:v>
                </c:pt>
                <c:pt idx="151" formatCode="0.00">
                  <c:v>0.50513888888888969</c:v>
                </c:pt>
                <c:pt idx="152" formatCode="0.00">
                  <c:v>0.49552083333333347</c:v>
                </c:pt>
                <c:pt idx="153" formatCode="0.00">
                  <c:v>0.49024305555555447</c:v>
                </c:pt>
                <c:pt idx="154" formatCode="0.00">
                  <c:v>0.48937499999999878</c:v>
                </c:pt>
                <c:pt idx="155" formatCode="0.00">
                  <c:v>0.48107638888888982</c:v>
                </c:pt>
                <c:pt idx="156" formatCode="0.00">
                  <c:v>0.47326388888888882</c:v>
                </c:pt>
                <c:pt idx="157" formatCode="0.00">
                  <c:v>0.46715277777777725</c:v>
                </c:pt>
                <c:pt idx="158" formatCode="0.00">
                  <c:v>0.45954861111110923</c:v>
                </c:pt>
                <c:pt idx="159" formatCode="0.00">
                  <c:v>0.45374999999999965</c:v>
                </c:pt>
                <c:pt idx="160" formatCode="0.00">
                  <c:v>0.45951388888888783</c:v>
                </c:pt>
                <c:pt idx="161" formatCode="0.00">
                  <c:v>0.45291666666666802</c:v>
                </c:pt>
                <c:pt idx="162" formatCode="0.00">
                  <c:v>0.44600694444444589</c:v>
                </c:pt>
                <c:pt idx="163" formatCode="0.00">
                  <c:v>0.44260416666666624</c:v>
                </c:pt>
                <c:pt idx="164" formatCode="0.00">
                  <c:v>0.45243055555555667</c:v>
                </c:pt>
                <c:pt idx="165" formatCode="0.00">
                  <c:v>0.46173611111110929</c:v>
                </c:pt>
                <c:pt idx="166" formatCode="0.00">
                  <c:v>0.47121527777777694</c:v>
                </c:pt>
                <c:pt idx="167" formatCode="0.00">
                  <c:v>0.47357638888888814</c:v>
                </c:pt>
                <c:pt idx="168" formatCode="0.00">
                  <c:v>0.47565972222222147</c:v>
                </c:pt>
                <c:pt idx="169" formatCode="0.00">
                  <c:v>0.48701388888888686</c:v>
                </c:pt>
                <c:pt idx="170" formatCode="0.00">
                  <c:v>0.48930555555555411</c:v>
                </c:pt>
                <c:pt idx="171" formatCode="0.00">
                  <c:v>0.48899305555555422</c:v>
                </c:pt>
                <c:pt idx="172" formatCode="0.00">
                  <c:v>0.48732638888888757</c:v>
                </c:pt>
                <c:pt idx="173" formatCode="0.00">
                  <c:v>0.48607638888888677</c:v>
                </c:pt>
                <c:pt idx="174" formatCode="0.00">
                  <c:v>0.49013888888888751</c:v>
                </c:pt>
                <c:pt idx="175" formatCode="0.00">
                  <c:v>0.493993055555556</c:v>
                </c:pt>
                <c:pt idx="176" formatCode="0.00">
                  <c:v>0.49645833333333322</c:v>
                </c:pt>
                <c:pt idx="177" formatCode="0.00">
                  <c:v>0.49149305555555423</c:v>
                </c:pt>
                <c:pt idx="178" formatCode="0.00">
                  <c:v>0.49013888888888779</c:v>
                </c:pt>
                <c:pt idx="179" formatCode="0.00">
                  <c:v>0.48892361111110955</c:v>
                </c:pt>
                <c:pt idx="180" formatCode="0.00">
                  <c:v>0.48079861111111177</c:v>
                </c:pt>
                <c:pt idx="181" formatCode="0.00">
                  <c:v>0.48704861111110948</c:v>
                </c:pt>
                <c:pt idx="182" formatCode="0.00">
                  <c:v>0.490034722222221</c:v>
                </c:pt>
                <c:pt idx="183" formatCode="0.00">
                  <c:v>0.49861111111111156</c:v>
                </c:pt>
                <c:pt idx="184">
                  <c:v>0.51</c:v>
                </c:pt>
                <c:pt idx="185">
                  <c:v>0.51</c:v>
                </c:pt>
                <c:pt idx="186">
                  <c:v>0.55000000000000004</c:v>
                </c:pt>
                <c:pt idx="187">
                  <c:v>0.53</c:v>
                </c:pt>
                <c:pt idx="188">
                  <c:v>0.53</c:v>
                </c:pt>
                <c:pt idx="189">
                  <c:v>0.52</c:v>
                </c:pt>
                <c:pt idx="190">
                  <c:v>0.53</c:v>
                </c:pt>
                <c:pt idx="191">
                  <c:v>0.53</c:v>
                </c:pt>
                <c:pt idx="192">
                  <c:v>0.54</c:v>
                </c:pt>
                <c:pt idx="193">
                  <c:v>0.54</c:v>
                </c:pt>
                <c:pt idx="194">
                  <c:v>0.54</c:v>
                </c:pt>
                <c:pt idx="195">
                  <c:v>0.55000000000000004</c:v>
                </c:pt>
                <c:pt idx="196">
                  <c:v>0.55000000000000004</c:v>
                </c:pt>
                <c:pt idx="197">
                  <c:v>0.56000000000000005</c:v>
                </c:pt>
                <c:pt idx="198">
                  <c:v>0.56000000000000005</c:v>
                </c:pt>
                <c:pt idx="199">
                  <c:v>0.56999999999999995</c:v>
                </c:pt>
                <c:pt idx="200">
                  <c:v>0.56999999999999995</c:v>
                </c:pt>
                <c:pt idx="201">
                  <c:v>0.56000000000000005</c:v>
                </c:pt>
                <c:pt idx="202">
                  <c:v>0.55000000000000004</c:v>
                </c:pt>
                <c:pt idx="203">
                  <c:v>0.55000000000000004</c:v>
                </c:pt>
                <c:pt idx="204">
                  <c:v>0.55000000000000004</c:v>
                </c:pt>
                <c:pt idx="205">
                  <c:v>0.54</c:v>
                </c:pt>
                <c:pt idx="206">
                  <c:v>0.54</c:v>
                </c:pt>
                <c:pt idx="207">
                  <c:v>0.54</c:v>
                </c:pt>
                <c:pt idx="208">
                  <c:v>0.54</c:v>
                </c:pt>
                <c:pt idx="209">
                  <c:v>0.54</c:v>
                </c:pt>
                <c:pt idx="210">
                  <c:v>0.56000000000000005</c:v>
                </c:pt>
                <c:pt idx="211">
                  <c:v>0.56999999999999995</c:v>
                </c:pt>
                <c:pt idx="212">
                  <c:v>0.56000000000000005</c:v>
                </c:pt>
                <c:pt idx="213">
                  <c:v>0.56000000000000005</c:v>
                </c:pt>
                <c:pt idx="214">
                  <c:v>0.54</c:v>
                </c:pt>
                <c:pt idx="215">
                  <c:v>0.53</c:v>
                </c:pt>
                <c:pt idx="216">
                  <c:v>0.51</c:v>
                </c:pt>
                <c:pt idx="217">
                  <c:v>0.55000000000000004</c:v>
                </c:pt>
                <c:pt idx="218">
                  <c:v>0.55000000000000004</c:v>
                </c:pt>
                <c:pt idx="219">
                  <c:v>0.55000000000000004</c:v>
                </c:pt>
                <c:pt idx="220">
                  <c:v>0.56000000000000005</c:v>
                </c:pt>
                <c:pt idx="221">
                  <c:v>0.56000000000000005</c:v>
                </c:pt>
                <c:pt idx="222">
                  <c:v>0.56000000000000005</c:v>
                </c:pt>
                <c:pt idx="223">
                  <c:v>0.56000000000000005</c:v>
                </c:pt>
                <c:pt idx="224">
                  <c:v>0.56000000000000005</c:v>
                </c:pt>
                <c:pt idx="225">
                  <c:v>0.56000000000000005</c:v>
                </c:pt>
                <c:pt idx="226">
                  <c:v>0.56999999999999995</c:v>
                </c:pt>
                <c:pt idx="227">
                  <c:v>0.56999999999999995</c:v>
                </c:pt>
                <c:pt idx="228">
                  <c:v>0.56999999999999995</c:v>
                </c:pt>
                <c:pt idx="229">
                  <c:v>0.56999999999999995</c:v>
                </c:pt>
                <c:pt idx="230">
                  <c:v>0.56999999999999995</c:v>
                </c:pt>
                <c:pt idx="231">
                  <c:v>0.56000000000000005</c:v>
                </c:pt>
                <c:pt idx="232">
                  <c:v>0.55000000000000004</c:v>
                </c:pt>
                <c:pt idx="233">
                  <c:v>0.54</c:v>
                </c:pt>
                <c:pt idx="234">
                  <c:v>0.53</c:v>
                </c:pt>
                <c:pt idx="235">
                  <c:v>0.54</c:v>
                </c:pt>
                <c:pt idx="236">
                  <c:v>0.54</c:v>
                </c:pt>
                <c:pt idx="237">
                  <c:v>0.54</c:v>
                </c:pt>
                <c:pt idx="238">
                  <c:v>0.54</c:v>
                </c:pt>
                <c:pt idx="239">
                  <c:v>0.54</c:v>
                </c:pt>
                <c:pt idx="240">
                  <c:v>0.53</c:v>
                </c:pt>
                <c:pt idx="241">
                  <c:v>0.51</c:v>
                </c:pt>
                <c:pt idx="242">
                  <c:v>0.51</c:v>
                </c:pt>
                <c:pt idx="243">
                  <c:v>0.49</c:v>
                </c:pt>
                <c:pt idx="244">
                  <c:v>0.48</c:v>
                </c:pt>
                <c:pt idx="245">
                  <c:v>0.47</c:v>
                </c:pt>
                <c:pt idx="246">
                  <c:v>0.46</c:v>
                </c:pt>
                <c:pt idx="247">
                  <c:v>0.47</c:v>
                </c:pt>
                <c:pt idx="248">
                  <c:v>0.47</c:v>
                </c:pt>
                <c:pt idx="249">
                  <c:v>0.47</c:v>
                </c:pt>
                <c:pt idx="250">
                  <c:v>0.47</c:v>
                </c:pt>
                <c:pt idx="251">
                  <c:v>0.47</c:v>
                </c:pt>
                <c:pt idx="252">
                  <c:v>0.48</c:v>
                </c:pt>
                <c:pt idx="253">
                  <c:v>0.48</c:v>
                </c:pt>
                <c:pt idx="254">
                  <c:v>0.48</c:v>
                </c:pt>
                <c:pt idx="255">
                  <c:v>0.47</c:v>
                </c:pt>
                <c:pt idx="256">
                  <c:v>0.46</c:v>
                </c:pt>
                <c:pt idx="257">
                  <c:v>0.45</c:v>
                </c:pt>
                <c:pt idx="258">
                  <c:v>0.44</c:v>
                </c:pt>
                <c:pt idx="259">
                  <c:v>0.44</c:v>
                </c:pt>
                <c:pt idx="260">
                  <c:v>0.43</c:v>
                </c:pt>
                <c:pt idx="261">
                  <c:v>0.43</c:v>
                </c:pt>
                <c:pt idx="262">
                  <c:v>0.42</c:v>
                </c:pt>
                <c:pt idx="263">
                  <c:v>0.41</c:v>
                </c:pt>
                <c:pt idx="264">
                  <c:v>0.4</c:v>
                </c:pt>
                <c:pt idx="265">
                  <c:v>0.39</c:v>
                </c:pt>
                <c:pt idx="266">
                  <c:v>0.39</c:v>
                </c:pt>
                <c:pt idx="267">
                  <c:v>0.39</c:v>
                </c:pt>
                <c:pt idx="268">
                  <c:v>0.39</c:v>
                </c:pt>
                <c:pt idx="269">
                  <c:v>0.38</c:v>
                </c:pt>
                <c:pt idx="270">
                  <c:v>0.37</c:v>
                </c:pt>
                <c:pt idx="271">
                  <c:v>0.36</c:v>
                </c:pt>
                <c:pt idx="272">
                  <c:v>0.36</c:v>
                </c:pt>
                <c:pt idx="273">
                  <c:v>0.35</c:v>
                </c:pt>
                <c:pt idx="274">
                  <c:v>0.35</c:v>
                </c:pt>
                <c:pt idx="275">
                  <c:v>0.35</c:v>
                </c:pt>
                <c:pt idx="276">
                  <c:v>0.35</c:v>
                </c:pt>
                <c:pt idx="277">
                  <c:v>0.34</c:v>
                </c:pt>
                <c:pt idx="278">
                  <c:v>0.33</c:v>
                </c:pt>
                <c:pt idx="279">
                  <c:v>0.32</c:v>
                </c:pt>
                <c:pt idx="280">
                  <c:v>0.31</c:v>
                </c:pt>
                <c:pt idx="281">
                  <c:v>0.31</c:v>
                </c:pt>
                <c:pt idx="282">
                  <c:v>0.31</c:v>
                </c:pt>
                <c:pt idx="283">
                  <c:v>0.31</c:v>
                </c:pt>
                <c:pt idx="284">
                  <c:v>0.31</c:v>
                </c:pt>
                <c:pt idx="285">
                  <c:v>0.3</c:v>
                </c:pt>
                <c:pt idx="286">
                  <c:v>0.28999999999999998</c:v>
                </c:pt>
                <c:pt idx="287">
                  <c:v>0.28999999999999998</c:v>
                </c:pt>
                <c:pt idx="288">
                  <c:v>0.27</c:v>
                </c:pt>
                <c:pt idx="289">
                  <c:v>0.27</c:v>
                </c:pt>
                <c:pt idx="290">
                  <c:v>0.27</c:v>
                </c:pt>
                <c:pt idx="291">
                  <c:v>0.27</c:v>
                </c:pt>
                <c:pt idx="292">
                  <c:v>0.26</c:v>
                </c:pt>
                <c:pt idx="293">
                  <c:v>0.25</c:v>
                </c:pt>
                <c:pt idx="294">
                  <c:v>0.25</c:v>
                </c:pt>
                <c:pt idx="295">
                  <c:v>0.25</c:v>
                </c:pt>
                <c:pt idx="296">
                  <c:v>0.24</c:v>
                </c:pt>
                <c:pt idx="297">
                  <c:v>0.23</c:v>
                </c:pt>
                <c:pt idx="298">
                  <c:v>0.22</c:v>
                </c:pt>
                <c:pt idx="299">
                  <c:v>0.21</c:v>
                </c:pt>
                <c:pt idx="300">
                  <c:v>0.21</c:v>
                </c:pt>
                <c:pt idx="301">
                  <c:v>0.21</c:v>
                </c:pt>
                <c:pt idx="302">
                  <c:v>0.21</c:v>
                </c:pt>
                <c:pt idx="303">
                  <c:v>0.21</c:v>
                </c:pt>
                <c:pt idx="304">
                  <c:v>0.2</c:v>
                </c:pt>
                <c:pt idx="305">
                  <c:v>0.2</c:v>
                </c:pt>
                <c:pt idx="306">
                  <c:v>0.22</c:v>
                </c:pt>
                <c:pt idx="307">
                  <c:v>0.22</c:v>
                </c:pt>
                <c:pt idx="308">
                  <c:v>0.21</c:v>
                </c:pt>
                <c:pt idx="309">
                  <c:v>0.2</c:v>
                </c:pt>
                <c:pt idx="310">
                  <c:v>0.2</c:v>
                </c:pt>
                <c:pt idx="311">
                  <c:v>0.2</c:v>
                </c:pt>
                <c:pt idx="312">
                  <c:v>0.31</c:v>
                </c:pt>
                <c:pt idx="313">
                  <c:v>0.38</c:v>
                </c:pt>
                <c:pt idx="314">
                  <c:v>0.42</c:v>
                </c:pt>
                <c:pt idx="315">
                  <c:v>0.44</c:v>
                </c:pt>
                <c:pt idx="316">
                  <c:v>0.46</c:v>
                </c:pt>
                <c:pt idx="317">
                  <c:v>0.45</c:v>
                </c:pt>
                <c:pt idx="318">
                  <c:v>0.45</c:v>
                </c:pt>
                <c:pt idx="319">
                  <c:v>0.46</c:v>
                </c:pt>
                <c:pt idx="320">
                  <c:v>0.46</c:v>
                </c:pt>
                <c:pt idx="321">
                  <c:v>0.46</c:v>
                </c:pt>
                <c:pt idx="322">
                  <c:v>0.47</c:v>
                </c:pt>
                <c:pt idx="323">
                  <c:v>0.47</c:v>
                </c:pt>
                <c:pt idx="324">
                  <c:v>0.47</c:v>
                </c:pt>
                <c:pt idx="325">
                  <c:v>0.47</c:v>
                </c:pt>
                <c:pt idx="326">
                  <c:v>0.48</c:v>
                </c:pt>
                <c:pt idx="327">
                  <c:v>0.47</c:v>
                </c:pt>
                <c:pt idx="328">
                  <c:v>0.48</c:v>
                </c:pt>
                <c:pt idx="329">
                  <c:v>0.47</c:v>
                </c:pt>
                <c:pt idx="330">
                  <c:v>0.48</c:v>
                </c:pt>
                <c:pt idx="331">
                  <c:v>0.48</c:v>
                </c:pt>
                <c:pt idx="332">
                  <c:v>0.48</c:v>
                </c:pt>
                <c:pt idx="333">
                  <c:v>0.47</c:v>
                </c:pt>
                <c:pt idx="334">
                  <c:v>0.46</c:v>
                </c:pt>
                <c:pt idx="335">
                  <c:v>0.46</c:v>
                </c:pt>
                <c:pt idx="336">
                  <c:v>0.45</c:v>
                </c:pt>
                <c:pt idx="337">
                  <c:v>0.44</c:v>
                </c:pt>
              </c:numCache>
            </c:numRef>
          </c:val>
          <c:smooth val="0"/>
        </c:ser>
        <c:ser>
          <c:idx val="2"/>
          <c:order val="3"/>
          <c:tx>
            <c:strRef>
              <c:f>flows!$I$1</c:f>
              <c:strCache>
                <c:ptCount val="1"/>
                <c:pt idx="0">
                  <c:v>418077 - Gingham @ The Waterhole</c:v>
                </c:pt>
              </c:strCache>
            </c:strRef>
          </c:tx>
          <c:spPr>
            <a:ln w="28575" cap="rnd">
              <a:solidFill>
                <a:schemeClr val="tx2">
                  <a:lumMod val="60000"/>
                  <a:lumOff val="40000"/>
                </a:schemeClr>
              </a:solidFill>
              <a:round/>
            </a:ln>
            <a:effectLst/>
          </c:spPr>
          <c:marker>
            <c:symbol val="none"/>
          </c:marker>
          <c:cat>
            <c:numRef>
              <c:f>flows!$A$5:$A$370</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flows!$I$5:$I$370</c:f>
              <c:numCache>
                <c:formatCode>General</c:formatCode>
                <c:ptCount val="366"/>
                <c:pt idx="0">
                  <c:v>0.92200000000000004</c:v>
                </c:pt>
                <c:pt idx="1">
                  <c:v>0.93500000000000005</c:v>
                </c:pt>
                <c:pt idx="2">
                  <c:v>0.93799999999999994</c:v>
                </c:pt>
                <c:pt idx="3">
                  <c:v>0.93200000000000005</c:v>
                </c:pt>
                <c:pt idx="4">
                  <c:v>0.92500000000000004</c:v>
                </c:pt>
                <c:pt idx="5">
                  <c:v>0.91800000000000004</c:v>
                </c:pt>
                <c:pt idx="6">
                  <c:v>0.91</c:v>
                </c:pt>
                <c:pt idx="7">
                  <c:v>0.90300000000000002</c:v>
                </c:pt>
                <c:pt idx="8">
                  <c:v>0.89800000000000002</c:v>
                </c:pt>
                <c:pt idx="9">
                  <c:v>0.89500000000000002</c:v>
                </c:pt>
                <c:pt idx="10">
                  <c:v>0.9</c:v>
                </c:pt>
                <c:pt idx="11">
                  <c:v>0.90100000000000002</c:v>
                </c:pt>
                <c:pt idx="12">
                  <c:v>0.89600000000000002</c:v>
                </c:pt>
                <c:pt idx="13">
                  <c:v>0.89300000000000002</c:v>
                </c:pt>
                <c:pt idx="14">
                  <c:v>0.88800000000000001</c:v>
                </c:pt>
                <c:pt idx="15">
                  <c:v>0.88500000000000001</c:v>
                </c:pt>
                <c:pt idx="16">
                  <c:v>0.88100000000000001</c:v>
                </c:pt>
                <c:pt idx="17">
                  <c:v>0.876</c:v>
                </c:pt>
                <c:pt idx="18">
                  <c:v>0.871</c:v>
                </c:pt>
                <c:pt idx="19">
                  <c:v>0.86699999999999999</c:v>
                </c:pt>
                <c:pt idx="20">
                  <c:v>0.86299999999999999</c:v>
                </c:pt>
                <c:pt idx="21">
                  <c:v>0.86</c:v>
                </c:pt>
                <c:pt idx="22">
                  <c:v>0.86</c:v>
                </c:pt>
                <c:pt idx="23">
                  <c:v>0.86299999999999999</c:v>
                </c:pt>
                <c:pt idx="24">
                  <c:v>0.86699999999999999</c:v>
                </c:pt>
                <c:pt idx="25">
                  <c:v>0.86699999999999999</c:v>
                </c:pt>
                <c:pt idx="26">
                  <c:v>0.86599999999999999</c:v>
                </c:pt>
                <c:pt idx="27">
                  <c:v>0.86399999999999999</c:v>
                </c:pt>
                <c:pt idx="28">
                  <c:v>0.86199999999999999</c:v>
                </c:pt>
                <c:pt idx="29">
                  <c:v>0.85899999999999999</c:v>
                </c:pt>
                <c:pt idx="30">
                  <c:v>0.85599999999999998</c:v>
                </c:pt>
                <c:pt idx="31">
                  <c:v>0.85099999999999998</c:v>
                </c:pt>
                <c:pt idx="32">
                  <c:v>0.84699999999999998</c:v>
                </c:pt>
                <c:pt idx="33">
                  <c:v>0.872</c:v>
                </c:pt>
                <c:pt idx="34">
                  <c:v>0.90600000000000003</c:v>
                </c:pt>
                <c:pt idx="35">
                  <c:v>0.91600000000000004</c:v>
                </c:pt>
                <c:pt idx="36">
                  <c:v>0.92100000000000004</c:v>
                </c:pt>
                <c:pt idx="37">
                  <c:v>0.92400000000000004</c:v>
                </c:pt>
                <c:pt idx="38">
                  <c:v>0.92600000000000005</c:v>
                </c:pt>
                <c:pt idx="39">
                  <c:v>0.92500000000000004</c:v>
                </c:pt>
                <c:pt idx="40">
                  <c:v>0.92300000000000004</c:v>
                </c:pt>
                <c:pt idx="41">
                  <c:v>0.91800000000000004</c:v>
                </c:pt>
                <c:pt idx="42">
                  <c:v>0.91300000000000003</c:v>
                </c:pt>
                <c:pt idx="43">
                  <c:v>0.90600000000000003</c:v>
                </c:pt>
                <c:pt idx="44">
                  <c:v>0.9</c:v>
                </c:pt>
                <c:pt idx="45">
                  <c:v>0.89400000000000002</c:v>
                </c:pt>
                <c:pt idx="46">
                  <c:v>0.88900000000000001</c:v>
                </c:pt>
                <c:pt idx="47">
                  <c:v>0.88400000000000001</c:v>
                </c:pt>
                <c:pt idx="48">
                  <c:v>0.88</c:v>
                </c:pt>
                <c:pt idx="49">
                  <c:v>0.875</c:v>
                </c:pt>
                <c:pt idx="50">
                  <c:v>0.872</c:v>
                </c:pt>
                <c:pt idx="51">
                  <c:v>0.86799999999999999</c:v>
                </c:pt>
                <c:pt idx="52">
                  <c:v>0.86399999999999999</c:v>
                </c:pt>
                <c:pt idx="53">
                  <c:v>0.86</c:v>
                </c:pt>
                <c:pt idx="54">
                  <c:v>0.85899999999999999</c:v>
                </c:pt>
                <c:pt idx="55">
                  <c:v>0.85599999999999998</c:v>
                </c:pt>
                <c:pt idx="56">
                  <c:v>0.85299999999999998</c:v>
                </c:pt>
                <c:pt idx="57">
                  <c:v>0.85499999999999998</c:v>
                </c:pt>
                <c:pt idx="58">
                  <c:v>0.85499999999999998</c:v>
                </c:pt>
                <c:pt idx="59">
                  <c:v>0.85299999999999998</c:v>
                </c:pt>
                <c:pt idx="60">
                  <c:v>0.85199999999999998</c:v>
                </c:pt>
                <c:pt idx="61">
                  <c:v>0.84899999999999998</c:v>
                </c:pt>
                <c:pt idx="62">
                  <c:v>0.84599999999999997</c:v>
                </c:pt>
                <c:pt idx="63">
                  <c:v>0.84399999999999997</c:v>
                </c:pt>
                <c:pt idx="64">
                  <c:v>0.85099999999999998</c:v>
                </c:pt>
                <c:pt idx="65">
                  <c:v>0.88</c:v>
                </c:pt>
                <c:pt idx="66">
                  <c:v>0.89600000000000002</c:v>
                </c:pt>
                <c:pt idx="67">
                  <c:v>0.90300000000000002</c:v>
                </c:pt>
                <c:pt idx="68">
                  <c:v>0.91300000000000003</c:v>
                </c:pt>
                <c:pt idx="69">
                  <c:v>0.92100000000000004</c:v>
                </c:pt>
                <c:pt idx="70">
                  <c:v>0.92700000000000005</c:v>
                </c:pt>
                <c:pt idx="71">
                  <c:v>0.92900000000000005</c:v>
                </c:pt>
                <c:pt idx="72">
                  <c:v>0.92800000000000005</c:v>
                </c:pt>
                <c:pt idx="73">
                  <c:v>0.92700000000000005</c:v>
                </c:pt>
                <c:pt idx="74">
                  <c:v>0.92500000000000004</c:v>
                </c:pt>
                <c:pt idx="75">
                  <c:v>0.92200000000000004</c:v>
                </c:pt>
                <c:pt idx="76">
                  <c:v>0.91800000000000004</c:v>
                </c:pt>
                <c:pt idx="77">
                  <c:v>0.91400000000000003</c:v>
                </c:pt>
                <c:pt idx="78">
                  <c:v>0.91</c:v>
                </c:pt>
                <c:pt idx="79">
                  <c:v>0.90600000000000003</c:v>
                </c:pt>
                <c:pt idx="80">
                  <c:v>0.90300000000000002</c:v>
                </c:pt>
                <c:pt idx="81">
                  <c:v>0.9</c:v>
                </c:pt>
                <c:pt idx="82">
                  <c:v>0.89600000000000002</c:v>
                </c:pt>
                <c:pt idx="83">
                  <c:v>0.89200000000000002</c:v>
                </c:pt>
                <c:pt idx="84">
                  <c:v>0.88500000000000001</c:v>
                </c:pt>
                <c:pt idx="85">
                  <c:v>0.879</c:v>
                </c:pt>
                <c:pt idx="86">
                  <c:v>0.873</c:v>
                </c:pt>
                <c:pt idx="87">
                  <c:v>0.86599999999999999</c:v>
                </c:pt>
                <c:pt idx="88">
                  <c:v>0.86</c:v>
                </c:pt>
                <c:pt idx="89">
                  <c:v>0.85299999999999998</c:v>
                </c:pt>
                <c:pt idx="90">
                  <c:v>0.84499999999999997</c:v>
                </c:pt>
                <c:pt idx="91">
                  <c:v>0.83799999999999997</c:v>
                </c:pt>
                <c:pt idx="92">
                  <c:v>0.83199999999999996</c:v>
                </c:pt>
                <c:pt idx="93">
                  <c:v>0.82499999999999996</c:v>
                </c:pt>
                <c:pt idx="94">
                  <c:v>0.82</c:v>
                </c:pt>
                <c:pt idx="95">
                  <c:v>0.81499999999999995</c:v>
                </c:pt>
                <c:pt idx="96">
                  <c:v>0.81</c:v>
                </c:pt>
                <c:pt idx="97">
                  <c:v>0.80500000000000005</c:v>
                </c:pt>
                <c:pt idx="98">
                  <c:v>0.79800000000000004</c:v>
                </c:pt>
                <c:pt idx="99">
                  <c:v>0.79</c:v>
                </c:pt>
                <c:pt idx="100">
                  <c:v>0.78200000000000003</c:v>
                </c:pt>
                <c:pt idx="101">
                  <c:v>0.77300000000000002</c:v>
                </c:pt>
                <c:pt idx="102">
                  <c:v>0.76400000000000001</c:v>
                </c:pt>
                <c:pt idx="103">
                  <c:v>0.753</c:v>
                </c:pt>
                <c:pt idx="104">
                  <c:v>0.749</c:v>
                </c:pt>
                <c:pt idx="105">
                  <c:v>0.75</c:v>
                </c:pt>
                <c:pt idx="106">
                  <c:v>0.73399999999999999</c:v>
                </c:pt>
                <c:pt idx="107">
                  <c:v>0.72</c:v>
                </c:pt>
                <c:pt idx="108">
                  <c:v>0.70799999999999996</c:v>
                </c:pt>
                <c:pt idx="109">
                  <c:v>0.69699999999999995</c:v>
                </c:pt>
                <c:pt idx="110">
                  <c:v>0.68799999999999994</c:v>
                </c:pt>
                <c:pt idx="111">
                  <c:v>0.67800000000000005</c:v>
                </c:pt>
                <c:pt idx="112">
                  <c:v>0.66800000000000004</c:v>
                </c:pt>
                <c:pt idx="113">
                  <c:v>0.65900000000000003</c:v>
                </c:pt>
                <c:pt idx="114">
                  <c:v>0.64900000000000002</c:v>
                </c:pt>
                <c:pt idx="115">
                  <c:v>0.63700000000000001</c:v>
                </c:pt>
                <c:pt idx="116">
                  <c:v>0.626</c:v>
                </c:pt>
                <c:pt idx="117">
                  <c:v>0.624</c:v>
                </c:pt>
                <c:pt idx="118">
                  <c:v>0.64200000000000002</c:v>
                </c:pt>
                <c:pt idx="119">
                  <c:v>0.63400000000000001</c:v>
                </c:pt>
                <c:pt idx="120">
                  <c:v>0.628</c:v>
                </c:pt>
                <c:pt idx="121">
                  <c:v>0.62</c:v>
                </c:pt>
                <c:pt idx="122">
                  <c:v>0.60899999999999999</c:v>
                </c:pt>
                <c:pt idx="123">
                  <c:v>0.59799999999999998</c:v>
                </c:pt>
                <c:pt idx="124">
                  <c:v>0.58699999999999997</c:v>
                </c:pt>
                <c:pt idx="125">
                  <c:v>0.57499999999999996</c:v>
                </c:pt>
                <c:pt idx="126">
                  <c:v>0.56399999999999995</c:v>
                </c:pt>
                <c:pt idx="127">
                  <c:v>0.55800000000000005</c:v>
                </c:pt>
                <c:pt idx="128">
                  <c:v>0.54900000000000004</c:v>
                </c:pt>
                <c:pt idx="129">
                  <c:v>0.53800000000000003</c:v>
                </c:pt>
                <c:pt idx="130">
                  <c:v>0.52800000000000002</c:v>
                </c:pt>
                <c:pt idx="131">
                  <c:v>0.51700000000000002</c:v>
                </c:pt>
                <c:pt idx="132">
                  <c:v>0.50800000000000001</c:v>
                </c:pt>
                <c:pt idx="133">
                  <c:v>0.498</c:v>
                </c:pt>
                <c:pt idx="134">
                  <c:v>0.48699999999999999</c:v>
                </c:pt>
                <c:pt idx="135">
                  <c:v>0.47899999999999998</c:v>
                </c:pt>
                <c:pt idx="136">
                  <c:v>0.47499999999999998</c:v>
                </c:pt>
                <c:pt idx="137">
                  <c:v>0.46700000000000003</c:v>
                </c:pt>
                <c:pt idx="138">
                  <c:v>0.45900000000000002</c:v>
                </c:pt>
                <c:pt idx="139">
                  <c:v>0.45600000000000002</c:v>
                </c:pt>
                <c:pt idx="140">
                  <c:v>0.45800000000000002</c:v>
                </c:pt>
                <c:pt idx="141">
                  <c:v>0.46200000000000002</c:v>
                </c:pt>
                <c:pt idx="142">
                  <c:v>0.46899999999999997</c:v>
                </c:pt>
                <c:pt idx="143">
                  <c:v>0.47599999999999998</c:v>
                </c:pt>
                <c:pt idx="144">
                  <c:v>0.48499999999999999</c:v>
                </c:pt>
                <c:pt idx="145">
                  <c:v>0.495</c:v>
                </c:pt>
                <c:pt idx="146">
                  <c:v>0.504</c:v>
                </c:pt>
                <c:pt idx="147">
                  <c:v>0.51100000000000001</c:v>
                </c:pt>
                <c:pt idx="148">
                  <c:v>0.51200000000000001</c:v>
                </c:pt>
                <c:pt idx="149">
                  <c:v>0.50600000000000001</c:v>
                </c:pt>
                <c:pt idx="150">
                  <c:v>0.501</c:v>
                </c:pt>
                <c:pt idx="151">
                  <c:v>0.499</c:v>
                </c:pt>
                <c:pt idx="152">
                  <c:v>0.498</c:v>
                </c:pt>
                <c:pt idx="153">
                  <c:v>0.497</c:v>
                </c:pt>
                <c:pt idx="154">
                  <c:v>0.504</c:v>
                </c:pt>
                <c:pt idx="155">
                  <c:v>0.503</c:v>
                </c:pt>
                <c:pt idx="156">
                  <c:v>0.499</c:v>
                </c:pt>
                <c:pt idx="157">
                  <c:v>0.495</c:v>
                </c:pt>
                <c:pt idx="158">
                  <c:v>0.48899999999999999</c:v>
                </c:pt>
                <c:pt idx="159">
                  <c:v>0.47899999999999998</c:v>
                </c:pt>
                <c:pt idx="160">
                  <c:v>0.46800000000000003</c:v>
                </c:pt>
                <c:pt idx="161">
                  <c:v>0.45900000000000002</c:v>
                </c:pt>
                <c:pt idx="162">
                  <c:v>0.45</c:v>
                </c:pt>
                <c:pt idx="163">
                  <c:v>0.438</c:v>
                </c:pt>
                <c:pt idx="164">
                  <c:v>0.42699999999999999</c:v>
                </c:pt>
                <c:pt idx="165">
                  <c:v>0.41799999999999998</c:v>
                </c:pt>
                <c:pt idx="166">
                  <c:v>0.40799999999999997</c:v>
                </c:pt>
                <c:pt idx="167">
                  <c:v>0.39800000000000002</c:v>
                </c:pt>
                <c:pt idx="168">
                  <c:v>0.39200000000000002</c:v>
                </c:pt>
                <c:pt idx="169">
                  <c:v>0.39100000000000001</c:v>
                </c:pt>
                <c:pt idx="170">
                  <c:v>0.38200000000000001</c:v>
                </c:pt>
                <c:pt idx="171">
                  <c:v>0.371</c:v>
                </c:pt>
                <c:pt idx="172">
                  <c:v>0.36099999999999999</c:v>
                </c:pt>
                <c:pt idx="173">
                  <c:v>0.34899999999999998</c:v>
                </c:pt>
                <c:pt idx="174">
                  <c:v>0.34</c:v>
                </c:pt>
                <c:pt idx="175">
                  <c:v>0.33200000000000002</c:v>
                </c:pt>
                <c:pt idx="176">
                  <c:v>0.32200000000000001</c:v>
                </c:pt>
                <c:pt idx="177">
                  <c:v>0.314</c:v>
                </c:pt>
                <c:pt idx="178">
                  <c:v>0.307</c:v>
                </c:pt>
                <c:pt idx="179">
                  <c:v>0.30399999999999999</c:v>
                </c:pt>
                <c:pt idx="180">
                  <c:v>0.29499999999999998</c:v>
                </c:pt>
                <c:pt idx="181">
                  <c:v>0.28399999999999997</c:v>
                </c:pt>
                <c:pt idx="182">
                  <c:v>0.27400000000000002</c:v>
                </c:pt>
                <c:pt idx="183">
                  <c:v>0.26400000000000001</c:v>
                </c:pt>
                <c:pt idx="184">
                  <c:v>0.255</c:v>
                </c:pt>
                <c:pt idx="185">
                  <c:v>0.247</c:v>
                </c:pt>
                <c:pt idx="186">
                  <c:v>0.28799999999999998</c:v>
                </c:pt>
                <c:pt idx="187">
                  <c:v>0.32400000000000001</c:v>
                </c:pt>
                <c:pt idx="188">
                  <c:v>0.32200000000000001</c:v>
                </c:pt>
                <c:pt idx="189">
                  <c:v>0.32800000000000001</c:v>
                </c:pt>
                <c:pt idx="190">
                  <c:v>0.33600000000000002</c:v>
                </c:pt>
                <c:pt idx="191">
                  <c:v>0.34699999999999998</c:v>
                </c:pt>
                <c:pt idx="192">
                  <c:v>0.35899999999999999</c:v>
                </c:pt>
                <c:pt idx="193">
                  <c:v>0.373</c:v>
                </c:pt>
                <c:pt idx="194">
                  <c:v>0.38700000000000001</c:v>
                </c:pt>
                <c:pt idx="195">
                  <c:v>0.40100000000000002</c:v>
                </c:pt>
                <c:pt idx="196">
                  <c:v>0.41699999999999998</c:v>
                </c:pt>
                <c:pt idx="197">
                  <c:v>0.436</c:v>
                </c:pt>
                <c:pt idx="198">
                  <c:v>0.45</c:v>
                </c:pt>
                <c:pt idx="199">
                  <c:v>0.46899999999999997</c:v>
                </c:pt>
                <c:pt idx="200">
                  <c:v>0.49199999999999999</c:v>
                </c:pt>
                <c:pt idx="201">
                  <c:v>0.51300000000000001</c:v>
                </c:pt>
                <c:pt idx="202">
                  <c:v>0.53200000000000003</c:v>
                </c:pt>
                <c:pt idx="203">
                  <c:v>0.55000000000000004</c:v>
                </c:pt>
                <c:pt idx="204">
                  <c:v>0.56699999999999995</c:v>
                </c:pt>
                <c:pt idx="205">
                  <c:v>0.58299999999999996</c:v>
                </c:pt>
                <c:pt idx="206">
                  <c:v>0.6</c:v>
                </c:pt>
                <c:pt idx="207">
                  <c:v>0.61199999999999999</c:v>
                </c:pt>
                <c:pt idx="208">
                  <c:v>0.622</c:v>
                </c:pt>
                <c:pt idx="209">
                  <c:v>0.63100000000000001</c:v>
                </c:pt>
                <c:pt idx="210">
                  <c:v>0.65300000000000002</c:v>
                </c:pt>
                <c:pt idx="211">
                  <c:v>0.73099999999999998</c:v>
                </c:pt>
                <c:pt idx="212">
                  <c:v>0.72599999999999998</c:v>
                </c:pt>
                <c:pt idx="213">
                  <c:v>0.72599999999999998</c:v>
                </c:pt>
                <c:pt idx="214">
                  <c:v>0.71799999999999997</c:v>
                </c:pt>
                <c:pt idx="215">
                  <c:v>0.71599999999999997</c:v>
                </c:pt>
                <c:pt idx="216">
                  <c:v>0.71599999999999997</c:v>
                </c:pt>
                <c:pt idx="217">
                  <c:v>0.72099999999999997</c:v>
                </c:pt>
                <c:pt idx="218">
                  <c:v>0.72699999999999998</c:v>
                </c:pt>
                <c:pt idx="219">
                  <c:v>0.72599999999999998</c:v>
                </c:pt>
                <c:pt idx="220">
                  <c:v>0.72599999999999998</c:v>
                </c:pt>
                <c:pt idx="221">
                  <c:v>0.72899999999999998</c:v>
                </c:pt>
                <c:pt idx="222">
                  <c:v>0.72799999999999998</c:v>
                </c:pt>
                <c:pt idx="223">
                  <c:v>0.72599999999999998</c:v>
                </c:pt>
                <c:pt idx="224">
                  <c:v>0.72399999999999998</c:v>
                </c:pt>
                <c:pt idx="225">
                  <c:v>0.72299999999999998</c:v>
                </c:pt>
                <c:pt idx="226">
                  <c:v>0.72399999999999998</c:v>
                </c:pt>
                <c:pt idx="227">
                  <c:v>0.72199999999999998</c:v>
                </c:pt>
                <c:pt idx="228">
                  <c:v>0.71899999999999997</c:v>
                </c:pt>
                <c:pt idx="229">
                  <c:v>0.71699999999999997</c:v>
                </c:pt>
                <c:pt idx="230">
                  <c:v>0.71399999999999997</c:v>
                </c:pt>
                <c:pt idx="231">
                  <c:v>0.70899999999999996</c:v>
                </c:pt>
                <c:pt idx="232">
                  <c:v>0.70699999999999996</c:v>
                </c:pt>
                <c:pt idx="233">
                  <c:v>0.70699999999999996</c:v>
                </c:pt>
                <c:pt idx="234">
                  <c:v>0.70699999999999996</c:v>
                </c:pt>
                <c:pt idx="235">
                  <c:v>0.70699999999999996</c:v>
                </c:pt>
                <c:pt idx="236">
                  <c:v>0.70799999999999996</c:v>
                </c:pt>
                <c:pt idx="237">
                  <c:v>0.70899999999999996</c:v>
                </c:pt>
                <c:pt idx="238">
                  <c:v>0.70899999999999996</c:v>
                </c:pt>
                <c:pt idx="239">
                  <c:v>0.70799999999999996</c:v>
                </c:pt>
                <c:pt idx="240">
                  <c:v>0.70399999999999996</c:v>
                </c:pt>
                <c:pt idx="241">
                  <c:v>0.69499999999999995</c:v>
                </c:pt>
                <c:pt idx="242">
                  <c:v>0.68400000000000005</c:v>
                </c:pt>
                <c:pt idx="243">
                  <c:v>0.67100000000000004</c:v>
                </c:pt>
                <c:pt idx="244">
                  <c:v>0.67100000000000004</c:v>
                </c:pt>
                <c:pt idx="245">
                  <c:v>0.65800000000000003</c:v>
                </c:pt>
                <c:pt idx="246">
                  <c:v>0.64500000000000002</c:v>
                </c:pt>
                <c:pt idx="247">
                  <c:v>0.63200000000000001</c:v>
                </c:pt>
                <c:pt idx="248">
                  <c:v>0.61899999999999999</c:v>
                </c:pt>
                <c:pt idx="249">
                  <c:v>0.60599999999999998</c:v>
                </c:pt>
                <c:pt idx="250">
                  <c:v>0.59299999999999997</c:v>
                </c:pt>
                <c:pt idx="251">
                  <c:v>0.58099999999999996</c:v>
                </c:pt>
                <c:pt idx="252">
                  <c:v>0.56999999999999995</c:v>
                </c:pt>
                <c:pt idx="253">
                  <c:v>0.55900000000000005</c:v>
                </c:pt>
                <c:pt idx="254">
                  <c:v>0.54900000000000004</c:v>
                </c:pt>
                <c:pt idx="255">
                  <c:v>0.54100000000000004</c:v>
                </c:pt>
                <c:pt idx="256">
                  <c:v>0.53300000000000003</c:v>
                </c:pt>
                <c:pt idx="257">
                  <c:v>0.52400000000000002</c:v>
                </c:pt>
                <c:pt idx="258">
                  <c:v>0.51500000000000001</c:v>
                </c:pt>
                <c:pt idx="259">
                  <c:v>0.50700000000000001</c:v>
                </c:pt>
                <c:pt idx="260">
                  <c:v>0.499</c:v>
                </c:pt>
                <c:pt idx="261">
                  <c:v>0.49299999999999999</c:v>
                </c:pt>
                <c:pt idx="262">
                  <c:v>0.48699999999999999</c:v>
                </c:pt>
                <c:pt idx="263">
                  <c:v>0.48099999999999998</c:v>
                </c:pt>
                <c:pt idx="264">
                  <c:v>0.47199999999999998</c:v>
                </c:pt>
                <c:pt idx="265">
                  <c:v>0.46500000000000002</c:v>
                </c:pt>
                <c:pt idx="266">
                  <c:v>0.45700000000000002</c:v>
                </c:pt>
                <c:pt idx="267">
                  <c:v>0.45</c:v>
                </c:pt>
                <c:pt idx="268">
                  <c:v>0.443</c:v>
                </c:pt>
                <c:pt idx="269">
                  <c:v>0.436</c:v>
                </c:pt>
                <c:pt idx="270">
                  <c:v>0.42899999999999999</c:v>
                </c:pt>
                <c:pt idx="271">
                  <c:v>0.42199999999999999</c:v>
                </c:pt>
                <c:pt idx="272">
                  <c:v>0.41399999999999998</c:v>
                </c:pt>
                <c:pt idx="273">
                  <c:v>0.40699999999999997</c:v>
                </c:pt>
                <c:pt idx="274">
                  <c:v>0.4</c:v>
                </c:pt>
                <c:pt idx="275">
                  <c:v>0.39500000000000002</c:v>
                </c:pt>
                <c:pt idx="276">
                  <c:v>0.38800000000000001</c:v>
                </c:pt>
                <c:pt idx="277">
                  <c:v>0.38100000000000001</c:v>
                </c:pt>
                <c:pt idx="278">
                  <c:v>0.375</c:v>
                </c:pt>
                <c:pt idx="279">
                  <c:v>0.36799999999999999</c:v>
                </c:pt>
                <c:pt idx="280">
                  <c:v>0.36</c:v>
                </c:pt>
                <c:pt idx="281">
                  <c:v>0.35199999999999998</c:v>
                </c:pt>
                <c:pt idx="282">
                  <c:v>0.34599999999999997</c:v>
                </c:pt>
                <c:pt idx="283">
                  <c:v>0.33900000000000002</c:v>
                </c:pt>
                <c:pt idx="284">
                  <c:v>0.33400000000000002</c:v>
                </c:pt>
                <c:pt idx="285">
                  <c:v>0.33</c:v>
                </c:pt>
                <c:pt idx="286">
                  <c:v>0.32600000000000001</c:v>
                </c:pt>
                <c:pt idx="287">
                  <c:v>0.32100000000000001</c:v>
                </c:pt>
                <c:pt idx="288">
                  <c:v>0.315</c:v>
                </c:pt>
                <c:pt idx="289">
                  <c:v>0.308</c:v>
                </c:pt>
                <c:pt idx="290">
                  <c:v>0.30199999999999999</c:v>
                </c:pt>
                <c:pt idx="291">
                  <c:v>0.29599999999999999</c:v>
                </c:pt>
                <c:pt idx="292">
                  <c:v>0.29099999999999998</c:v>
                </c:pt>
                <c:pt idx="293">
                  <c:v>0.28499999999999998</c:v>
                </c:pt>
                <c:pt idx="294">
                  <c:v>0.28000000000000003</c:v>
                </c:pt>
                <c:pt idx="295">
                  <c:v>0.27500000000000002</c:v>
                </c:pt>
                <c:pt idx="296">
                  <c:v>0.26900000000000002</c:v>
                </c:pt>
                <c:pt idx="297">
                  <c:v>0.26400000000000001</c:v>
                </c:pt>
                <c:pt idx="298">
                  <c:v>0.25800000000000001</c:v>
                </c:pt>
                <c:pt idx="299">
                  <c:v>0.251</c:v>
                </c:pt>
                <c:pt idx="300">
                  <c:v>0.245</c:v>
                </c:pt>
                <c:pt idx="301">
                  <c:v>0.23899999999999999</c:v>
                </c:pt>
                <c:pt idx="302">
                  <c:v>0.23400000000000001</c:v>
                </c:pt>
                <c:pt idx="303">
                  <c:v>0.22800000000000001</c:v>
                </c:pt>
                <c:pt idx="304">
                  <c:v>0.222</c:v>
                </c:pt>
                <c:pt idx="305">
                  <c:v>0.218</c:v>
                </c:pt>
                <c:pt idx="306">
                  <c:v>0.215</c:v>
                </c:pt>
                <c:pt idx="307">
                  <c:v>0.221</c:v>
                </c:pt>
                <c:pt idx="308">
                  <c:v>0.23599999999999999</c:v>
                </c:pt>
                <c:pt idx="309">
                  <c:v>0.23200000000000001</c:v>
                </c:pt>
                <c:pt idx="310">
                  <c:v>0.22700000000000001</c:v>
                </c:pt>
                <c:pt idx="311">
                  <c:v>0.223</c:v>
                </c:pt>
                <c:pt idx="312">
                  <c:v>0.219</c:v>
                </c:pt>
                <c:pt idx="313">
                  <c:v>0.214</c:v>
                </c:pt>
                <c:pt idx="314">
                  <c:v>0.21</c:v>
                </c:pt>
                <c:pt idx="315">
                  <c:v>0.20799999999999999</c:v>
                </c:pt>
                <c:pt idx="316">
                  <c:v>0.20300000000000001</c:v>
                </c:pt>
                <c:pt idx="317">
                  <c:v>0.19800000000000001</c:v>
                </c:pt>
                <c:pt idx="318">
                  <c:v>0.19400000000000001</c:v>
                </c:pt>
                <c:pt idx="319">
                  <c:v>0.19</c:v>
                </c:pt>
                <c:pt idx="320">
                  <c:v>0.186</c:v>
                </c:pt>
                <c:pt idx="321">
                  <c:v>0.182</c:v>
                </c:pt>
                <c:pt idx="322">
                  <c:v>0.17799999999999999</c:v>
                </c:pt>
                <c:pt idx="323">
                  <c:v>0.17399999999999999</c:v>
                </c:pt>
                <c:pt idx="324">
                  <c:v>0.17</c:v>
                </c:pt>
                <c:pt idx="325">
                  <c:v>0.16500000000000001</c:v>
                </c:pt>
                <c:pt idx="326">
                  <c:v>0.161</c:v>
                </c:pt>
                <c:pt idx="327">
                  <c:v>0.158</c:v>
                </c:pt>
                <c:pt idx="328">
                  <c:v>0.154</c:v>
                </c:pt>
                <c:pt idx="329">
                  <c:v>0.14799999999999999</c:v>
                </c:pt>
                <c:pt idx="330">
                  <c:v>0.14399999999999999</c:v>
                </c:pt>
                <c:pt idx="331">
                  <c:v>0.14099999999999999</c:v>
                </c:pt>
                <c:pt idx="332">
                  <c:v>0.14299999999999999</c:v>
                </c:pt>
                <c:pt idx="333">
                  <c:v>0.13800000000000001</c:v>
                </c:pt>
                <c:pt idx="334">
                  <c:v>0.13400000000000001</c:v>
                </c:pt>
                <c:pt idx="335">
                  <c:v>0.13100000000000001</c:v>
                </c:pt>
                <c:pt idx="336">
                  <c:v>0.13300000000000001</c:v>
                </c:pt>
                <c:pt idx="337">
                  <c:v>0.13800000000000001</c:v>
                </c:pt>
                <c:pt idx="338">
                  <c:v>0.13900000000000001</c:v>
                </c:pt>
                <c:pt idx="339">
                  <c:v>0.14000000000000001</c:v>
                </c:pt>
                <c:pt idx="340">
                  <c:v>0.184</c:v>
                </c:pt>
                <c:pt idx="341">
                  <c:v>0.187</c:v>
                </c:pt>
              </c:numCache>
            </c:numRef>
          </c:val>
          <c:smooth val="0"/>
          <c:extLst xmlns:c16r2="http://schemas.microsoft.com/office/drawing/2015/06/chart">
            <c:ext xmlns:c16="http://schemas.microsoft.com/office/drawing/2014/chart" uri="{C3380CC4-5D6E-409C-BE32-E72D297353CC}">
              <c16:uniqueId val="{00000002-6B83-4F32-895E-FF7105E1F411}"/>
            </c:ext>
          </c:extLst>
        </c:ser>
        <c:ser>
          <c:idx val="0"/>
          <c:order val="4"/>
          <c:tx>
            <c:strRef>
              <c:f>flows!$H$1</c:f>
              <c:strCache>
                <c:ptCount val="1"/>
                <c:pt idx="0">
                  <c:v>418079 - Gingham @ Gingham Bridge</c:v>
                </c:pt>
              </c:strCache>
            </c:strRef>
          </c:tx>
          <c:spPr>
            <a:ln w="28575" cap="rnd">
              <a:solidFill>
                <a:schemeClr val="accent4">
                  <a:lumMod val="50000"/>
                </a:schemeClr>
              </a:solidFill>
              <a:prstDash val="sysDot"/>
              <a:round/>
            </a:ln>
            <a:effectLst/>
          </c:spPr>
          <c:marker>
            <c:symbol val="none"/>
          </c:marker>
          <c:cat>
            <c:numRef>
              <c:f>flows!$A$5:$A$370</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flows!$H$5:$H$370</c:f>
              <c:numCache>
                <c:formatCode>General</c:formatCode>
                <c:ptCount val="366"/>
                <c:pt idx="0">
                  <c:v>0.50700000000000001</c:v>
                </c:pt>
                <c:pt idx="1">
                  <c:v>0.58199999999999996</c:v>
                </c:pt>
                <c:pt idx="2">
                  <c:v>0.63200000000000001</c:v>
                </c:pt>
                <c:pt idx="3">
                  <c:v>0.64800000000000002</c:v>
                </c:pt>
                <c:pt idx="4">
                  <c:v>0.63400000000000001</c:v>
                </c:pt>
                <c:pt idx="5">
                  <c:v>0.61199999999999999</c:v>
                </c:pt>
                <c:pt idx="6">
                  <c:v>0.58799999999999997</c:v>
                </c:pt>
                <c:pt idx="7">
                  <c:v>0.56499999999999995</c:v>
                </c:pt>
                <c:pt idx="8">
                  <c:v>0.54400000000000004</c:v>
                </c:pt>
                <c:pt idx="9">
                  <c:v>0.53100000000000003</c:v>
                </c:pt>
                <c:pt idx="10">
                  <c:v>0.54300000000000004</c:v>
                </c:pt>
                <c:pt idx="11">
                  <c:v>0.55000000000000004</c:v>
                </c:pt>
                <c:pt idx="12">
                  <c:v>0.53100000000000003</c:v>
                </c:pt>
                <c:pt idx="13">
                  <c:v>0.51600000000000001</c:v>
                </c:pt>
                <c:pt idx="14">
                  <c:v>0.503</c:v>
                </c:pt>
                <c:pt idx="15">
                  <c:v>0.495</c:v>
                </c:pt>
                <c:pt idx="16">
                  <c:v>0.48299999999999998</c:v>
                </c:pt>
                <c:pt idx="17">
                  <c:v>0.46899999999999997</c:v>
                </c:pt>
                <c:pt idx="18">
                  <c:v>0.45500000000000002</c:v>
                </c:pt>
                <c:pt idx="19">
                  <c:v>0.442</c:v>
                </c:pt>
                <c:pt idx="20">
                  <c:v>0.43</c:v>
                </c:pt>
                <c:pt idx="21">
                  <c:v>0.41599999999999998</c:v>
                </c:pt>
                <c:pt idx="22">
                  <c:v>0.41499999999999998</c:v>
                </c:pt>
                <c:pt idx="23">
                  <c:v>0.42</c:v>
                </c:pt>
                <c:pt idx="24">
                  <c:v>0.441</c:v>
                </c:pt>
                <c:pt idx="25">
                  <c:v>0.436</c:v>
                </c:pt>
                <c:pt idx="26">
                  <c:v>0.42799999999999999</c:v>
                </c:pt>
                <c:pt idx="27">
                  <c:v>0.41899999999999998</c:v>
                </c:pt>
                <c:pt idx="28">
                  <c:v>0.41499999999999998</c:v>
                </c:pt>
                <c:pt idx="29">
                  <c:v>0.41399999999999998</c:v>
                </c:pt>
                <c:pt idx="30">
                  <c:v>0.41</c:v>
                </c:pt>
                <c:pt idx="31">
                  <c:v>0.40400000000000003</c:v>
                </c:pt>
                <c:pt idx="32">
                  <c:v>0.39500000000000002</c:v>
                </c:pt>
                <c:pt idx="33">
                  <c:v>0.38300000000000001</c:v>
                </c:pt>
                <c:pt idx="34">
                  <c:v>0.376</c:v>
                </c:pt>
                <c:pt idx="35">
                  <c:v>0.47699999999999998</c:v>
                </c:pt>
                <c:pt idx="36">
                  <c:v>0.57599999999999996</c:v>
                </c:pt>
                <c:pt idx="37">
                  <c:v>0.60499999999999998</c:v>
                </c:pt>
                <c:pt idx="38">
                  <c:v>0.61699999999999999</c:v>
                </c:pt>
                <c:pt idx="39">
                  <c:v>0.622</c:v>
                </c:pt>
                <c:pt idx="40">
                  <c:v>0.621</c:v>
                </c:pt>
                <c:pt idx="41">
                  <c:v>0.61599999999999999</c:v>
                </c:pt>
                <c:pt idx="42">
                  <c:v>0.60599999999999998</c:v>
                </c:pt>
                <c:pt idx="43">
                  <c:v>0.58499999999999996</c:v>
                </c:pt>
                <c:pt idx="44">
                  <c:v>0.56799999999999995</c:v>
                </c:pt>
                <c:pt idx="45">
                  <c:v>0.55100000000000005</c:v>
                </c:pt>
                <c:pt idx="46">
                  <c:v>0.53400000000000003</c:v>
                </c:pt>
                <c:pt idx="47">
                  <c:v>0.51800000000000002</c:v>
                </c:pt>
                <c:pt idx="48">
                  <c:v>0.503</c:v>
                </c:pt>
                <c:pt idx="49">
                  <c:v>0.49</c:v>
                </c:pt>
                <c:pt idx="50">
                  <c:v>0.47799999999999998</c:v>
                </c:pt>
                <c:pt idx="51">
                  <c:v>0.46800000000000003</c:v>
                </c:pt>
                <c:pt idx="52">
                  <c:v>0.46100000000000002</c:v>
                </c:pt>
                <c:pt idx="53">
                  <c:v>0.45300000000000001</c:v>
                </c:pt>
                <c:pt idx="54">
                  <c:v>0.44700000000000001</c:v>
                </c:pt>
                <c:pt idx="55">
                  <c:v>0.442</c:v>
                </c:pt>
                <c:pt idx="56">
                  <c:v>0.43099999999999999</c:v>
                </c:pt>
                <c:pt idx="57">
                  <c:v>0.43</c:v>
                </c:pt>
                <c:pt idx="58">
                  <c:v>0.439</c:v>
                </c:pt>
                <c:pt idx="59">
                  <c:v>0.432</c:v>
                </c:pt>
                <c:pt idx="60">
                  <c:v>0.42399999999999999</c:v>
                </c:pt>
                <c:pt idx="61">
                  <c:v>0.41299999999999998</c:v>
                </c:pt>
                <c:pt idx="62">
                  <c:v>0.40400000000000003</c:v>
                </c:pt>
                <c:pt idx="63">
                  <c:v>0.39400000000000002</c:v>
                </c:pt>
                <c:pt idx="64">
                  <c:v>0.38800000000000001</c:v>
                </c:pt>
                <c:pt idx="65">
                  <c:v>0.38300000000000001</c:v>
                </c:pt>
                <c:pt idx="66">
                  <c:v>0.39100000000000001</c:v>
                </c:pt>
                <c:pt idx="67">
                  <c:v>0.47099999999999997</c:v>
                </c:pt>
                <c:pt idx="68">
                  <c:v>0.53600000000000003</c:v>
                </c:pt>
                <c:pt idx="69">
                  <c:v>0.57699999999999996</c:v>
                </c:pt>
                <c:pt idx="70">
                  <c:v>0.61</c:v>
                </c:pt>
                <c:pt idx="71">
                  <c:v>0.63800000000000001</c:v>
                </c:pt>
                <c:pt idx="72">
                  <c:v>0.65300000000000002</c:v>
                </c:pt>
                <c:pt idx="73">
                  <c:v>0.65800000000000003</c:v>
                </c:pt>
                <c:pt idx="74">
                  <c:v>0.65800000000000003</c:v>
                </c:pt>
                <c:pt idx="75">
                  <c:v>0.65500000000000003</c:v>
                </c:pt>
                <c:pt idx="76">
                  <c:v>0.64600000000000002</c:v>
                </c:pt>
                <c:pt idx="77">
                  <c:v>0.63500000000000001</c:v>
                </c:pt>
                <c:pt idx="78">
                  <c:v>0.622</c:v>
                </c:pt>
                <c:pt idx="79">
                  <c:v>0.60399999999999998</c:v>
                </c:pt>
                <c:pt idx="80">
                  <c:v>0.59399999999999997</c:v>
                </c:pt>
                <c:pt idx="81">
                  <c:v>0.58499999999999996</c:v>
                </c:pt>
                <c:pt idx="82">
                  <c:v>0.57499999999999996</c:v>
                </c:pt>
                <c:pt idx="83">
                  <c:v>0.56000000000000005</c:v>
                </c:pt>
                <c:pt idx="84">
                  <c:v>0.53800000000000003</c:v>
                </c:pt>
                <c:pt idx="85">
                  <c:v>0.51900000000000002</c:v>
                </c:pt>
                <c:pt idx="86">
                  <c:v>0.504</c:v>
                </c:pt>
                <c:pt idx="87">
                  <c:v>0.48899999999999999</c:v>
                </c:pt>
                <c:pt idx="88">
                  <c:v>0.47199999999999998</c:v>
                </c:pt>
                <c:pt idx="89">
                  <c:v>0.45400000000000001</c:v>
                </c:pt>
                <c:pt idx="90">
                  <c:v>0.434</c:v>
                </c:pt>
                <c:pt idx="91">
                  <c:v>0.41699999999999998</c:v>
                </c:pt>
                <c:pt idx="92">
                  <c:v>0.40100000000000002</c:v>
                </c:pt>
                <c:pt idx="93">
                  <c:v>0.38100000000000001</c:v>
                </c:pt>
                <c:pt idx="94">
                  <c:v>0.35599999999999998</c:v>
                </c:pt>
                <c:pt idx="95">
                  <c:v>0.32900000000000001</c:v>
                </c:pt>
                <c:pt idx="96">
                  <c:v>0.30299999999999999</c:v>
                </c:pt>
                <c:pt idx="97">
                  <c:v>0.27900000000000003</c:v>
                </c:pt>
                <c:pt idx="98">
                  <c:v>0.25800000000000001</c:v>
                </c:pt>
                <c:pt idx="99">
                  <c:v>0.245</c:v>
                </c:pt>
                <c:pt idx="100">
                  <c:v>0.23400000000000001</c:v>
                </c:pt>
                <c:pt idx="101">
                  <c:v>0.223</c:v>
                </c:pt>
                <c:pt idx="102">
                  <c:v>0.21199999999999999</c:v>
                </c:pt>
                <c:pt idx="103">
                  <c:v>0.20399999999999999</c:v>
                </c:pt>
                <c:pt idx="104">
                  <c:v>0.19900000000000001</c:v>
                </c:pt>
                <c:pt idx="105">
                  <c:v>0.20100000000000001</c:v>
                </c:pt>
                <c:pt idx="106">
                  <c:v>0.20499999999999999</c:v>
                </c:pt>
                <c:pt idx="107">
                  <c:v>0.19600000000000001</c:v>
                </c:pt>
                <c:pt idx="108">
                  <c:v>0.186</c:v>
                </c:pt>
                <c:pt idx="109">
                  <c:v>0.17299999999999999</c:v>
                </c:pt>
                <c:pt idx="110">
                  <c:v>0.159</c:v>
                </c:pt>
                <c:pt idx="111">
                  <c:v>0.13700000000000001</c:v>
                </c:pt>
                <c:pt idx="112">
                  <c:v>0.10199999999999999</c:v>
                </c:pt>
                <c:pt idx="113">
                  <c:v>7.6999999999999999E-2</c:v>
                </c:pt>
                <c:pt idx="114">
                  <c:v>6.3E-2</c:v>
                </c:pt>
                <c:pt idx="115">
                  <c:v>5.0999999999999997E-2</c:v>
                </c:pt>
                <c:pt idx="116">
                  <c:v>0.04</c:v>
                </c:pt>
                <c:pt idx="117">
                  <c:v>3.2000000000000001E-2</c:v>
                </c:pt>
                <c:pt idx="118">
                  <c:v>2.9000000000000001E-2</c:v>
                </c:pt>
                <c:pt idx="119">
                  <c:v>0.02</c:v>
                </c:pt>
                <c:pt idx="120">
                  <c:v>1.0999999999999999E-2</c:v>
                </c:pt>
                <c:pt idx="121">
                  <c:v>2E-3</c:v>
                </c:pt>
                <c:pt idx="122">
                  <c:v>-8.0000000000000002E-3</c:v>
                </c:pt>
                <c:pt idx="123">
                  <c:v>-0.01</c:v>
                </c:pt>
                <c:pt idx="124">
                  <c:v>-1.0999999999999999E-2</c:v>
                </c:pt>
                <c:pt idx="125">
                  <c:v>-1.0999999999999999E-2</c:v>
                </c:pt>
                <c:pt idx="126">
                  <c:v>-0.01</c:v>
                </c:pt>
                <c:pt idx="127">
                  <c:v>-0.01</c:v>
                </c:pt>
                <c:pt idx="128">
                  <c:v>-1.0999999999999999E-2</c:v>
                </c:pt>
                <c:pt idx="129">
                  <c:v>-1.0999999999999999E-2</c:v>
                </c:pt>
                <c:pt idx="130">
                  <c:v>-1.0999999999999999E-2</c:v>
                </c:pt>
                <c:pt idx="131">
                  <c:v>-1.0999999999999999E-2</c:v>
                </c:pt>
                <c:pt idx="132">
                  <c:v>-0.01</c:v>
                </c:pt>
                <c:pt idx="133">
                  <c:v>-0.01</c:v>
                </c:pt>
                <c:pt idx="134">
                  <c:v>-0.01</c:v>
                </c:pt>
                <c:pt idx="135">
                  <c:v>-1.0999999999999999E-2</c:v>
                </c:pt>
                <c:pt idx="136">
                  <c:v>-1.0999999999999999E-2</c:v>
                </c:pt>
                <c:pt idx="137">
                  <c:v>-0.01</c:v>
                </c:pt>
                <c:pt idx="138">
                  <c:v>-0.01</c:v>
                </c:pt>
                <c:pt idx="139">
                  <c:v>-0.01</c:v>
                </c:pt>
                <c:pt idx="140">
                  <c:v>-0.01</c:v>
                </c:pt>
                <c:pt idx="141">
                  <c:v>-0.01</c:v>
                </c:pt>
                <c:pt idx="142">
                  <c:v>-0.01</c:v>
                </c:pt>
                <c:pt idx="143">
                  <c:v>-1.0999999999999999E-2</c:v>
                </c:pt>
                <c:pt idx="144">
                  <c:v>-0.01</c:v>
                </c:pt>
                <c:pt idx="145">
                  <c:v>-1.0999999999999999E-2</c:v>
                </c:pt>
                <c:pt idx="146">
                  <c:v>-0.01</c:v>
                </c:pt>
                <c:pt idx="147">
                  <c:v>-0.01</c:v>
                </c:pt>
                <c:pt idx="148">
                  <c:v>-1.0999999999999999E-2</c:v>
                </c:pt>
                <c:pt idx="149">
                  <c:v>-1.0999999999999999E-2</c:v>
                </c:pt>
                <c:pt idx="150">
                  <c:v>-0.01</c:v>
                </c:pt>
                <c:pt idx="151">
                  <c:v>-1.0999999999999999E-2</c:v>
                </c:pt>
                <c:pt idx="152">
                  <c:v>-0.01</c:v>
                </c:pt>
                <c:pt idx="153">
                  <c:v>-0.01</c:v>
                </c:pt>
                <c:pt idx="154">
                  <c:v>-0.01</c:v>
                </c:pt>
                <c:pt idx="155">
                  <c:v>-0.01</c:v>
                </c:pt>
                <c:pt idx="156">
                  <c:v>-0.01</c:v>
                </c:pt>
                <c:pt idx="157">
                  <c:v>-0.01</c:v>
                </c:pt>
                <c:pt idx="158">
                  <c:v>-0.01</c:v>
                </c:pt>
                <c:pt idx="159">
                  <c:v>-0.01</c:v>
                </c:pt>
                <c:pt idx="160">
                  <c:v>-0.01</c:v>
                </c:pt>
                <c:pt idx="161">
                  <c:v>-0.01</c:v>
                </c:pt>
                <c:pt idx="162">
                  <c:v>-0.01</c:v>
                </c:pt>
                <c:pt idx="163">
                  <c:v>-1.0999999999999999E-2</c:v>
                </c:pt>
                <c:pt idx="164">
                  <c:v>-0.01</c:v>
                </c:pt>
                <c:pt idx="165">
                  <c:v>-0.01</c:v>
                </c:pt>
                <c:pt idx="166">
                  <c:v>-0.01</c:v>
                </c:pt>
                <c:pt idx="167">
                  <c:v>-0.01</c:v>
                </c:pt>
                <c:pt idx="168">
                  <c:v>-0.01</c:v>
                </c:pt>
                <c:pt idx="169">
                  <c:v>-0.01</c:v>
                </c:pt>
                <c:pt idx="170">
                  <c:v>-0.01</c:v>
                </c:pt>
                <c:pt idx="171">
                  <c:v>-0.01</c:v>
                </c:pt>
                <c:pt idx="172">
                  <c:v>-0.01</c:v>
                </c:pt>
                <c:pt idx="173">
                  <c:v>-0.01</c:v>
                </c:pt>
                <c:pt idx="174">
                  <c:v>-0.01</c:v>
                </c:pt>
                <c:pt idx="175">
                  <c:v>-0.01</c:v>
                </c:pt>
                <c:pt idx="176">
                  <c:v>-0.01</c:v>
                </c:pt>
                <c:pt idx="177">
                  <c:v>-0.01</c:v>
                </c:pt>
                <c:pt idx="178">
                  <c:v>-0.01</c:v>
                </c:pt>
                <c:pt idx="179">
                  <c:v>-1.0999999999999999E-2</c:v>
                </c:pt>
                <c:pt idx="180">
                  <c:v>-0.01</c:v>
                </c:pt>
                <c:pt idx="181">
                  <c:v>-0.01</c:v>
                </c:pt>
                <c:pt idx="182">
                  <c:v>-0.01</c:v>
                </c:pt>
                <c:pt idx="183">
                  <c:v>-0.01</c:v>
                </c:pt>
                <c:pt idx="184">
                  <c:v>-0.01</c:v>
                </c:pt>
                <c:pt idx="185">
                  <c:v>-0.01</c:v>
                </c:pt>
                <c:pt idx="186">
                  <c:v>-0.01</c:v>
                </c:pt>
                <c:pt idx="187">
                  <c:v>-0.01</c:v>
                </c:pt>
                <c:pt idx="188">
                  <c:v>-0.01</c:v>
                </c:pt>
                <c:pt idx="189">
                  <c:v>-0.01</c:v>
                </c:pt>
                <c:pt idx="190">
                  <c:v>-0.01</c:v>
                </c:pt>
                <c:pt idx="191">
                  <c:v>-0.01</c:v>
                </c:pt>
                <c:pt idx="192">
                  <c:v>-0.01</c:v>
                </c:pt>
                <c:pt idx="193">
                  <c:v>-0.01</c:v>
                </c:pt>
                <c:pt idx="194">
                  <c:v>-0.01</c:v>
                </c:pt>
                <c:pt idx="195">
                  <c:v>-0.01</c:v>
                </c:pt>
                <c:pt idx="196">
                  <c:v>-0.01</c:v>
                </c:pt>
                <c:pt idx="197">
                  <c:v>-0.01</c:v>
                </c:pt>
                <c:pt idx="198">
                  <c:v>-0.01</c:v>
                </c:pt>
                <c:pt idx="199">
                  <c:v>-0.01</c:v>
                </c:pt>
                <c:pt idx="200">
                  <c:v>-0.01</c:v>
                </c:pt>
                <c:pt idx="201">
                  <c:v>-0.01</c:v>
                </c:pt>
                <c:pt idx="202">
                  <c:v>-0.01</c:v>
                </c:pt>
                <c:pt idx="203">
                  <c:v>-0.01</c:v>
                </c:pt>
                <c:pt idx="204">
                  <c:v>-0.01</c:v>
                </c:pt>
                <c:pt idx="205">
                  <c:v>-0.01</c:v>
                </c:pt>
                <c:pt idx="206">
                  <c:v>-0.01</c:v>
                </c:pt>
                <c:pt idx="207">
                  <c:v>-0.01</c:v>
                </c:pt>
                <c:pt idx="208">
                  <c:v>-0.01</c:v>
                </c:pt>
                <c:pt idx="209">
                  <c:v>-0.01</c:v>
                </c:pt>
                <c:pt idx="210">
                  <c:v>-0.01</c:v>
                </c:pt>
                <c:pt idx="211">
                  <c:v>0.21</c:v>
                </c:pt>
                <c:pt idx="212">
                  <c:v>0.17</c:v>
                </c:pt>
                <c:pt idx="213">
                  <c:v>0.13200000000000001</c:v>
                </c:pt>
                <c:pt idx="214">
                  <c:v>0.1</c:v>
                </c:pt>
                <c:pt idx="215">
                  <c:v>7.1999999999999995E-2</c:v>
                </c:pt>
                <c:pt idx="216">
                  <c:v>5.1999999999999998E-2</c:v>
                </c:pt>
                <c:pt idx="217">
                  <c:v>4.1000000000000002E-2</c:v>
                </c:pt>
                <c:pt idx="218">
                  <c:v>3.2000000000000001E-2</c:v>
                </c:pt>
                <c:pt idx="219">
                  <c:v>1.6E-2</c:v>
                </c:pt>
                <c:pt idx="220">
                  <c:v>1E-3</c:v>
                </c:pt>
                <c:pt idx="221">
                  <c:v>-8.9999999999999993E-3</c:v>
                </c:pt>
                <c:pt idx="222">
                  <c:v>-0.01</c:v>
                </c:pt>
                <c:pt idx="223">
                  <c:v>-0.01</c:v>
                </c:pt>
                <c:pt idx="224">
                  <c:v>-0.01</c:v>
                </c:pt>
                <c:pt idx="225">
                  <c:v>-0.01</c:v>
                </c:pt>
                <c:pt idx="226">
                  <c:v>-0.01</c:v>
                </c:pt>
                <c:pt idx="227">
                  <c:v>-0.01</c:v>
                </c:pt>
                <c:pt idx="228">
                  <c:v>-0.01</c:v>
                </c:pt>
                <c:pt idx="229">
                  <c:v>-0.01</c:v>
                </c:pt>
                <c:pt idx="230">
                  <c:v>-0.01</c:v>
                </c:pt>
                <c:pt idx="231">
                  <c:v>-0.01</c:v>
                </c:pt>
                <c:pt idx="232">
                  <c:v>-0.01</c:v>
                </c:pt>
                <c:pt idx="233">
                  <c:v>-0.01</c:v>
                </c:pt>
                <c:pt idx="234">
                  <c:v>-0.01</c:v>
                </c:pt>
                <c:pt idx="235">
                  <c:v>-0.01</c:v>
                </c:pt>
                <c:pt idx="236">
                  <c:v>-0.01</c:v>
                </c:pt>
                <c:pt idx="237">
                  <c:v>-0.01</c:v>
                </c:pt>
                <c:pt idx="238">
                  <c:v>-0.01</c:v>
                </c:pt>
                <c:pt idx="239">
                  <c:v>-0.01</c:v>
                </c:pt>
                <c:pt idx="240">
                  <c:v>-0.01</c:v>
                </c:pt>
                <c:pt idx="241">
                  <c:v>-0.01</c:v>
                </c:pt>
                <c:pt idx="242">
                  <c:v>-0.01</c:v>
                </c:pt>
                <c:pt idx="243">
                  <c:v>-0.01</c:v>
                </c:pt>
                <c:pt idx="244">
                  <c:v>-0.01</c:v>
                </c:pt>
                <c:pt idx="245">
                  <c:v>-0.01</c:v>
                </c:pt>
                <c:pt idx="246">
                  <c:v>-1.0999999999999999E-2</c:v>
                </c:pt>
                <c:pt idx="247">
                  <c:v>-1.0999999999999999E-2</c:v>
                </c:pt>
                <c:pt idx="248">
                  <c:v>-1.0999999999999999E-2</c:v>
                </c:pt>
                <c:pt idx="249">
                  <c:v>-1.0999999999999999E-2</c:v>
                </c:pt>
                <c:pt idx="250">
                  <c:v>-1.0999999999999999E-2</c:v>
                </c:pt>
                <c:pt idx="251">
                  <c:v>-1.0999999999999999E-2</c:v>
                </c:pt>
                <c:pt idx="252">
                  <c:v>-1.0999999999999999E-2</c:v>
                </c:pt>
                <c:pt idx="253">
                  <c:v>-1.0999999999999999E-2</c:v>
                </c:pt>
                <c:pt idx="254">
                  <c:v>-1.0999999999999999E-2</c:v>
                </c:pt>
                <c:pt idx="255">
                  <c:v>-1.0999999999999999E-2</c:v>
                </c:pt>
                <c:pt idx="256">
                  <c:v>-1.0999999999999999E-2</c:v>
                </c:pt>
                <c:pt idx="257">
                  <c:v>-1.0999999999999999E-2</c:v>
                </c:pt>
                <c:pt idx="258">
                  <c:v>-1.0999999999999999E-2</c:v>
                </c:pt>
                <c:pt idx="259">
                  <c:v>-1.0999999999999999E-2</c:v>
                </c:pt>
                <c:pt idx="260">
                  <c:v>-1.0999999999999999E-2</c:v>
                </c:pt>
                <c:pt idx="261">
                  <c:v>-1.0999999999999999E-2</c:v>
                </c:pt>
                <c:pt idx="262">
                  <c:v>-1.0999999999999999E-2</c:v>
                </c:pt>
                <c:pt idx="263">
                  <c:v>-1.0999999999999999E-2</c:v>
                </c:pt>
                <c:pt idx="264">
                  <c:v>-1.0999999999999999E-2</c:v>
                </c:pt>
                <c:pt idx="265">
                  <c:v>-1.0999999999999999E-2</c:v>
                </c:pt>
                <c:pt idx="266">
                  <c:v>-1.0999999999999999E-2</c:v>
                </c:pt>
                <c:pt idx="267">
                  <c:v>-1.0999999999999999E-2</c:v>
                </c:pt>
                <c:pt idx="268">
                  <c:v>-1.0999999999999999E-2</c:v>
                </c:pt>
                <c:pt idx="269">
                  <c:v>-1.0999999999999999E-2</c:v>
                </c:pt>
                <c:pt idx="270">
                  <c:v>-1.0999999999999999E-2</c:v>
                </c:pt>
                <c:pt idx="271">
                  <c:v>-1.0999999999999999E-2</c:v>
                </c:pt>
                <c:pt idx="272">
                  <c:v>-1.0999999999999999E-2</c:v>
                </c:pt>
                <c:pt idx="273">
                  <c:v>-1.0999999999999999E-2</c:v>
                </c:pt>
                <c:pt idx="274">
                  <c:v>-1.0999999999999999E-2</c:v>
                </c:pt>
                <c:pt idx="275">
                  <c:v>-1.0999999999999999E-2</c:v>
                </c:pt>
                <c:pt idx="276">
                  <c:v>-1.0999999999999999E-2</c:v>
                </c:pt>
                <c:pt idx="277">
                  <c:v>-1.0999999999999999E-2</c:v>
                </c:pt>
                <c:pt idx="278">
                  <c:v>-1.0999999999999999E-2</c:v>
                </c:pt>
                <c:pt idx="279">
                  <c:v>-1.0999999999999999E-2</c:v>
                </c:pt>
                <c:pt idx="280">
                  <c:v>-1.0999999999999999E-2</c:v>
                </c:pt>
                <c:pt idx="281">
                  <c:v>-1.0999999999999999E-2</c:v>
                </c:pt>
                <c:pt idx="282">
                  <c:v>-1.0999999999999999E-2</c:v>
                </c:pt>
                <c:pt idx="283">
                  <c:v>-1.0999999999999999E-2</c:v>
                </c:pt>
                <c:pt idx="284">
                  <c:v>-1.0999999999999999E-2</c:v>
                </c:pt>
                <c:pt idx="285">
                  <c:v>-1.0999999999999999E-2</c:v>
                </c:pt>
                <c:pt idx="286">
                  <c:v>-1.0999999999999999E-2</c:v>
                </c:pt>
                <c:pt idx="287">
                  <c:v>-1.0999999999999999E-2</c:v>
                </c:pt>
                <c:pt idx="288">
                  <c:v>-1.0999999999999999E-2</c:v>
                </c:pt>
                <c:pt idx="289">
                  <c:v>-1.0999999999999999E-2</c:v>
                </c:pt>
                <c:pt idx="290">
                  <c:v>-1.0999999999999999E-2</c:v>
                </c:pt>
                <c:pt idx="291">
                  <c:v>-1.0999999999999999E-2</c:v>
                </c:pt>
                <c:pt idx="292">
                  <c:v>-1.0999999999999999E-2</c:v>
                </c:pt>
                <c:pt idx="293">
                  <c:v>-1.0999999999999999E-2</c:v>
                </c:pt>
                <c:pt idx="294">
                  <c:v>-1.0999999999999999E-2</c:v>
                </c:pt>
                <c:pt idx="295">
                  <c:v>-1.0999999999999999E-2</c:v>
                </c:pt>
                <c:pt idx="296">
                  <c:v>-1.0999999999999999E-2</c:v>
                </c:pt>
                <c:pt idx="297">
                  <c:v>-1.0999999999999999E-2</c:v>
                </c:pt>
                <c:pt idx="298">
                  <c:v>-1.0999999999999999E-2</c:v>
                </c:pt>
                <c:pt idx="299">
                  <c:v>-1.0999999999999999E-2</c:v>
                </c:pt>
                <c:pt idx="300">
                  <c:v>-1.0999999999999999E-2</c:v>
                </c:pt>
                <c:pt idx="301">
                  <c:v>-1.0999999999999999E-2</c:v>
                </c:pt>
                <c:pt idx="302">
                  <c:v>-1.0999999999999999E-2</c:v>
                </c:pt>
                <c:pt idx="303">
                  <c:v>-1.0999999999999999E-2</c:v>
                </c:pt>
                <c:pt idx="304">
                  <c:v>-1.0999999999999999E-2</c:v>
                </c:pt>
                <c:pt idx="305">
                  <c:v>-1.0999999999999999E-2</c:v>
                </c:pt>
                <c:pt idx="306">
                  <c:v>-1.0999999999999999E-2</c:v>
                </c:pt>
                <c:pt idx="307">
                  <c:v>-1.0999999999999999E-2</c:v>
                </c:pt>
                <c:pt idx="308">
                  <c:v>-1.0999999999999999E-2</c:v>
                </c:pt>
                <c:pt idx="309">
                  <c:v>-1.2999999999999999E-2</c:v>
                </c:pt>
                <c:pt idx="310">
                  <c:v>-1.2999999999999999E-2</c:v>
                </c:pt>
                <c:pt idx="311">
                  <c:v>-1.2999999999999999E-2</c:v>
                </c:pt>
                <c:pt idx="312">
                  <c:v>-1.2999999999999999E-2</c:v>
                </c:pt>
                <c:pt idx="313">
                  <c:v>-1.2999999999999999E-2</c:v>
                </c:pt>
                <c:pt idx="314">
                  <c:v>-1.2999999999999999E-2</c:v>
                </c:pt>
                <c:pt idx="315">
                  <c:v>-1.2999999999999999E-2</c:v>
                </c:pt>
                <c:pt idx="316">
                  <c:v>-1.2999999999999999E-2</c:v>
                </c:pt>
                <c:pt idx="317">
                  <c:v>-1.2999999999999999E-2</c:v>
                </c:pt>
                <c:pt idx="318">
                  <c:v>-1.2999999999999999E-2</c:v>
                </c:pt>
                <c:pt idx="319">
                  <c:v>-1.2999999999999999E-2</c:v>
                </c:pt>
                <c:pt idx="320">
                  <c:v>-1.2999999999999999E-2</c:v>
                </c:pt>
                <c:pt idx="321">
                  <c:v>-1.2999999999999999E-2</c:v>
                </c:pt>
                <c:pt idx="322">
                  <c:v>-1.2999999999999999E-2</c:v>
                </c:pt>
                <c:pt idx="323">
                  <c:v>-1.2999999999999999E-2</c:v>
                </c:pt>
                <c:pt idx="324">
                  <c:v>-1.2999999999999999E-2</c:v>
                </c:pt>
                <c:pt idx="325">
                  <c:v>-1.2999999999999999E-2</c:v>
                </c:pt>
                <c:pt idx="326">
                  <c:v>-1.2999999999999999E-2</c:v>
                </c:pt>
                <c:pt idx="327">
                  <c:v>-1.2999999999999999E-2</c:v>
                </c:pt>
                <c:pt idx="328">
                  <c:v>-1.2999999999999999E-2</c:v>
                </c:pt>
                <c:pt idx="329">
                  <c:v>-1.2999999999999999E-2</c:v>
                </c:pt>
                <c:pt idx="330">
                  <c:v>-1.2999999999999999E-2</c:v>
                </c:pt>
                <c:pt idx="331">
                  <c:v>-1.2999999999999999E-2</c:v>
                </c:pt>
                <c:pt idx="332">
                  <c:v>-1.2999999999999999E-2</c:v>
                </c:pt>
                <c:pt idx="333">
                  <c:v>-1.2999999999999999E-2</c:v>
                </c:pt>
                <c:pt idx="334">
                  <c:v>-1.2999999999999999E-2</c:v>
                </c:pt>
                <c:pt idx="335">
                  <c:v>-1.2999999999999999E-2</c:v>
                </c:pt>
                <c:pt idx="336">
                  <c:v>-1.2999999999999999E-2</c:v>
                </c:pt>
                <c:pt idx="337">
                  <c:v>-1.2999999999999999E-2</c:v>
                </c:pt>
                <c:pt idx="338">
                  <c:v>-1.2999999999999999E-2</c:v>
                </c:pt>
                <c:pt idx="339">
                  <c:v>-1.2999999999999999E-2</c:v>
                </c:pt>
                <c:pt idx="340">
                  <c:v>-1.2999999999999999E-2</c:v>
                </c:pt>
                <c:pt idx="341">
                  <c:v>-1.2999999999999999E-2</c:v>
                </c:pt>
              </c:numCache>
            </c:numRef>
          </c:val>
          <c:smooth val="0"/>
        </c:ser>
        <c:dLbls>
          <c:showLegendKey val="0"/>
          <c:showVal val="0"/>
          <c:showCatName val="0"/>
          <c:showSerName val="0"/>
          <c:showPercent val="0"/>
          <c:showBubbleSize val="0"/>
        </c:dLbls>
        <c:smooth val="0"/>
        <c:axId val="675912520"/>
        <c:axId val="675912912"/>
      </c:lineChart>
      <c:dateAx>
        <c:axId val="675912520"/>
        <c:scaling>
          <c:orientation val="minMax"/>
        </c:scaling>
        <c:delete val="0"/>
        <c:axPos val="b"/>
        <c:numFmt formatCode="d/mm/yy;@" sourceLinked="0"/>
        <c:majorTickMark val="out"/>
        <c:minorTickMark val="none"/>
        <c:tickLblPos val="nextTo"/>
        <c:spPr>
          <a:noFill/>
          <a:ln w="9525" cap="flat" cmpd="sng" algn="ctr">
            <a:solidFill>
              <a:schemeClr val="bg1">
                <a:lumMod val="50000"/>
              </a:schemeClr>
            </a:solidFill>
            <a:round/>
          </a:ln>
          <a:effectLst/>
        </c:spPr>
        <c:txPr>
          <a:bodyPr rot="-60000000" vert="horz"/>
          <a:lstStyle/>
          <a:p>
            <a:pPr>
              <a:defRPr/>
            </a:pPr>
            <a:endParaRPr lang="en-US"/>
          </a:p>
        </c:txPr>
        <c:crossAx val="675912912"/>
        <c:crosses val="autoZero"/>
        <c:auto val="0"/>
        <c:lblOffset val="100"/>
        <c:baseTimeUnit val="days"/>
      </c:dateAx>
      <c:valAx>
        <c:axId val="675912912"/>
        <c:scaling>
          <c:orientation val="minMax"/>
          <c:max val="3.5"/>
          <c:min val="0"/>
        </c:scaling>
        <c:delete val="0"/>
        <c:axPos val="l"/>
        <c:title>
          <c:tx>
            <c:rich>
              <a:bodyPr/>
              <a:lstStyle/>
              <a:p>
                <a:pPr>
                  <a:defRPr/>
                </a:pPr>
                <a:r>
                  <a:rPr lang="en-AU"/>
                  <a:t>Water level (m)</a:t>
                </a:r>
              </a:p>
            </c:rich>
          </c:tx>
          <c:layout>
            <c:manualLayout>
              <c:xMode val="edge"/>
              <c:yMode val="edge"/>
              <c:x val="9.6414382946204353E-4"/>
              <c:y val="0.22307435346805427"/>
            </c:manualLayout>
          </c:layout>
          <c:overlay val="0"/>
        </c:title>
        <c:numFmt formatCode="General" sourceLinked="1"/>
        <c:majorTickMark val="out"/>
        <c:minorTickMark val="none"/>
        <c:tickLblPos val="nextTo"/>
        <c:spPr>
          <a:noFill/>
          <a:ln>
            <a:solidFill>
              <a:schemeClr val="bg1">
                <a:lumMod val="50000"/>
              </a:schemeClr>
            </a:solidFill>
          </a:ln>
          <a:effectLst/>
        </c:spPr>
        <c:txPr>
          <a:bodyPr rot="-60000000" vert="horz"/>
          <a:lstStyle/>
          <a:p>
            <a:pPr>
              <a:defRPr/>
            </a:pPr>
            <a:endParaRPr lang="en-US"/>
          </a:p>
        </c:txPr>
        <c:crossAx val="675912520"/>
        <c:crosses val="autoZero"/>
        <c:crossBetween val="between"/>
      </c:valAx>
      <c:spPr>
        <a:noFill/>
        <a:ln>
          <a:noFill/>
        </a:ln>
        <a:effectLst/>
      </c:spPr>
    </c:plotArea>
    <c:legend>
      <c:legendPos val="r"/>
      <c:layout>
        <c:manualLayout>
          <c:xMode val="edge"/>
          <c:yMode val="edge"/>
          <c:x val="4.5183555467930197E-3"/>
          <c:y val="0.82694088064166804"/>
          <c:w val="0.9855811121327539"/>
          <c:h val="0.17090321751739071"/>
        </c:manualLayout>
      </c:layout>
      <c:overlay val="0"/>
      <c:spPr>
        <a:noFill/>
        <a:ln>
          <a:noFill/>
        </a:ln>
        <a:effectLst/>
      </c:spPr>
      <c:txPr>
        <a:bodyPr rot="0" vert="horz"/>
        <a:lstStyle/>
        <a:p>
          <a:pPr>
            <a:defRPr sz="900"/>
          </a:pPr>
          <a:endParaRPr lang="en-US"/>
        </a:p>
      </c:txPr>
    </c:legend>
    <c:plotVisOnly val="1"/>
    <c:dispBlanksAs val="gap"/>
    <c:showDLblsOverMax val="0"/>
  </c:chart>
  <c:spPr>
    <a:solidFill>
      <a:schemeClr val="bg1"/>
    </a:solidFill>
    <a:ln w="9525" cap="flat" cmpd="sng" algn="ctr">
      <a:noFill/>
      <a:round/>
    </a:ln>
    <a:effectLst/>
  </c:spPr>
  <c:txPr>
    <a:bodyPr/>
    <a:lstStyle/>
    <a:p>
      <a:pPr>
        <a:defRPr sz="1000" b="0">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000"/>
            </a:pPr>
            <a:r>
              <a:rPr lang="en-US" sz="1000"/>
              <a:t>(c) Mehi River &amp; Moomin Creek</a:t>
            </a:r>
            <a:endParaRPr lang="en-AU" sz="1000"/>
          </a:p>
        </c:rich>
      </c:tx>
      <c:layout>
        <c:manualLayout>
          <c:xMode val="edge"/>
          <c:yMode val="edge"/>
          <c:x val="5.3882391642661983E-4"/>
          <c:y val="4.0527810735986767E-3"/>
        </c:manualLayout>
      </c:layout>
      <c:overlay val="0"/>
      <c:spPr>
        <a:noFill/>
        <a:ln>
          <a:noFill/>
        </a:ln>
        <a:effectLst/>
      </c:spPr>
    </c:title>
    <c:autoTitleDeleted val="0"/>
    <c:plotArea>
      <c:layout>
        <c:manualLayout>
          <c:layoutTarget val="inner"/>
          <c:xMode val="edge"/>
          <c:yMode val="edge"/>
          <c:x val="8.6062384919382631E-2"/>
          <c:y val="0.11806924819329088"/>
          <c:w val="0.8815517806119787"/>
          <c:h val="0.53860784525222016"/>
        </c:manualLayout>
      </c:layout>
      <c:lineChart>
        <c:grouping val="standard"/>
        <c:varyColors val="0"/>
        <c:ser>
          <c:idx val="7"/>
          <c:order val="0"/>
          <c:tx>
            <c:strRef>
              <c:f>flows!$P$1</c:f>
              <c:strCache>
                <c:ptCount val="1"/>
                <c:pt idx="0">
                  <c:v>Environmental Water</c:v>
                </c:pt>
              </c:strCache>
            </c:strRef>
          </c:tx>
          <c:spPr>
            <a:ln w="28575" cap="rnd">
              <a:solidFill>
                <a:srgbClr val="00B050"/>
              </a:solidFill>
              <a:round/>
            </a:ln>
            <a:effectLst/>
          </c:spPr>
          <c:marker>
            <c:symbol val="none"/>
          </c:marker>
          <c:cat>
            <c:numRef>
              <c:f>flows!$A$5:$A$370</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flows!$P$5:$P$371</c:f>
              <c:numCache>
                <c:formatCode>General</c:formatCode>
                <c:ptCount val="367"/>
                <c:pt idx="176">
                  <c:v>3.4</c:v>
                </c:pt>
                <c:pt idx="177">
                  <c:v>3.4</c:v>
                </c:pt>
                <c:pt idx="178">
                  <c:v>3.4</c:v>
                </c:pt>
                <c:pt idx="179">
                  <c:v>3.4</c:v>
                </c:pt>
                <c:pt idx="180">
                  <c:v>3.4</c:v>
                </c:pt>
                <c:pt idx="181">
                  <c:v>3.4</c:v>
                </c:pt>
                <c:pt idx="182">
                  <c:v>3.4</c:v>
                </c:pt>
                <c:pt idx="183">
                  <c:v>3.4</c:v>
                </c:pt>
                <c:pt idx="184">
                  <c:v>3.4</c:v>
                </c:pt>
                <c:pt idx="185">
                  <c:v>3.4</c:v>
                </c:pt>
                <c:pt idx="186">
                  <c:v>3.4</c:v>
                </c:pt>
                <c:pt idx="187">
                  <c:v>3.4</c:v>
                </c:pt>
                <c:pt idx="188">
                  <c:v>3.4</c:v>
                </c:pt>
                <c:pt idx="189">
                  <c:v>3.4</c:v>
                </c:pt>
                <c:pt idx="190">
                  <c:v>3.4</c:v>
                </c:pt>
                <c:pt idx="191">
                  <c:v>3.4</c:v>
                </c:pt>
                <c:pt idx="192">
                  <c:v>3.4</c:v>
                </c:pt>
                <c:pt idx="193">
                  <c:v>3.4</c:v>
                </c:pt>
                <c:pt idx="202">
                  <c:v>3.4</c:v>
                </c:pt>
                <c:pt idx="203">
                  <c:v>3.4</c:v>
                </c:pt>
                <c:pt idx="204">
                  <c:v>3.4</c:v>
                </c:pt>
                <c:pt idx="205">
                  <c:v>3.4</c:v>
                </c:pt>
                <c:pt idx="206">
                  <c:v>3.4</c:v>
                </c:pt>
                <c:pt idx="207">
                  <c:v>3.4</c:v>
                </c:pt>
                <c:pt idx="208">
                  <c:v>3.4</c:v>
                </c:pt>
                <c:pt idx="209">
                  <c:v>3.4</c:v>
                </c:pt>
                <c:pt idx="210">
                  <c:v>3.4</c:v>
                </c:pt>
                <c:pt idx="211">
                  <c:v>3.4</c:v>
                </c:pt>
                <c:pt idx="212">
                  <c:v>3.4</c:v>
                </c:pt>
                <c:pt idx="213">
                  <c:v>3.4</c:v>
                </c:pt>
                <c:pt idx="214">
                  <c:v>3.4</c:v>
                </c:pt>
                <c:pt idx="215">
                  <c:v>3.4</c:v>
                </c:pt>
                <c:pt idx="216">
                  <c:v>3.4</c:v>
                </c:pt>
                <c:pt idx="217">
                  <c:v>3.4</c:v>
                </c:pt>
                <c:pt idx="218">
                  <c:v>3.4</c:v>
                </c:pt>
                <c:pt idx="219">
                  <c:v>3.4</c:v>
                </c:pt>
                <c:pt idx="287">
                  <c:v>3.4</c:v>
                </c:pt>
                <c:pt idx="288">
                  <c:v>3.4</c:v>
                </c:pt>
                <c:pt idx="289">
                  <c:v>3.4</c:v>
                </c:pt>
                <c:pt idx="290">
                  <c:v>3.4</c:v>
                </c:pt>
                <c:pt idx="291">
                  <c:v>3.4</c:v>
                </c:pt>
                <c:pt idx="292">
                  <c:v>3.4</c:v>
                </c:pt>
                <c:pt idx="293">
                  <c:v>3.4</c:v>
                </c:pt>
                <c:pt idx="294">
                  <c:v>3.4</c:v>
                </c:pt>
                <c:pt idx="295">
                  <c:v>3.4</c:v>
                </c:pt>
                <c:pt idx="296">
                  <c:v>3.4</c:v>
                </c:pt>
                <c:pt idx="297">
                  <c:v>3.4</c:v>
                </c:pt>
                <c:pt idx="298">
                  <c:v>3.4</c:v>
                </c:pt>
                <c:pt idx="299">
                  <c:v>3.4</c:v>
                </c:pt>
                <c:pt idx="300">
                  <c:v>3.4</c:v>
                </c:pt>
                <c:pt idx="301">
                  <c:v>3.4</c:v>
                </c:pt>
                <c:pt idx="302">
                  <c:v>3.4</c:v>
                </c:pt>
                <c:pt idx="303">
                  <c:v>3.4</c:v>
                </c:pt>
                <c:pt idx="304">
                  <c:v>3.4</c:v>
                </c:pt>
                <c:pt idx="305">
                  <c:v>3.4</c:v>
                </c:pt>
                <c:pt idx="306">
                  <c:v>3.4</c:v>
                </c:pt>
                <c:pt idx="307">
                  <c:v>3.4</c:v>
                </c:pt>
                <c:pt idx="308">
                  <c:v>3.4</c:v>
                </c:pt>
                <c:pt idx="309">
                  <c:v>3.4</c:v>
                </c:pt>
                <c:pt idx="310">
                  <c:v>3.4</c:v>
                </c:pt>
                <c:pt idx="311">
                  <c:v>3.4</c:v>
                </c:pt>
                <c:pt idx="312">
                  <c:v>3.4</c:v>
                </c:pt>
                <c:pt idx="313">
                  <c:v>3.4</c:v>
                </c:pt>
                <c:pt idx="314">
                  <c:v>3.4</c:v>
                </c:pt>
                <c:pt idx="315">
                  <c:v>3.4</c:v>
                </c:pt>
                <c:pt idx="316">
                  <c:v>3.4</c:v>
                </c:pt>
                <c:pt idx="317">
                  <c:v>3.4</c:v>
                </c:pt>
                <c:pt idx="318">
                  <c:v>3.4</c:v>
                </c:pt>
                <c:pt idx="319">
                  <c:v>3.4</c:v>
                </c:pt>
                <c:pt idx="320">
                  <c:v>3.4</c:v>
                </c:pt>
                <c:pt idx="321">
                  <c:v>3.4</c:v>
                </c:pt>
                <c:pt idx="322">
                  <c:v>3.4</c:v>
                </c:pt>
              </c:numCache>
            </c:numRef>
          </c:val>
          <c:smooth val="0"/>
        </c:ser>
        <c:ser>
          <c:idx val="0"/>
          <c:order val="1"/>
          <c:tx>
            <c:strRef>
              <c:f>flows!$Q$1</c:f>
              <c:strCache>
                <c:ptCount val="1"/>
                <c:pt idx="0">
                  <c:v>Supp Env water</c:v>
                </c:pt>
              </c:strCache>
            </c:strRef>
          </c:tx>
          <c:spPr>
            <a:ln w="28575" cap="rnd">
              <a:solidFill>
                <a:schemeClr val="accent1"/>
              </a:solidFill>
              <a:round/>
            </a:ln>
            <a:effectLst/>
          </c:spPr>
          <c:marker>
            <c:symbol val="none"/>
          </c:marker>
          <c:dPt>
            <c:idx val="133"/>
            <c:bubble3D val="0"/>
            <c:spPr>
              <a:ln w="28575" cap="rnd">
                <a:solidFill>
                  <a:srgbClr val="C00000"/>
                </a:solidFill>
                <a:round/>
              </a:ln>
              <a:effectLst/>
            </c:spPr>
          </c:dPt>
          <c:cat>
            <c:numRef>
              <c:f>flows!$A$5:$A$370</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flows!$Q$5:$Q$370</c:f>
              <c:numCache>
                <c:formatCode>General</c:formatCode>
                <c:ptCount val="366"/>
                <c:pt idx="132">
                  <c:v>3.3</c:v>
                </c:pt>
                <c:pt idx="133">
                  <c:v>3.3</c:v>
                </c:pt>
                <c:pt idx="134">
                  <c:v>3.3</c:v>
                </c:pt>
                <c:pt idx="135">
                  <c:v>3.3</c:v>
                </c:pt>
                <c:pt idx="136">
                  <c:v>3.3</c:v>
                </c:pt>
                <c:pt idx="137">
                  <c:v>3.3</c:v>
                </c:pt>
              </c:numCache>
            </c:numRef>
          </c:val>
          <c:smooth val="0"/>
        </c:ser>
        <c:ser>
          <c:idx val="6"/>
          <c:order val="2"/>
          <c:tx>
            <c:strRef>
              <c:f>flows!$R$1</c:f>
              <c:strCache>
                <c:ptCount val="1"/>
                <c:pt idx="0">
                  <c:v>Microinvertebrate Sampling</c:v>
                </c:pt>
              </c:strCache>
            </c:strRef>
          </c:tx>
          <c:spPr>
            <a:ln w="28575" cap="rnd">
              <a:solidFill>
                <a:schemeClr val="tx1"/>
              </a:solidFill>
              <a:round/>
            </a:ln>
            <a:effectLst/>
          </c:spPr>
          <c:marker>
            <c:symbol val="none"/>
          </c:marker>
          <c:cat>
            <c:numRef>
              <c:f>flows!$A$5:$A$370</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flows!$R$5:$R$300</c:f>
              <c:numCache>
                <c:formatCode>General</c:formatCode>
                <c:ptCount val="296"/>
                <c:pt idx="89">
                  <c:v>3.2</c:v>
                </c:pt>
                <c:pt idx="90">
                  <c:v>3.2</c:v>
                </c:pt>
                <c:pt idx="91">
                  <c:v>3.2</c:v>
                </c:pt>
                <c:pt idx="92">
                  <c:v>3.2</c:v>
                </c:pt>
                <c:pt idx="218">
                  <c:v>3.2</c:v>
                </c:pt>
                <c:pt idx="219">
                  <c:v>3.2</c:v>
                </c:pt>
                <c:pt idx="220">
                  <c:v>3.2</c:v>
                </c:pt>
                <c:pt idx="221">
                  <c:v>3.2</c:v>
                </c:pt>
                <c:pt idx="222">
                  <c:v>3.2</c:v>
                </c:pt>
                <c:pt idx="257">
                  <c:v>3.2</c:v>
                </c:pt>
                <c:pt idx="258">
                  <c:v>3.2</c:v>
                </c:pt>
                <c:pt idx="259">
                  <c:v>3.2</c:v>
                </c:pt>
                <c:pt idx="260">
                  <c:v>3.2</c:v>
                </c:pt>
                <c:pt idx="292">
                  <c:v>3.2</c:v>
                </c:pt>
                <c:pt idx="293">
                  <c:v>3.2</c:v>
                </c:pt>
                <c:pt idx="294">
                  <c:v>3.2</c:v>
                </c:pt>
                <c:pt idx="295">
                  <c:v>3.2</c:v>
                </c:pt>
              </c:numCache>
            </c:numRef>
          </c:val>
          <c:smooth val="0"/>
        </c:ser>
        <c:ser>
          <c:idx val="8"/>
          <c:order val="3"/>
          <c:tx>
            <c:strRef>
              <c:f>flows!$L$1</c:f>
              <c:strCache>
                <c:ptCount val="1"/>
                <c:pt idx="0">
                  <c:v>418037 - Mehi DS Combardello</c:v>
                </c:pt>
              </c:strCache>
            </c:strRef>
          </c:tx>
          <c:spPr>
            <a:ln w="28575" cap="rnd">
              <a:solidFill>
                <a:srgbClr val="FF0000"/>
              </a:solidFill>
              <a:prstDash val="sysDash"/>
              <a:round/>
            </a:ln>
            <a:effectLst/>
          </c:spPr>
          <c:marker>
            <c:symbol val="none"/>
          </c:marker>
          <c:cat>
            <c:numRef>
              <c:f>flows!$A$5:$A$370</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flows!$L$5:$L$370</c:f>
              <c:numCache>
                <c:formatCode>General</c:formatCode>
                <c:ptCount val="366"/>
                <c:pt idx="0">
                  <c:v>0.17199999999999704</c:v>
                </c:pt>
                <c:pt idx="1">
                  <c:v>0.16899999999998272</c:v>
                </c:pt>
                <c:pt idx="2">
                  <c:v>0.16499999999999204</c:v>
                </c:pt>
                <c:pt idx="3">
                  <c:v>0.15999999999999659</c:v>
                </c:pt>
                <c:pt idx="4">
                  <c:v>0.15500000000000114</c:v>
                </c:pt>
                <c:pt idx="5">
                  <c:v>0.14900000000000091</c:v>
                </c:pt>
                <c:pt idx="6">
                  <c:v>0.13899999999998158</c:v>
                </c:pt>
                <c:pt idx="7">
                  <c:v>0.13700000000000045</c:v>
                </c:pt>
                <c:pt idx="8">
                  <c:v>0.125</c:v>
                </c:pt>
                <c:pt idx="9">
                  <c:v>0.11699999999999022</c:v>
                </c:pt>
                <c:pt idx="10">
                  <c:v>0.11099999999999</c:v>
                </c:pt>
                <c:pt idx="11">
                  <c:v>0.10499999999998977</c:v>
                </c:pt>
                <c:pt idx="12">
                  <c:v>0.12199999999998568</c:v>
                </c:pt>
                <c:pt idx="13">
                  <c:v>0.12299999999999045</c:v>
                </c:pt>
                <c:pt idx="14">
                  <c:v>0.11099999999999</c:v>
                </c:pt>
                <c:pt idx="15">
                  <c:v>0.10299999999998022</c:v>
                </c:pt>
                <c:pt idx="16">
                  <c:v>9.8999999999989541E-2</c:v>
                </c:pt>
                <c:pt idx="17">
                  <c:v>9.6000000000003638E-2</c:v>
                </c:pt>
                <c:pt idx="18">
                  <c:v>9.3999999999994088E-2</c:v>
                </c:pt>
                <c:pt idx="19">
                  <c:v>9.6999999999979991E-2</c:v>
                </c:pt>
                <c:pt idx="20">
                  <c:v>0.19899999999998386</c:v>
                </c:pt>
                <c:pt idx="21">
                  <c:v>0.20199999999999818</c:v>
                </c:pt>
                <c:pt idx="22">
                  <c:v>0.20399999999997931</c:v>
                </c:pt>
                <c:pt idx="23">
                  <c:v>0.20900000000000318</c:v>
                </c:pt>
                <c:pt idx="24">
                  <c:v>0.19899999999998386</c:v>
                </c:pt>
                <c:pt idx="25">
                  <c:v>0.17199999999999704</c:v>
                </c:pt>
                <c:pt idx="26">
                  <c:v>0.14699999999999136</c:v>
                </c:pt>
                <c:pt idx="27">
                  <c:v>0.13299999999998136</c:v>
                </c:pt>
                <c:pt idx="28">
                  <c:v>0.12299999999999045</c:v>
                </c:pt>
                <c:pt idx="29">
                  <c:v>0.12299999999999045</c:v>
                </c:pt>
                <c:pt idx="30">
                  <c:v>0.125</c:v>
                </c:pt>
                <c:pt idx="31">
                  <c:v>0.12000000000000455</c:v>
                </c:pt>
                <c:pt idx="32">
                  <c:v>0.10899999999998045</c:v>
                </c:pt>
                <c:pt idx="33">
                  <c:v>9.6000000000003638E-2</c:v>
                </c:pt>
                <c:pt idx="34">
                  <c:v>8.5999999999984311E-2</c:v>
                </c:pt>
                <c:pt idx="35">
                  <c:v>7.8999999999979309E-2</c:v>
                </c:pt>
                <c:pt idx="36">
                  <c:v>7.3999999999983856E-2</c:v>
                </c:pt>
                <c:pt idx="37">
                  <c:v>7.2000000000002728E-2</c:v>
                </c:pt>
                <c:pt idx="38">
                  <c:v>7.2000000000002728E-2</c:v>
                </c:pt>
                <c:pt idx="39">
                  <c:v>7.0999999999997954E-2</c:v>
                </c:pt>
                <c:pt idx="40">
                  <c:v>6.8999999999988404E-2</c:v>
                </c:pt>
                <c:pt idx="41">
                  <c:v>6.6999999999978854E-2</c:v>
                </c:pt>
                <c:pt idx="42">
                  <c:v>6.4999999999997726E-2</c:v>
                </c:pt>
                <c:pt idx="43">
                  <c:v>6.1999999999983402E-2</c:v>
                </c:pt>
                <c:pt idx="44">
                  <c:v>6.0000000000002274E-2</c:v>
                </c:pt>
                <c:pt idx="45">
                  <c:v>0.22100000000000364</c:v>
                </c:pt>
                <c:pt idx="46">
                  <c:v>0.24699999999998568</c:v>
                </c:pt>
                <c:pt idx="47">
                  <c:v>0.24699999999998568</c:v>
                </c:pt>
                <c:pt idx="48">
                  <c:v>0.14300000000000068</c:v>
                </c:pt>
                <c:pt idx="49">
                  <c:v>0.25799999999998136</c:v>
                </c:pt>
                <c:pt idx="50">
                  <c:v>0.44999999999998863</c:v>
                </c:pt>
                <c:pt idx="51">
                  <c:v>0.42399999999997817</c:v>
                </c:pt>
                <c:pt idx="52">
                  <c:v>0.35399999999998499</c:v>
                </c:pt>
                <c:pt idx="53">
                  <c:v>0.15799999999998704</c:v>
                </c:pt>
                <c:pt idx="54">
                  <c:v>1.300000000000523E-2</c:v>
                </c:pt>
                <c:pt idx="55">
                  <c:v>0.13999999999998636</c:v>
                </c:pt>
                <c:pt idx="56">
                  <c:v>1.1020000000000039</c:v>
                </c:pt>
                <c:pt idx="57">
                  <c:v>1.8449999999999989</c:v>
                </c:pt>
                <c:pt idx="58">
                  <c:v>1.1629999999999825</c:v>
                </c:pt>
                <c:pt idx="59">
                  <c:v>0.52799999999999159</c:v>
                </c:pt>
                <c:pt idx="60">
                  <c:v>0.39900000000000091</c:v>
                </c:pt>
                <c:pt idx="61">
                  <c:v>0.26300000000000523</c:v>
                </c:pt>
                <c:pt idx="62">
                  <c:v>0.20199999999999818</c:v>
                </c:pt>
                <c:pt idx="63">
                  <c:v>0.15899999999999181</c:v>
                </c:pt>
                <c:pt idx="64">
                  <c:v>0.13899999999998158</c:v>
                </c:pt>
                <c:pt idx="65">
                  <c:v>0.10599999999999454</c:v>
                </c:pt>
                <c:pt idx="66">
                  <c:v>8.4000000000003183E-2</c:v>
                </c:pt>
                <c:pt idx="67">
                  <c:v>6.0999999999978627E-2</c:v>
                </c:pt>
                <c:pt idx="68">
                  <c:v>4.5999999999992269E-2</c:v>
                </c:pt>
                <c:pt idx="69">
                  <c:v>3.9999999999992042E-2</c:v>
                </c:pt>
                <c:pt idx="70">
                  <c:v>3.6000000000001364E-2</c:v>
                </c:pt>
                <c:pt idx="71">
                  <c:v>3.0000000000001137E-2</c:v>
                </c:pt>
                <c:pt idx="72">
                  <c:v>2.4000000000000909E-2</c:v>
                </c:pt>
                <c:pt idx="73">
                  <c:v>1.9000000000005457E-2</c:v>
                </c:pt>
                <c:pt idx="74">
                  <c:v>1.300000000000523E-2</c:v>
                </c:pt>
                <c:pt idx="75">
                  <c:v>3.9999999999906777E-3</c:v>
                </c:pt>
                <c:pt idx="76">
                  <c:v>3.9999999999906777E-3</c:v>
                </c:pt>
                <c:pt idx="77">
                  <c:v>0.132000000000005</c:v>
                </c:pt>
                <c:pt idx="78">
                  <c:v>0.13599999999999568</c:v>
                </c:pt>
                <c:pt idx="79">
                  <c:v>8.8999999999998636E-2</c:v>
                </c:pt>
                <c:pt idx="80">
                  <c:v>5.7999999999992724E-2</c:v>
                </c:pt>
                <c:pt idx="81">
                  <c:v>3.7999999999982492E-2</c:v>
                </c:pt>
                <c:pt idx="82">
                  <c:v>2.2999999999996135E-2</c:v>
                </c:pt>
                <c:pt idx="83">
                  <c:v>1.2000000000000455E-2</c:v>
                </c:pt>
                <c:pt idx="84">
                  <c:v>0</c:v>
                </c:pt>
                <c:pt idx="85">
                  <c:v>-1.2000000000000455E-2</c:v>
                </c:pt>
                <c:pt idx="86">
                  <c:v>-1.4000000000010004E-2</c:v>
                </c:pt>
                <c:pt idx="87">
                  <c:v>-1.300000000000523E-2</c:v>
                </c:pt>
                <c:pt idx="88">
                  <c:v>-1.300000000000523E-2</c:v>
                </c:pt>
                <c:pt idx="89">
                  <c:v>-1.300000000000523E-2</c:v>
                </c:pt>
                <c:pt idx="90">
                  <c:v>-1.300000000000523E-2</c:v>
                </c:pt>
                <c:pt idx="91">
                  <c:v>-1.300000000000523E-2</c:v>
                </c:pt>
                <c:pt idx="92">
                  <c:v>-1.300000000000523E-2</c:v>
                </c:pt>
                <c:pt idx="93">
                  <c:v>-1.2000000000000455E-2</c:v>
                </c:pt>
                <c:pt idx="94">
                  <c:v>-1.099999999999568E-2</c:v>
                </c:pt>
                <c:pt idx="95">
                  <c:v>-1.0000000000019327E-2</c:v>
                </c:pt>
                <c:pt idx="96">
                  <c:v>-9.0000000000145519E-3</c:v>
                </c:pt>
                <c:pt idx="97">
                  <c:v>-9.0000000000145519E-3</c:v>
                </c:pt>
                <c:pt idx="98">
                  <c:v>-8.0000000000097771E-3</c:v>
                </c:pt>
                <c:pt idx="99">
                  <c:v>-8.0000000000097771E-3</c:v>
                </c:pt>
                <c:pt idx="100">
                  <c:v>-6.0000000000002274E-3</c:v>
                </c:pt>
                <c:pt idx="101">
                  <c:v>-6.0000000000002274E-3</c:v>
                </c:pt>
                <c:pt idx="102">
                  <c:v>-7.0000000000050022E-3</c:v>
                </c:pt>
                <c:pt idx="103">
                  <c:v>-6.0000000000002274E-3</c:v>
                </c:pt>
                <c:pt idx="104">
                  <c:v>-7.0000000000050022E-3</c:v>
                </c:pt>
                <c:pt idx="105">
                  <c:v>-8.0000000000097771E-3</c:v>
                </c:pt>
                <c:pt idx="106">
                  <c:v>-8.0000000000097771E-3</c:v>
                </c:pt>
                <c:pt idx="107">
                  <c:v>-8.0000000000097771E-3</c:v>
                </c:pt>
                <c:pt idx="108">
                  <c:v>-8.0000000000097771E-3</c:v>
                </c:pt>
                <c:pt idx="109">
                  <c:v>-9.0000000000145519E-3</c:v>
                </c:pt>
                <c:pt idx="110">
                  <c:v>-9.0000000000145519E-3</c:v>
                </c:pt>
                <c:pt idx="111">
                  <c:v>-1.0000000000019327E-2</c:v>
                </c:pt>
                <c:pt idx="112">
                  <c:v>-1.0000000000019327E-2</c:v>
                </c:pt>
                <c:pt idx="113">
                  <c:v>-8.0000000000097771E-3</c:v>
                </c:pt>
                <c:pt idx="114">
                  <c:v>-9.0000000000145519E-3</c:v>
                </c:pt>
                <c:pt idx="115">
                  <c:v>-1.0000000000019327E-2</c:v>
                </c:pt>
                <c:pt idx="116">
                  <c:v>-9.0000000000145519E-3</c:v>
                </c:pt>
                <c:pt idx="117">
                  <c:v>-7.0000000000050022E-3</c:v>
                </c:pt>
                <c:pt idx="118">
                  <c:v>-4.9999999999954525E-3</c:v>
                </c:pt>
                <c:pt idx="119">
                  <c:v>-6.0000000000002274E-3</c:v>
                </c:pt>
                <c:pt idx="120">
                  <c:v>0.4410000000000025</c:v>
                </c:pt>
                <c:pt idx="121">
                  <c:v>0.617999999999995</c:v>
                </c:pt>
                <c:pt idx="122">
                  <c:v>0.66700000000000159</c:v>
                </c:pt>
                <c:pt idx="123">
                  <c:v>0.69199999999997885</c:v>
                </c:pt>
                <c:pt idx="124">
                  <c:v>0.68500000000000227</c:v>
                </c:pt>
                <c:pt idx="125">
                  <c:v>0.70699999999999363</c:v>
                </c:pt>
                <c:pt idx="126">
                  <c:v>0.64199999999999591</c:v>
                </c:pt>
                <c:pt idx="127">
                  <c:v>0.52199999999999136</c:v>
                </c:pt>
                <c:pt idx="128">
                  <c:v>0.42900000000000205</c:v>
                </c:pt>
                <c:pt idx="129">
                  <c:v>1.1769999999999925</c:v>
                </c:pt>
                <c:pt idx="130">
                  <c:v>2.2090000000000032</c:v>
                </c:pt>
                <c:pt idx="131">
                  <c:v>0.89799999999999613</c:v>
                </c:pt>
                <c:pt idx="132">
                  <c:v>0.81999999999999318</c:v>
                </c:pt>
                <c:pt idx="133">
                  <c:v>0.89799999999999613</c:v>
                </c:pt>
                <c:pt idx="134">
                  <c:v>0.53000000000000114</c:v>
                </c:pt>
                <c:pt idx="135">
                  <c:v>0.26999999999998181</c:v>
                </c:pt>
                <c:pt idx="136">
                  <c:v>0.20999999999997954</c:v>
                </c:pt>
                <c:pt idx="137">
                  <c:v>0.17799999999999727</c:v>
                </c:pt>
                <c:pt idx="138">
                  <c:v>0.17799999999999727</c:v>
                </c:pt>
                <c:pt idx="139">
                  <c:v>0.1279999999999859</c:v>
                </c:pt>
                <c:pt idx="140">
                  <c:v>9.3999999999994088E-2</c:v>
                </c:pt>
                <c:pt idx="141">
                  <c:v>6.9999999999993179E-2</c:v>
                </c:pt>
                <c:pt idx="142">
                  <c:v>5.5999999999983174E-2</c:v>
                </c:pt>
                <c:pt idx="143">
                  <c:v>4.6999999999997044E-2</c:v>
                </c:pt>
                <c:pt idx="144">
                  <c:v>4.5999999999992269E-2</c:v>
                </c:pt>
                <c:pt idx="145">
                  <c:v>6.4999999999997726E-2</c:v>
                </c:pt>
                <c:pt idx="146">
                  <c:v>6.0999999999978627E-2</c:v>
                </c:pt>
                <c:pt idx="147">
                  <c:v>3.9999999999992042E-2</c:v>
                </c:pt>
                <c:pt idx="148">
                  <c:v>2.199999999999136E-2</c:v>
                </c:pt>
                <c:pt idx="149">
                  <c:v>6.0000000000002274E-3</c:v>
                </c:pt>
                <c:pt idx="150">
                  <c:v>-6.0000000000002274E-3</c:v>
                </c:pt>
                <c:pt idx="151">
                  <c:v>-9.0000000000145519E-3</c:v>
                </c:pt>
                <c:pt idx="152">
                  <c:v>-9.0000000000145519E-3</c:v>
                </c:pt>
                <c:pt idx="153">
                  <c:v>-7.0000000000050022E-3</c:v>
                </c:pt>
                <c:pt idx="154">
                  <c:v>-2.0000000000095497E-3</c:v>
                </c:pt>
                <c:pt idx="155">
                  <c:v>0</c:v>
                </c:pt>
                <c:pt idx="156">
                  <c:v>-1.0000000000047748E-3</c:v>
                </c:pt>
                <c:pt idx="157">
                  <c:v>1.0000000000047748E-3</c:v>
                </c:pt>
                <c:pt idx="158">
                  <c:v>3.9999999999906777E-3</c:v>
                </c:pt>
                <c:pt idx="159">
                  <c:v>-2.0000000000095497E-3</c:v>
                </c:pt>
                <c:pt idx="160">
                  <c:v>-4.0000000000190994E-3</c:v>
                </c:pt>
                <c:pt idx="161">
                  <c:v>-3.0000000000143245E-3</c:v>
                </c:pt>
                <c:pt idx="162">
                  <c:v>-2.0000000000095497E-3</c:v>
                </c:pt>
                <c:pt idx="163">
                  <c:v>-3.0000000000143245E-3</c:v>
                </c:pt>
                <c:pt idx="164">
                  <c:v>-3.0000000000143245E-3</c:v>
                </c:pt>
                <c:pt idx="165">
                  <c:v>-4.0000000000190994E-3</c:v>
                </c:pt>
                <c:pt idx="166">
                  <c:v>-4.9999999999954525E-3</c:v>
                </c:pt>
                <c:pt idx="167">
                  <c:v>-4.9999999999954525E-3</c:v>
                </c:pt>
                <c:pt idx="168">
                  <c:v>0</c:v>
                </c:pt>
                <c:pt idx="169">
                  <c:v>0.1839999999999975</c:v>
                </c:pt>
                <c:pt idx="170">
                  <c:v>0.41200000000000614</c:v>
                </c:pt>
                <c:pt idx="171">
                  <c:v>0.52199999999999136</c:v>
                </c:pt>
                <c:pt idx="172">
                  <c:v>0.56999999999999318</c:v>
                </c:pt>
                <c:pt idx="173">
                  <c:v>0.53700000000000614</c:v>
                </c:pt>
                <c:pt idx="174">
                  <c:v>0.62000000000000455</c:v>
                </c:pt>
                <c:pt idx="175">
                  <c:v>0.68199999999998795</c:v>
                </c:pt>
                <c:pt idx="176">
                  <c:v>0.75199999999998113</c:v>
                </c:pt>
                <c:pt idx="177">
                  <c:v>0.84799999999998477</c:v>
                </c:pt>
                <c:pt idx="178">
                  <c:v>0.99699999999998568</c:v>
                </c:pt>
                <c:pt idx="179">
                  <c:v>1.0480000000000018</c:v>
                </c:pt>
                <c:pt idx="180">
                  <c:v>1.0120000000000005</c:v>
                </c:pt>
                <c:pt idx="181">
                  <c:v>0.99199999999999022</c:v>
                </c:pt>
                <c:pt idx="182">
                  <c:v>0.93599999999997863</c:v>
                </c:pt>
                <c:pt idx="183">
                  <c:v>0.73599999999999</c:v>
                </c:pt>
                <c:pt idx="184">
                  <c:v>0.617999999999995</c:v>
                </c:pt>
                <c:pt idx="185">
                  <c:v>0.6279999999999859</c:v>
                </c:pt>
                <c:pt idx="186">
                  <c:v>0.75600000000000023</c:v>
                </c:pt>
                <c:pt idx="187">
                  <c:v>0.67099999999999227</c:v>
                </c:pt>
                <c:pt idx="188">
                  <c:v>0.47899999999998499</c:v>
                </c:pt>
                <c:pt idx="189">
                  <c:v>0.47100000000000364</c:v>
                </c:pt>
                <c:pt idx="190">
                  <c:v>0.41200000000000614</c:v>
                </c:pt>
                <c:pt idx="191">
                  <c:v>0.36299999999999955</c:v>
                </c:pt>
                <c:pt idx="192">
                  <c:v>0.34099999999997976</c:v>
                </c:pt>
                <c:pt idx="193">
                  <c:v>0.29099999999999682</c:v>
                </c:pt>
                <c:pt idx="194">
                  <c:v>0.28000000000000114</c:v>
                </c:pt>
                <c:pt idx="195">
                  <c:v>0.23799999999999955</c:v>
                </c:pt>
                <c:pt idx="196">
                  <c:v>0.20599999999998886</c:v>
                </c:pt>
                <c:pt idx="197">
                  <c:v>0.1839999999999975</c:v>
                </c:pt>
                <c:pt idx="198">
                  <c:v>0.16200000000000614</c:v>
                </c:pt>
                <c:pt idx="199">
                  <c:v>0.14400000000000546</c:v>
                </c:pt>
                <c:pt idx="200">
                  <c:v>0.12899999999999068</c:v>
                </c:pt>
                <c:pt idx="201">
                  <c:v>0.36899999999999977</c:v>
                </c:pt>
                <c:pt idx="202">
                  <c:v>0.68799999999998818</c:v>
                </c:pt>
                <c:pt idx="203">
                  <c:v>0.76800000000000068</c:v>
                </c:pt>
                <c:pt idx="204">
                  <c:v>0.78700000000000614</c:v>
                </c:pt>
                <c:pt idx="205">
                  <c:v>0.78399999999999181</c:v>
                </c:pt>
                <c:pt idx="206">
                  <c:v>0.80099999999998772</c:v>
                </c:pt>
                <c:pt idx="207">
                  <c:v>0.78999999999999204</c:v>
                </c:pt>
                <c:pt idx="208">
                  <c:v>0.69299999999998363</c:v>
                </c:pt>
                <c:pt idx="209">
                  <c:v>0.61199999999999477</c:v>
                </c:pt>
                <c:pt idx="210">
                  <c:v>0.65099999999998204</c:v>
                </c:pt>
                <c:pt idx="211">
                  <c:v>0.75600000000000023</c:v>
                </c:pt>
                <c:pt idx="212">
                  <c:v>0.79999999999998295</c:v>
                </c:pt>
                <c:pt idx="213">
                  <c:v>0.79899999999997817</c:v>
                </c:pt>
                <c:pt idx="214">
                  <c:v>0.70499999999998408</c:v>
                </c:pt>
                <c:pt idx="215">
                  <c:v>0.64400000000000546</c:v>
                </c:pt>
                <c:pt idx="216">
                  <c:v>0.5</c:v>
                </c:pt>
                <c:pt idx="217">
                  <c:v>0.37199999999998568</c:v>
                </c:pt>
                <c:pt idx="218">
                  <c:v>0.257000000000005</c:v>
                </c:pt>
                <c:pt idx="219">
                  <c:v>0.22499999999999432</c:v>
                </c:pt>
                <c:pt idx="220">
                  <c:v>0.20399999999997931</c:v>
                </c:pt>
                <c:pt idx="221">
                  <c:v>0.1910000000000025</c:v>
                </c:pt>
                <c:pt idx="222">
                  <c:v>0.1799999999999784</c:v>
                </c:pt>
                <c:pt idx="223">
                  <c:v>0.15899999999999181</c:v>
                </c:pt>
                <c:pt idx="224">
                  <c:v>0.13499999999999091</c:v>
                </c:pt>
                <c:pt idx="225">
                  <c:v>0.11899999999999977</c:v>
                </c:pt>
                <c:pt idx="226">
                  <c:v>0.11299999999999955</c:v>
                </c:pt>
                <c:pt idx="227">
                  <c:v>0.12000000000000455</c:v>
                </c:pt>
                <c:pt idx="228">
                  <c:v>0.12199999999998568</c:v>
                </c:pt>
                <c:pt idx="229">
                  <c:v>0.15699999999998226</c:v>
                </c:pt>
                <c:pt idx="230">
                  <c:v>0.16899999999998272</c:v>
                </c:pt>
                <c:pt idx="231">
                  <c:v>0.16100000000000136</c:v>
                </c:pt>
                <c:pt idx="232">
                  <c:v>0.15500000000000114</c:v>
                </c:pt>
                <c:pt idx="233">
                  <c:v>0.14599999999998658</c:v>
                </c:pt>
                <c:pt idx="234">
                  <c:v>0.132000000000005</c:v>
                </c:pt>
                <c:pt idx="235">
                  <c:v>0.11199999999999477</c:v>
                </c:pt>
                <c:pt idx="236">
                  <c:v>8.7999999999993861E-2</c:v>
                </c:pt>
                <c:pt idx="237">
                  <c:v>7.0999999999997954E-2</c:v>
                </c:pt>
                <c:pt idx="238">
                  <c:v>6.0999999999978627E-2</c:v>
                </c:pt>
                <c:pt idx="239">
                  <c:v>5.2999999999997272E-2</c:v>
                </c:pt>
                <c:pt idx="240">
                  <c:v>4.4999999999987494E-2</c:v>
                </c:pt>
                <c:pt idx="241">
                  <c:v>3.7000000000006139E-2</c:v>
                </c:pt>
                <c:pt idx="242">
                  <c:v>3.0000000000001137E-2</c:v>
                </c:pt>
                <c:pt idx="243">
                  <c:v>2.5999999999982037E-2</c:v>
                </c:pt>
                <c:pt idx="244">
                  <c:v>2.5999999999982037E-2</c:v>
                </c:pt>
                <c:pt idx="245">
                  <c:v>2.4000000000000909E-2</c:v>
                </c:pt>
                <c:pt idx="246">
                  <c:v>2.2999999999996135E-2</c:v>
                </c:pt>
                <c:pt idx="247">
                  <c:v>1.999999999998181E-2</c:v>
                </c:pt>
                <c:pt idx="248">
                  <c:v>1.3999999999981583E-2</c:v>
                </c:pt>
                <c:pt idx="249">
                  <c:v>3.9999999999906777E-3</c:v>
                </c:pt>
                <c:pt idx="250">
                  <c:v>-3.0000000000143245E-3</c:v>
                </c:pt>
                <c:pt idx="251">
                  <c:v>-8.0000000000097771E-3</c:v>
                </c:pt>
                <c:pt idx="252">
                  <c:v>-9.0000000000145519E-3</c:v>
                </c:pt>
                <c:pt idx="253">
                  <c:v>-8.0000000000097771E-3</c:v>
                </c:pt>
                <c:pt idx="254">
                  <c:v>-9.0000000000145519E-3</c:v>
                </c:pt>
                <c:pt idx="255">
                  <c:v>-1.0000000000019327E-2</c:v>
                </c:pt>
                <c:pt idx="256">
                  <c:v>-1.099999999999568E-2</c:v>
                </c:pt>
                <c:pt idx="257">
                  <c:v>-1.300000000000523E-2</c:v>
                </c:pt>
                <c:pt idx="258">
                  <c:v>-1.300000000000523E-2</c:v>
                </c:pt>
                <c:pt idx="259">
                  <c:v>-1.2000000000000455E-2</c:v>
                </c:pt>
                <c:pt idx="260">
                  <c:v>-1.099999999999568E-2</c:v>
                </c:pt>
                <c:pt idx="261">
                  <c:v>-1.099999999999568E-2</c:v>
                </c:pt>
                <c:pt idx="262">
                  <c:v>-1.0000000000019327E-2</c:v>
                </c:pt>
                <c:pt idx="263">
                  <c:v>-1.099999999999568E-2</c:v>
                </c:pt>
                <c:pt idx="264">
                  <c:v>-1.2000000000000455E-2</c:v>
                </c:pt>
                <c:pt idx="265">
                  <c:v>-1.2000000000000455E-2</c:v>
                </c:pt>
                <c:pt idx="266">
                  <c:v>-1.2000000000000455E-2</c:v>
                </c:pt>
                <c:pt idx="267">
                  <c:v>-1.2000000000000455E-2</c:v>
                </c:pt>
                <c:pt idx="268">
                  <c:v>-1.300000000000523E-2</c:v>
                </c:pt>
                <c:pt idx="269">
                  <c:v>-1.4000000000010004E-2</c:v>
                </c:pt>
                <c:pt idx="270">
                  <c:v>-1.2000000000000455E-2</c:v>
                </c:pt>
                <c:pt idx="271">
                  <c:v>-1.2000000000000455E-2</c:v>
                </c:pt>
                <c:pt idx="272">
                  <c:v>-1.2000000000000455E-2</c:v>
                </c:pt>
                <c:pt idx="273">
                  <c:v>-1.2000000000000455E-2</c:v>
                </c:pt>
                <c:pt idx="274">
                  <c:v>-1.099999999999568E-2</c:v>
                </c:pt>
                <c:pt idx="275">
                  <c:v>-1.0000000000019327E-2</c:v>
                </c:pt>
                <c:pt idx="276">
                  <c:v>-1.0000000000019327E-2</c:v>
                </c:pt>
                <c:pt idx="277">
                  <c:v>-1.099999999999568E-2</c:v>
                </c:pt>
                <c:pt idx="278">
                  <c:v>-1.300000000000523E-2</c:v>
                </c:pt>
                <c:pt idx="279">
                  <c:v>-1.4000000000010004E-2</c:v>
                </c:pt>
                <c:pt idx="280">
                  <c:v>-1.6000000000019554E-2</c:v>
                </c:pt>
                <c:pt idx="281">
                  <c:v>-1.8000000000000682E-2</c:v>
                </c:pt>
                <c:pt idx="282">
                  <c:v>-1.9000000000005457E-2</c:v>
                </c:pt>
                <c:pt idx="283">
                  <c:v>-2.1000000000015007E-2</c:v>
                </c:pt>
                <c:pt idx="284">
                  <c:v>-1.9000000000005457E-2</c:v>
                </c:pt>
                <c:pt idx="285">
                  <c:v>-1.6999999999995907E-2</c:v>
                </c:pt>
                <c:pt idx="286">
                  <c:v>-1.2000000000000455E-2</c:v>
                </c:pt>
                <c:pt idx="287">
                  <c:v>-1.5000000000014779E-2</c:v>
                </c:pt>
                <c:pt idx="288">
                  <c:v>-1.8000000000000682E-2</c:v>
                </c:pt>
                <c:pt idx="289">
                  <c:v>-2.2000000000019782E-2</c:v>
                </c:pt>
                <c:pt idx="290">
                  <c:v>-2.5000000000005684E-2</c:v>
                </c:pt>
                <c:pt idx="291">
                  <c:v>-2.7000000000015234E-2</c:v>
                </c:pt>
                <c:pt idx="292">
                  <c:v>-2.8000000000020009E-2</c:v>
                </c:pt>
                <c:pt idx="293">
                  <c:v>-2.8999999999996362E-2</c:v>
                </c:pt>
                <c:pt idx="294">
                  <c:v>-3.3000000000015461E-2</c:v>
                </c:pt>
                <c:pt idx="295">
                  <c:v>-3.6000000000001364E-2</c:v>
                </c:pt>
                <c:pt idx="296">
                  <c:v>-3.8000000000010914E-2</c:v>
                </c:pt>
                <c:pt idx="297">
                  <c:v>9.4999999999998863E-2</c:v>
                </c:pt>
                <c:pt idx="298">
                  <c:v>0.20999999999997954</c:v>
                </c:pt>
                <c:pt idx="299">
                  <c:v>0.21500000000000341</c:v>
                </c:pt>
                <c:pt idx="300">
                  <c:v>0.22999999999998977</c:v>
                </c:pt>
                <c:pt idx="301">
                  <c:v>0.242999999999995</c:v>
                </c:pt>
                <c:pt idx="302">
                  <c:v>0.23799999999999955</c:v>
                </c:pt>
                <c:pt idx="303">
                  <c:v>0.23999999999998067</c:v>
                </c:pt>
                <c:pt idx="304">
                  <c:v>0.25999999999999091</c:v>
                </c:pt>
                <c:pt idx="305">
                  <c:v>0.28499999999999659</c:v>
                </c:pt>
                <c:pt idx="306">
                  <c:v>0.28999999999999204</c:v>
                </c:pt>
                <c:pt idx="307">
                  <c:v>0.33299999999999841</c:v>
                </c:pt>
                <c:pt idx="308">
                  <c:v>0.33199999999999363</c:v>
                </c:pt>
                <c:pt idx="309">
                  <c:v>0.36299999999999955</c:v>
                </c:pt>
                <c:pt idx="310">
                  <c:v>0.34000000000000341</c:v>
                </c:pt>
                <c:pt idx="311">
                  <c:v>0.31799999999998363</c:v>
                </c:pt>
                <c:pt idx="312">
                  <c:v>0.3119999999999834</c:v>
                </c:pt>
                <c:pt idx="313">
                  <c:v>0.31499999999999773</c:v>
                </c:pt>
                <c:pt idx="314">
                  <c:v>0.32200000000000273</c:v>
                </c:pt>
                <c:pt idx="315">
                  <c:v>0.32800000000000296</c:v>
                </c:pt>
                <c:pt idx="316">
                  <c:v>0.52299999999999613</c:v>
                </c:pt>
                <c:pt idx="317">
                  <c:v>0.48699999999999477</c:v>
                </c:pt>
                <c:pt idx="318">
                  <c:v>0.34499999999999886</c:v>
                </c:pt>
                <c:pt idx="319">
                  <c:v>0.32299999999997908</c:v>
                </c:pt>
                <c:pt idx="320">
                  <c:v>0.33899999999999864</c:v>
                </c:pt>
                <c:pt idx="321">
                  <c:v>0.35899999999998045</c:v>
                </c:pt>
                <c:pt idx="322">
                  <c:v>0.36099999999999</c:v>
                </c:pt>
                <c:pt idx="323">
                  <c:v>0.34899999999998954</c:v>
                </c:pt>
                <c:pt idx="324">
                  <c:v>0.33899999999999864</c:v>
                </c:pt>
                <c:pt idx="325">
                  <c:v>0.32999999999998408</c:v>
                </c:pt>
                <c:pt idx="326">
                  <c:v>0.3049999999999784</c:v>
                </c:pt>
                <c:pt idx="327">
                  <c:v>0.33199999999999363</c:v>
                </c:pt>
                <c:pt idx="328">
                  <c:v>0.28799999999998249</c:v>
                </c:pt>
                <c:pt idx="329">
                  <c:v>0.14199999999999591</c:v>
                </c:pt>
                <c:pt idx="330">
                  <c:v>1.6999999999995907E-2</c:v>
                </c:pt>
                <c:pt idx="331">
                  <c:v>1.2000000000000455E-2</c:v>
                </c:pt>
                <c:pt idx="332">
                  <c:v>7.9999999999813554E-3</c:v>
                </c:pt>
                <c:pt idx="333">
                  <c:v>6.0000000000002274E-3</c:v>
                </c:pt>
                <c:pt idx="334">
                  <c:v>3.9999999999906777E-3</c:v>
                </c:pt>
                <c:pt idx="335">
                  <c:v>2.9999999999859028E-3</c:v>
                </c:pt>
                <c:pt idx="336">
                  <c:v>1.0000000000047748E-3</c:v>
                </c:pt>
                <c:pt idx="337">
                  <c:v>0</c:v>
                </c:pt>
                <c:pt idx="338">
                  <c:v>0</c:v>
                </c:pt>
                <c:pt idx="339">
                  <c:v>-1.0000000000047748E-3</c:v>
                </c:pt>
                <c:pt idx="340">
                  <c:v>3.9999999999906777E-3</c:v>
                </c:pt>
                <c:pt idx="341">
                  <c:v>0</c:v>
                </c:pt>
              </c:numCache>
            </c:numRef>
          </c:val>
          <c:smooth val="0"/>
        </c:ser>
        <c:ser>
          <c:idx val="2"/>
          <c:order val="4"/>
          <c:tx>
            <c:strRef>
              <c:f>flows!$M$1</c:f>
              <c:strCache>
                <c:ptCount val="1"/>
                <c:pt idx="0">
                  <c:v>418049 - Mallowa Creek @ Regulator </c:v>
                </c:pt>
              </c:strCache>
            </c:strRef>
          </c:tx>
          <c:spPr>
            <a:ln w="28575" cap="rnd">
              <a:solidFill>
                <a:schemeClr val="tx2">
                  <a:lumMod val="60000"/>
                  <a:lumOff val="40000"/>
                </a:schemeClr>
              </a:solidFill>
              <a:round/>
            </a:ln>
            <a:effectLst/>
          </c:spPr>
          <c:marker>
            <c:symbol val="none"/>
          </c:marker>
          <c:cat>
            <c:numRef>
              <c:f>flows!$A$5:$A$370</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flows!$M$5:$M$370</c:f>
              <c:numCache>
                <c:formatCode>General</c:formatCode>
                <c:ptCount val="366"/>
                <c:pt idx="0">
                  <c:v>0.77199999999999136</c:v>
                </c:pt>
                <c:pt idx="1">
                  <c:v>0.76599999999999113</c:v>
                </c:pt>
                <c:pt idx="2">
                  <c:v>0.76300000000000523</c:v>
                </c:pt>
                <c:pt idx="3">
                  <c:v>0.76300000000000523</c:v>
                </c:pt>
                <c:pt idx="4">
                  <c:v>0.76300000000000523</c:v>
                </c:pt>
                <c:pt idx="5">
                  <c:v>0.76300000000000523</c:v>
                </c:pt>
                <c:pt idx="6">
                  <c:v>0.76200000000000045</c:v>
                </c:pt>
                <c:pt idx="7">
                  <c:v>0.76099999999999568</c:v>
                </c:pt>
                <c:pt idx="8">
                  <c:v>0.75999999999999091</c:v>
                </c:pt>
                <c:pt idx="9">
                  <c:v>0.76300000000000523</c:v>
                </c:pt>
                <c:pt idx="10">
                  <c:v>0.76699999999999591</c:v>
                </c:pt>
                <c:pt idx="11">
                  <c:v>0.76499999999998636</c:v>
                </c:pt>
                <c:pt idx="12">
                  <c:v>0.76300000000000523</c:v>
                </c:pt>
                <c:pt idx="13">
                  <c:v>0.76099999999999568</c:v>
                </c:pt>
                <c:pt idx="14">
                  <c:v>0.75899999999998613</c:v>
                </c:pt>
                <c:pt idx="15">
                  <c:v>0.75999999999999091</c:v>
                </c:pt>
                <c:pt idx="16">
                  <c:v>0.75899999999998613</c:v>
                </c:pt>
                <c:pt idx="17">
                  <c:v>0.75800000000000978</c:v>
                </c:pt>
                <c:pt idx="18">
                  <c:v>0.75800000000000978</c:v>
                </c:pt>
                <c:pt idx="19">
                  <c:v>0.75800000000000978</c:v>
                </c:pt>
                <c:pt idx="20">
                  <c:v>0.75800000000000978</c:v>
                </c:pt>
                <c:pt idx="21">
                  <c:v>0.75999999999999091</c:v>
                </c:pt>
                <c:pt idx="22">
                  <c:v>0.76200000000000045</c:v>
                </c:pt>
                <c:pt idx="23">
                  <c:v>0.76499999999998636</c:v>
                </c:pt>
                <c:pt idx="24">
                  <c:v>0.76200000000000045</c:v>
                </c:pt>
                <c:pt idx="25">
                  <c:v>0.757000000000005</c:v>
                </c:pt>
                <c:pt idx="26">
                  <c:v>0.75499999999999545</c:v>
                </c:pt>
                <c:pt idx="27">
                  <c:v>0.75499999999999545</c:v>
                </c:pt>
                <c:pt idx="28">
                  <c:v>0.757000000000005</c:v>
                </c:pt>
                <c:pt idx="29">
                  <c:v>0.75899999999998613</c:v>
                </c:pt>
                <c:pt idx="30">
                  <c:v>0.75899999999998613</c:v>
                </c:pt>
                <c:pt idx="31">
                  <c:v>0.75800000000000978</c:v>
                </c:pt>
                <c:pt idx="32">
                  <c:v>0.757000000000005</c:v>
                </c:pt>
                <c:pt idx="33">
                  <c:v>0.75600000000000023</c:v>
                </c:pt>
                <c:pt idx="34">
                  <c:v>0.75600000000000023</c:v>
                </c:pt>
                <c:pt idx="35">
                  <c:v>0.75499999999999545</c:v>
                </c:pt>
                <c:pt idx="36">
                  <c:v>0.75499999999999545</c:v>
                </c:pt>
                <c:pt idx="37">
                  <c:v>0.757000000000005</c:v>
                </c:pt>
                <c:pt idx="38">
                  <c:v>0.75899999999998613</c:v>
                </c:pt>
                <c:pt idx="39">
                  <c:v>0.75999999999999091</c:v>
                </c:pt>
                <c:pt idx="40">
                  <c:v>0.76099999999999568</c:v>
                </c:pt>
                <c:pt idx="41">
                  <c:v>0.76099999999999568</c:v>
                </c:pt>
                <c:pt idx="42">
                  <c:v>0.76099999999999568</c:v>
                </c:pt>
                <c:pt idx="43">
                  <c:v>0.75999999999999091</c:v>
                </c:pt>
                <c:pt idx="44">
                  <c:v>0.76099999999999568</c:v>
                </c:pt>
                <c:pt idx="45">
                  <c:v>0.75999999999999091</c:v>
                </c:pt>
                <c:pt idx="46">
                  <c:v>0.75899999999998613</c:v>
                </c:pt>
                <c:pt idx="47">
                  <c:v>0.75899999999998613</c:v>
                </c:pt>
                <c:pt idx="48">
                  <c:v>0.75800000000000978</c:v>
                </c:pt>
                <c:pt idx="49">
                  <c:v>0.75800000000000978</c:v>
                </c:pt>
                <c:pt idx="50">
                  <c:v>0.75899999999998613</c:v>
                </c:pt>
                <c:pt idx="51">
                  <c:v>0.76200000000000045</c:v>
                </c:pt>
                <c:pt idx="52">
                  <c:v>0.76499999999998636</c:v>
                </c:pt>
                <c:pt idx="53">
                  <c:v>0.77099999999998658</c:v>
                </c:pt>
                <c:pt idx="54">
                  <c:v>0.77799999999999159</c:v>
                </c:pt>
                <c:pt idx="55">
                  <c:v>0.77500000000000568</c:v>
                </c:pt>
                <c:pt idx="56">
                  <c:v>0.77299999999999613</c:v>
                </c:pt>
                <c:pt idx="57">
                  <c:v>0.77600000000001046</c:v>
                </c:pt>
                <c:pt idx="58">
                  <c:v>0.78000000000000114</c:v>
                </c:pt>
                <c:pt idx="59">
                  <c:v>0.78499999999999659</c:v>
                </c:pt>
                <c:pt idx="60">
                  <c:v>0.78200000000001069</c:v>
                </c:pt>
                <c:pt idx="61">
                  <c:v>0.77799999999999159</c:v>
                </c:pt>
                <c:pt idx="62">
                  <c:v>0.77400000000000091</c:v>
                </c:pt>
                <c:pt idx="63">
                  <c:v>0.77199999999999136</c:v>
                </c:pt>
                <c:pt idx="64">
                  <c:v>0.77899999999999636</c:v>
                </c:pt>
                <c:pt idx="65">
                  <c:v>0.77500000000000568</c:v>
                </c:pt>
                <c:pt idx="66">
                  <c:v>0.77099999999998658</c:v>
                </c:pt>
                <c:pt idx="67">
                  <c:v>0.76800000000000068</c:v>
                </c:pt>
                <c:pt idx="68">
                  <c:v>0.76599999999999113</c:v>
                </c:pt>
                <c:pt idx="69">
                  <c:v>0.76400000000001</c:v>
                </c:pt>
                <c:pt idx="70">
                  <c:v>0.76300000000000523</c:v>
                </c:pt>
                <c:pt idx="71">
                  <c:v>0.76099999999999568</c:v>
                </c:pt>
                <c:pt idx="72">
                  <c:v>0.76099999999999568</c:v>
                </c:pt>
                <c:pt idx="73">
                  <c:v>0.75999999999999091</c:v>
                </c:pt>
                <c:pt idx="74">
                  <c:v>0.75999999999999091</c:v>
                </c:pt>
                <c:pt idx="75">
                  <c:v>0.75999999999999091</c:v>
                </c:pt>
                <c:pt idx="76">
                  <c:v>0.75899999999998613</c:v>
                </c:pt>
                <c:pt idx="77">
                  <c:v>0.75899999999998613</c:v>
                </c:pt>
                <c:pt idx="78">
                  <c:v>0.75899999999998613</c:v>
                </c:pt>
                <c:pt idx="79">
                  <c:v>0.75800000000000978</c:v>
                </c:pt>
                <c:pt idx="80">
                  <c:v>0.75499999999999545</c:v>
                </c:pt>
                <c:pt idx="81">
                  <c:v>0.75399999999999068</c:v>
                </c:pt>
                <c:pt idx="82">
                  <c:v>0.7529999999999859</c:v>
                </c:pt>
                <c:pt idx="83">
                  <c:v>0.75200000000000955</c:v>
                </c:pt>
                <c:pt idx="84">
                  <c:v>0.74899999999999523</c:v>
                </c:pt>
                <c:pt idx="85">
                  <c:v>0.74699999999998568</c:v>
                </c:pt>
                <c:pt idx="86">
                  <c:v>0.74799999999999045</c:v>
                </c:pt>
                <c:pt idx="87">
                  <c:v>0.75100000000000477</c:v>
                </c:pt>
                <c:pt idx="88">
                  <c:v>0.75399999999999068</c:v>
                </c:pt>
                <c:pt idx="89">
                  <c:v>0.75999999999999091</c:v>
                </c:pt>
                <c:pt idx="90">
                  <c:v>0.76099999999999568</c:v>
                </c:pt>
                <c:pt idx="91">
                  <c:v>0.76300000000000523</c:v>
                </c:pt>
                <c:pt idx="92">
                  <c:v>0.76200000000000045</c:v>
                </c:pt>
                <c:pt idx="93">
                  <c:v>0.76099999999999568</c:v>
                </c:pt>
                <c:pt idx="94">
                  <c:v>0.75999999999999091</c:v>
                </c:pt>
                <c:pt idx="95">
                  <c:v>0.757000000000005</c:v>
                </c:pt>
                <c:pt idx="96">
                  <c:v>0.75399999999999068</c:v>
                </c:pt>
                <c:pt idx="97">
                  <c:v>0.74799999999999045</c:v>
                </c:pt>
                <c:pt idx="98">
                  <c:v>0.74099999999998545</c:v>
                </c:pt>
                <c:pt idx="99">
                  <c:v>0.73400000000000887</c:v>
                </c:pt>
                <c:pt idx="100">
                  <c:v>0.72999999999998977</c:v>
                </c:pt>
                <c:pt idx="101">
                  <c:v>0.71799999999998931</c:v>
                </c:pt>
                <c:pt idx="102">
                  <c:v>0.71100000000001273</c:v>
                </c:pt>
                <c:pt idx="103">
                  <c:v>0.70300000000000296</c:v>
                </c:pt>
                <c:pt idx="104">
                  <c:v>0.69499999999999318</c:v>
                </c:pt>
                <c:pt idx="105">
                  <c:v>0.68899999999999295</c:v>
                </c:pt>
                <c:pt idx="106">
                  <c:v>0.68000000000000682</c:v>
                </c:pt>
                <c:pt idx="107">
                  <c:v>0.67199999999999704</c:v>
                </c:pt>
                <c:pt idx="108">
                  <c:v>0.66300000000001091</c:v>
                </c:pt>
                <c:pt idx="109">
                  <c:v>0.65399999999999636</c:v>
                </c:pt>
                <c:pt idx="110">
                  <c:v>0.64500000000001023</c:v>
                </c:pt>
                <c:pt idx="111">
                  <c:v>0.63499999999999091</c:v>
                </c:pt>
                <c:pt idx="112">
                  <c:v>0.625</c:v>
                </c:pt>
                <c:pt idx="113">
                  <c:v>0.617999999999995</c:v>
                </c:pt>
                <c:pt idx="114">
                  <c:v>0.60699999999999932</c:v>
                </c:pt>
                <c:pt idx="115">
                  <c:v>0.59399999999999409</c:v>
                </c:pt>
                <c:pt idx="116">
                  <c:v>0.58000000000001251</c:v>
                </c:pt>
                <c:pt idx="117">
                  <c:v>0.5689999999999884</c:v>
                </c:pt>
                <c:pt idx="118">
                  <c:v>0.5689999999999884</c:v>
                </c:pt>
                <c:pt idx="119">
                  <c:v>0.5689999999999884</c:v>
                </c:pt>
                <c:pt idx="120">
                  <c:v>0.5689999999999884</c:v>
                </c:pt>
                <c:pt idx="121">
                  <c:v>0.5689999999999884</c:v>
                </c:pt>
                <c:pt idx="122">
                  <c:v>0.5689999999999884</c:v>
                </c:pt>
                <c:pt idx="123">
                  <c:v>0.5689999999999884</c:v>
                </c:pt>
                <c:pt idx="124">
                  <c:v>0.57200000000000273</c:v>
                </c:pt>
                <c:pt idx="125">
                  <c:v>0.68700000000001182</c:v>
                </c:pt>
                <c:pt idx="126">
                  <c:v>0.68199999999998795</c:v>
                </c:pt>
                <c:pt idx="127">
                  <c:v>0.68199999999998795</c:v>
                </c:pt>
                <c:pt idx="128">
                  <c:v>0.67199999999999704</c:v>
                </c:pt>
                <c:pt idx="129">
                  <c:v>0.67500000000001137</c:v>
                </c:pt>
                <c:pt idx="130">
                  <c:v>0.67400000000000659</c:v>
                </c:pt>
                <c:pt idx="131">
                  <c:v>1.1639999999999873</c:v>
                </c:pt>
                <c:pt idx="132">
                  <c:v>1.5970000000000084</c:v>
                </c:pt>
                <c:pt idx="133">
                  <c:v>1.539999999999992</c:v>
                </c:pt>
                <c:pt idx="134">
                  <c:v>1.2980000000000018</c:v>
                </c:pt>
                <c:pt idx="135">
                  <c:v>1.4089999999999918</c:v>
                </c:pt>
                <c:pt idx="136">
                  <c:v>1.8319999999999936</c:v>
                </c:pt>
                <c:pt idx="137">
                  <c:v>1.8050000000000068</c:v>
                </c:pt>
                <c:pt idx="138">
                  <c:v>1.6730000000000018</c:v>
                </c:pt>
                <c:pt idx="139">
                  <c:v>1.5569999999999879</c:v>
                </c:pt>
                <c:pt idx="140">
                  <c:v>1.4629999999999939</c:v>
                </c:pt>
                <c:pt idx="141">
                  <c:v>1.3859999999999957</c:v>
                </c:pt>
                <c:pt idx="142">
                  <c:v>1.3269999999999982</c:v>
                </c:pt>
                <c:pt idx="143">
                  <c:v>1.1189999999999998</c:v>
                </c:pt>
                <c:pt idx="144">
                  <c:v>0.88800000000000523</c:v>
                </c:pt>
                <c:pt idx="145">
                  <c:v>0.84499999999999886</c:v>
                </c:pt>
                <c:pt idx="146">
                  <c:v>0.82800000000000296</c:v>
                </c:pt>
                <c:pt idx="147">
                  <c:v>0.81800000000001205</c:v>
                </c:pt>
                <c:pt idx="148">
                  <c:v>0.80799999999999272</c:v>
                </c:pt>
                <c:pt idx="149">
                  <c:v>0.79699999999999704</c:v>
                </c:pt>
                <c:pt idx="150">
                  <c:v>0.78700000000000614</c:v>
                </c:pt>
                <c:pt idx="151">
                  <c:v>0.77699999999998681</c:v>
                </c:pt>
                <c:pt idx="152">
                  <c:v>0.76699999999999591</c:v>
                </c:pt>
                <c:pt idx="153">
                  <c:v>0.75600000000000023</c:v>
                </c:pt>
                <c:pt idx="154">
                  <c:v>0.74699999999998568</c:v>
                </c:pt>
                <c:pt idx="155">
                  <c:v>0.73599999999999</c:v>
                </c:pt>
                <c:pt idx="156">
                  <c:v>0.72499999999999432</c:v>
                </c:pt>
                <c:pt idx="157">
                  <c:v>0.71399999999999864</c:v>
                </c:pt>
                <c:pt idx="158">
                  <c:v>0.70300000000000296</c:v>
                </c:pt>
                <c:pt idx="159">
                  <c:v>0.69200000000000728</c:v>
                </c:pt>
                <c:pt idx="160">
                  <c:v>0.67900000000000205</c:v>
                </c:pt>
                <c:pt idx="161">
                  <c:v>0.66399999999998727</c:v>
                </c:pt>
                <c:pt idx="162">
                  <c:v>0.64900000000000091</c:v>
                </c:pt>
                <c:pt idx="163">
                  <c:v>0.63499999999999091</c:v>
                </c:pt>
                <c:pt idx="164">
                  <c:v>0.61500000000000909</c:v>
                </c:pt>
                <c:pt idx="165">
                  <c:v>0.59899999999998954</c:v>
                </c:pt>
                <c:pt idx="166">
                  <c:v>0.58199999999999363</c:v>
                </c:pt>
                <c:pt idx="167">
                  <c:v>0.5689999999999884</c:v>
                </c:pt>
                <c:pt idx="168">
                  <c:v>0.5689999999999884</c:v>
                </c:pt>
                <c:pt idx="169">
                  <c:v>0.5689999999999884</c:v>
                </c:pt>
                <c:pt idx="170">
                  <c:v>0.5689999999999884</c:v>
                </c:pt>
                <c:pt idx="171">
                  <c:v>0.5689999999999884</c:v>
                </c:pt>
                <c:pt idx="172">
                  <c:v>0.5689999999999884</c:v>
                </c:pt>
                <c:pt idx="173">
                  <c:v>0.5689999999999884</c:v>
                </c:pt>
                <c:pt idx="174">
                  <c:v>0.5689999999999884</c:v>
                </c:pt>
                <c:pt idx="175">
                  <c:v>0.81200000000001182</c:v>
                </c:pt>
                <c:pt idx="176">
                  <c:v>1.1040000000000134</c:v>
                </c:pt>
                <c:pt idx="177">
                  <c:v>1.2549999999999955</c:v>
                </c:pt>
                <c:pt idx="178">
                  <c:v>1.6119999999999948</c:v>
                </c:pt>
                <c:pt idx="179">
                  <c:v>2.0120000000000005</c:v>
                </c:pt>
                <c:pt idx="180">
                  <c:v>2.1200000000000045</c:v>
                </c:pt>
                <c:pt idx="181">
                  <c:v>2.0130000000000052</c:v>
                </c:pt>
                <c:pt idx="182">
                  <c:v>1.88900000000001</c:v>
                </c:pt>
                <c:pt idx="183">
                  <c:v>1.8249999999999886</c:v>
                </c:pt>
                <c:pt idx="184">
                  <c:v>1.7860000000000014</c:v>
                </c:pt>
                <c:pt idx="185">
                  <c:v>1.7460000000000093</c:v>
                </c:pt>
                <c:pt idx="186">
                  <c:v>1.7719999999999914</c:v>
                </c:pt>
                <c:pt idx="187">
                  <c:v>1.804000000000002</c:v>
                </c:pt>
                <c:pt idx="188">
                  <c:v>1.8940000000000055</c:v>
                </c:pt>
                <c:pt idx="189">
                  <c:v>1.9209999999999923</c:v>
                </c:pt>
                <c:pt idx="190">
                  <c:v>1.8079999999999927</c:v>
                </c:pt>
                <c:pt idx="191">
                  <c:v>1.6910000000000025</c:v>
                </c:pt>
                <c:pt idx="192">
                  <c:v>1.6469999999999914</c:v>
                </c:pt>
                <c:pt idx="193">
                  <c:v>1.5939999999999941</c:v>
                </c:pt>
                <c:pt idx="194">
                  <c:v>1.5389999999999873</c:v>
                </c:pt>
                <c:pt idx="195">
                  <c:v>1.4499999999999886</c:v>
                </c:pt>
                <c:pt idx="196">
                  <c:v>1.2090000000000032</c:v>
                </c:pt>
                <c:pt idx="197">
                  <c:v>1.1030000000000086</c:v>
                </c:pt>
                <c:pt idx="198">
                  <c:v>1.0600000000000023</c:v>
                </c:pt>
                <c:pt idx="199">
                  <c:v>1.0260000000000105</c:v>
                </c:pt>
                <c:pt idx="200">
                  <c:v>0.98500000000001364</c:v>
                </c:pt>
                <c:pt idx="201">
                  <c:v>0.95300000000000296</c:v>
                </c:pt>
                <c:pt idx="202">
                  <c:v>0.93000000000000682</c:v>
                </c:pt>
                <c:pt idx="203">
                  <c:v>0.91399999999998727</c:v>
                </c:pt>
                <c:pt idx="204">
                  <c:v>0.90100000000001046</c:v>
                </c:pt>
                <c:pt idx="205">
                  <c:v>0.91399999999998727</c:v>
                </c:pt>
                <c:pt idx="206">
                  <c:v>1.195999999999998</c:v>
                </c:pt>
                <c:pt idx="207">
                  <c:v>1.5600000000000023</c:v>
                </c:pt>
                <c:pt idx="208">
                  <c:v>1.7230000000000132</c:v>
                </c:pt>
                <c:pt idx="209">
                  <c:v>1.8789999999999907</c:v>
                </c:pt>
                <c:pt idx="210">
                  <c:v>1.9850000000000136</c:v>
                </c:pt>
                <c:pt idx="211">
                  <c:v>2.007000000000005</c:v>
                </c:pt>
                <c:pt idx="212">
                  <c:v>1.9799999999999898</c:v>
                </c:pt>
                <c:pt idx="213">
                  <c:v>1.8739999999999952</c:v>
                </c:pt>
                <c:pt idx="214">
                  <c:v>1.8360000000000127</c:v>
                </c:pt>
                <c:pt idx="215">
                  <c:v>1.8489999999999895</c:v>
                </c:pt>
                <c:pt idx="216">
                  <c:v>1.7839999999999918</c:v>
                </c:pt>
                <c:pt idx="217">
                  <c:v>1.717000000000013</c:v>
                </c:pt>
                <c:pt idx="218">
                  <c:v>1.6810000000000116</c:v>
                </c:pt>
                <c:pt idx="219">
                  <c:v>1.3710000000000093</c:v>
                </c:pt>
                <c:pt idx="220">
                  <c:v>1.0420000000000016</c:v>
                </c:pt>
                <c:pt idx="221">
                  <c:v>0.98500000000001364</c:v>
                </c:pt>
                <c:pt idx="222">
                  <c:v>0.9439999999999884</c:v>
                </c:pt>
                <c:pt idx="223">
                  <c:v>0.91800000000000637</c:v>
                </c:pt>
                <c:pt idx="224">
                  <c:v>0.90100000000001046</c:v>
                </c:pt>
                <c:pt idx="225">
                  <c:v>0.88900000000001</c:v>
                </c:pt>
                <c:pt idx="226">
                  <c:v>0.87899999999999068</c:v>
                </c:pt>
                <c:pt idx="227">
                  <c:v>0.867999999999995</c:v>
                </c:pt>
                <c:pt idx="228">
                  <c:v>0.85800000000000409</c:v>
                </c:pt>
                <c:pt idx="229">
                  <c:v>0.84899999999998954</c:v>
                </c:pt>
                <c:pt idx="230">
                  <c:v>0.83799999999999386</c:v>
                </c:pt>
                <c:pt idx="231">
                  <c:v>0.82900000000000773</c:v>
                </c:pt>
                <c:pt idx="232">
                  <c:v>0.8189999999999884</c:v>
                </c:pt>
                <c:pt idx="233">
                  <c:v>0.81100000000000705</c:v>
                </c:pt>
                <c:pt idx="234">
                  <c:v>0.80699999999998795</c:v>
                </c:pt>
                <c:pt idx="235">
                  <c:v>0.81100000000000705</c:v>
                </c:pt>
                <c:pt idx="236">
                  <c:v>0.81999999999999318</c:v>
                </c:pt>
                <c:pt idx="237">
                  <c:v>0.82699999999999818</c:v>
                </c:pt>
                <c:pt idx="238">
                  <c:v>0.82900000000000773</c:v>
                </c:pt>
                <c:pt idx="239">
                  <c:v>0.82900000000000773</c:v>
                </c:pt>
                <c:pt idx="240">
                  <c:v>0.82499999999998863</c:v>
                </c:pt>
                <c:pt idx="241">
                  <c:v>0.81999999999999318</c:v>
                </c:pt>
                <c:pt idx="242">
                  <c:v>0.81299999999998818</c:v>
                </c:pt>
                <c:pt idx="243">
                  <c:v>0.80400000000000205</c:v>
                </c:pt>
                <c:pt idx="244">
                  <c:v>0.80400000000000205</c:v>
                </c:pt>
                <c:pt idx="245">
                  <c:v>0.79499999999998749</c:v>
                </c:pt>
                <c:pt idx="246">
                  <c:v>0.78800000000001091</c:v>
                </c:pt>
                <c:pt idx="247">
                  <c:v>0.78100000000000591</c:v>
                </c:pt>
                <c:pt idx="248">
                  <c:v>0.77199999999999136</c:v>
                </c:pt>
                <c:pt idx="249">
                  <c:v>0.76200000000000045</c:v>
                </c:pt>
                <c:pt idx="250">
                  <c:v>0.75</c:v>
                </c:pt>
                <c:pt idx="251">
                  <c:v>0.73599999999999</c:v>
                </c:pt>
                <c:pt idx="252">
                  <c:v>0.72399999999998954</c:v>
                </c:pt>
                <c:pt idx="253">
                  <c:v>0.71199999999998909</c:v>
                </c:pt>
                <c:pt idx="254">
                  <c:v>0.69900000000001228</c:v>
                </c:pt>
                <c:pt idx="255">
                  <c:v>0.68799999999998818</c:v>
                </c:pt>
                <c:pt idx="256">
                  <c:v>0.6839999999999975</c:v>
                </c:pt>
                <c:pt idx="257">
                  <c:v>0.67099999999999227</c:v>
                </c:pt>
                <c:pt idx="258">
                  <c:v>0.65899999999999181</c:v>
                </c:pt>
                <c:pt idx="259">
                  <c:v>0.65100000000001046</c:v>
                </c:pt>
                <c:pt idx="260">
                  <c:v>0.63900000000001</c:v>
                </c:pt>
                <c:pt idx="261">
                  <c:v>0.63100000000000023</c:v>
                </c:pt>
                <c:pt idx="262">
                  <c:v>0.62299999999999045</c:v>
                </c:pt>
                <c:pt idx="263">
                  <c:v>0.61199999999999477</c:v>
                </c:pt>
                <c:pt idx="264">
                  <c:v>0.59000000000000341</c:v>
                </c:pt>
                <c:pt idx="265">
                  <c:v>0.57099999999999795</c:v>
                </c:pt>
                <c:pt idx="266">
                  <c:v>0.5689999999999884</c:v>
                </c:pt>
                <c:pt idx="267">
                  <c:v>0.5689999999999884</c:v>
                </c:pt>
                <c:pt idx="268">
                  <c:v>0.5689999999999884</c:v>
                </c:pt>
                <c:pt idx="269">
                  <c:v>0.5689999999999884</c:v>
                </c:pt>
                <c:pt idx="270">
                  <c:v>0.5689999999999884</c:v>
                </c:pt>
                <c:pt idx="271">
                  <c:v>0.5689999999999884</c:v>
                </c:pt>
                <c:pt idx="272">
                  <c:v>0.5689999999999884</c:v>
                </c:pt>
                <c:pt idx="273">
                  <c:v>0.5689999999999884</c:v>
                </c:pt>
                <c:pt idx="274">
                  <c:v>0.5689999999999884</c:v>
                </c:pt>
                <c:pt idx="275">
                  <c:v>0.5689999999999884</c:v>
                </c:pt>
                <c:pt idx="276">
                  <c:v>0.5689999999999884</c:v>
                </c:pt>
                <c:pt idx="277">
                  <c:v>0.5689999999999884</c:v>
                </c:pt>
                <c:pt idx="278">
                  <c:v>0.5689999999999884</c:v>
                </c:pt>
                <c:pt idx="279">
                  <c:v>0.5689999999999884</c:v>
                </c:pt>
                <c:pt idx="280">
                  <c:v>0.5689999999999884</c:v>
                </c:pt>
                <c:pt idx="281">
                  <c:v>0.5689999999999884</c:v>
                </c:pt>
                <c:pt idx="282">
                  <c:v>0.5689999999999884</c:v>
                </c:pt>
                <c:pt idx="283">
                  <c:v>0.5689999999999884</c:v>
                </c:pt>
                <c:pt idx="284">
                  <c:v>0.56800000000001205</c:v>
                </c:pt>
                <c:pt idx="285">
                  <c:v>0.56800000000001205</c:v>
                </c:pt>
                <c:pt idx="286">
                  <c:v>0.56800000000001205</c:v>
                </c:pt>
                <c:pt idx="287">
                  <c:v>0.56800000000001205</c:v>
                </c:pt>
                <c:pt idx="288">
                  <c:v>0.56800000000001205</c:v>
                </c:pt>
                <c:pt idx="289">
                  <c:v>0.56800000000001205</c:v>
                </c:pt>
                <c:pt idx="290">
                  <c:v>0.56800000000001205</c:v>
                </c:pt>
                <c:pt idx="291">
                  <c:v>0.56800000000001205</c:v>
                </c:pt>
                <c:pt idx="292">
                  <c:v>0.56800000000001205</c:v>
                </c:pt>
                <c:pt idx="293">
                  <c:v>0.56800000000001205</c:v>
                </c:pt>
                <c:pt idx="294">
                  <c:v>0.56800000000001205</c:v>
                </c:pt>
                <c:pt idx="295">
                  <c:v>0.56800000000001205</c:v>
                </c:pt>
                <c:pt idx="296">
                  <c:v>0.56800000000001205</c:v>
                </c:pt>
                <c:pt idx="297">
                  <c:v>0.56800000000001205</c:v>
                </c:pt>
                <c:pt idx="298">
                  <c:v>0.56800000000001205</c:v>
                </c:pt>
                <c:pt idx="299">
                  <c:v>0.56800000000001205</c:v>
                </c:pt>
                <c:pt idx="300">
                  <c:v>0.56800000000001205</c:v>
                </c:pt>
                <c:pt idx="301">
                  <c:v>0.56800000000001205</c:v>
                </c:pt>
                <c:pt idx="302">
                  <c:v>0.56800000000001205</c:v>
                </c:pt>
                <c:pt idx="303">
                  <c:v>0.56800000000001205</c:v>
                </c:pt>
                <c:pt idx="304">
                  <c:v>0.56800000000001205</c:v>
                </c:pt>
                <c:pt idx="305">
                  <c:v>0.56800000000001205</c:v>
                </c:pt>
                <c:pt idx="306">
                  <c:v>0.56800000000001205</c:v>
                </c:pt>
                <c:pt idx="307">
                  <c:v>0.56800000000001205</c:v>
                </c:pt>
                <c:pt idx="308">
                  <c:v>0.56800000000001205</c:v>
                </c:pt>
                <c:pt idx="309">
                  <c:v>0.56800000000001205</c:v>
                </c:pt>
                <c:pt idx="310">
                  <c:v>0.5689999999999884</c:v>
                </c:pt>
                <c:pt idx="311">
                  <c:v>0.5689999999999884</c:v>
                </c:pt>
                <c:pt idx="312">
                  <c:v>0.72300000000001319</c:v>
                </c:pt>
                <c:pt idx="313">
                  <c:v>0.81100000000000705</c:v>
                </c:pt>
                <c:pt idx="314">
                  <c:v>0.80400000000000205</c:v>
                </c:pt>
                <c:pt idx="315">
                  <c:v>0.80000000000001137</c:v>
                </c:pt>
                <c:pt idx="316">
                  <c:v>0.80099999999998772</c:v>
                </c:pt>
                <c:pt idx="317">
                  <c:v>0.80400000000000205</c:v>
                </c:pt>
                <c:pt idx="318">
                  <c:v>0.82099999999999795</c:v>
                </c:pt>
                <c:pt idx="319">
                  <c:v>0.83199999999999363</c:v>
                </c:pt>
                <c:pt idx="320">
                  <c:v>0.82699999999999818</c:v>
                </c:pt>
                <c:pt idx="321">
                  <c:v>0.82099999999999795</c:v>
                </c:pt>
                <c:pt idx="322">
                  <c:v>0.81700000000000728</c:v>
                </c:pt>
                <c:pt idx="323">
                  <c:v>0.81800000000001205</c:v>
                </c:pt>
                <c:pt idx="324">
                  <c:v>0.82499999999998863</c:v>
                </c:pt>
                <c:pt idx="325">
                  <c:v>0.83000000000001251</c:v>
                </c:pt>
                <c:pt idx="326">
                  <c:v>0.82800000000000296</c:v>
                </c:pt>
                <c:pt idx="327">
                  <c:v>0.82599999999999341</c:v>
                </c:pt>
                <c:pt idx="328">
                  <c:v>0.82599999999999341</c:v>
                </c:pt>
                <c:pt idx="329">
                  <c:v>0.82599999999999341</c:v>
                </c:pt>
                <c:pt idx="330">
                  <c:v>0.83099999999998886</c:v>
                </c:pt>
                <c:pt idx="331">
                  <c:v>0.83199999999999363</c:v>
                </c:pt>
                <c:pt idx="332">
                  <c:v>0.83199999999999363</c:v>
                </c:pt>
                <c:pt idx="333">
                  <c:v>0.82900000000000773</c:v>
                </c:pt>
                <c:pt idx="334">
                  <c:v>0.82599999999999341</c:v>
                </c:pt>
                <c:pt idx="335">
                  <c:v>0.81999999999999318</c:v>
                </c:pt>
                <c:pt idx="336">
                  <c:v>0.8160000000000025</c:v>
                </c:pt>
                <c:pt idx="337">
                  <c:v>0.8160000000000025</c:v>
                </c:pt>
                <c:pt idx="338">
                  <c:v>0.81499999999999773</c:v>
                </c:pt>
                <c:pt idx="339">
                  <c:v>0.82400000000001228</c:v>
                </c:pt>
                <c:pt idx="340">
                  <c:v>0.79900000000000659</c:v>
                </c:pt>
                <c:pt idx="341">
                  <c:v>0.78999999999999204</c:v>
                </c:pt>
              </c:numCache>
            </c:numRef>
          </c:val>
          <c:smooth val="0"/>
          <c:extLst xmlns:c16r2="http://schemas.microsoft.com/office/drawing/2015/06/chart">
            <c:ext xmlns:c16="http://schemas.microsoft.com/office/drawing/2014/chart" uri="{C3380CC4-5D6E-409C-BE32-E72D297353CC}">
              <c16:uniqueId val="{00000002-6B83-4F32-895E-FF7105E1F411}"/>
            </c:ext>
          </c:extLst>
        </c:ser>
        <c:dLbls>
          <c:showLegendKey val="0"/>
          <c:showVal val="0"/>
          <c:showCatName val="0"/>
          <c:showSerName val="0"/>
          <c:showPercent val="0"/>
          <c:showBubbleSize val="0"/>
        </c:dLbls>
        <c:smooth val="0"/>
        <c:axId val="675910168"/>
        <c:axId val="675910560"/>
      </c:lineChart>
      <c:dateAx>
        <c:axId val="675910168"/>
        <c:scaling>
          <c:orientation val="minMax"/>
        </c:scaling>
        <c:delete val="0"/>
        <c:axPos val="b"/>
        <c:numFmt formatCode="d/mm/yy;@" sourceLinked="0"/>
        <c:majorTickMark val="out"/>
        <c:minorTickMark val="none"/>
        <c:tickLblPos val="nextTo"/>
        <c:spPr>
          <a:noFill/>
          <a:ln w="9525" cap="flat" cmpd="sng" algn="ctr">
            <a:solidFill>
              <a:schemeClr val="bg1">
                <a:lumMod val="50000"/>
              </a:schemeClr>
            </a:solidFill>
            <a:round/>
          </a:ln>
          <a:effectLst/>
        </c:spPr>
        <c:txPr>
          <a:bodyPr rot="-60000000" vert="horz"/>
          <a:lstStyle/>
          <a:p>
            <a:pPr>
              <a:defRPr/>
            </a:pPr>
            <a:endParaRPr lang="en-US"/>
          </a:p>
        </c:txPr>
        <c:crossAx val="675910560"/>
        <c:crosses val="autoZero"/>
        <c:auto val="0"/>
        <c:lblOffset val="100"/>
        <c:baseTimeUnit val="days"/>
      </c:dateAx>
      <c:valAx>
        <c:axId val="675910560"/>
        <c:scaling>
          <c:orientation val="minMax"/>
          <c:max val="3.5"/>
          <c:min val="0"/>
        </c:scaling>
        <c:delete val="0"/>
        <c:axPos val="l"/>
        <c:title>
          <c:tx>
            <c:rich>
              <a:bodyPr/>
              <a:lstStyle/>
              <a:p>
                <a:pPr>
                  <a:defRPr/>
                </a:pPr>
                <a:r>
                  <a:rPr lang="en-AU"/>
                  <a:t>Water level (m)</a:t>
                </a:r>
              </a:p>
            </c:rich>
          </c:tx>
          <c:layout>
            <c:manualLayout>
              <c:xMode val="edge"/>
              <c:yMode val="edge"/>
              <c:x val="9.6417566572506877E-4"/>
              <c:y val="0.21465615791796988"/>
            </c:manualLayout>
          </c:layout>
          <c:overlay val="0"/>
        </c:title>
        <c:numFmt formatCode="General" sourceLinked="1"/>
        <c:majorTickMark val="out"/>
        <c:minorTickMark val="none"/>
        <c:tickLblPos val="nextTo"/>
        <c:spPr>
          <a:noFill/>
          <a:ln>
            <a:solidFill>
              <a:schemeClr val="bg1">
                <a:lumMod val="50000"/>
              </a:schemeClr>
            </a:solidFill>
          </a:ln>
          <a:effectLst/>
        </c:spPr>
        <c:txPr>
          <a:bodyPr rot="-60000000" vert="horz"/>
          <a:lstStyle/>
          <a:p>
            <a:pPr>
              <a:defRPr/>
            </a:pPr>
            <a:endParaRPr lang="en-US"/>
          </a:p>
        </c:txPr>
        <c:crossAx val="675910168"/>
        <c:crosses val="autoZero"/>
        <c:crossBetween val="between"/>
      </c:valAx>
      <c:spPr>
        <a:noFill/>
        <a:ln>
          <a:noFill/>
        </a:ln>
        <a:effectLst/>
      </c:spPr>
    </c:plotArea>
    <c:legend>
      <c:legendPos val="r"/>
      <c:layout>
        <c:manualLayout>
          <c:xMode val="edge"/>
          <c:yMode val="edge"/>
          <c:x val="1.5670767452943584E-2"/>
          <c:y val="0.83442778556789987"/>
          <c:w val="0.97450200732442238"/>
          <c:h val="0.16259367300535901"/>
        </c:manualLayout>
      </c:layout>
      <c:overlay val="0"/>
      <c:spPr>
        <a:noFill/>
        <a:ln>
          <a:noFill/>
        </a:ln>
        <a:effectLst/>
      </c:spPr>
      <c:txPr>
        <a:bodyPr rot="0" vert="horz"/>
        <a:lstStyle/>
        <a:p>
          <a:pPr>
            <a:defRPr sz="900"/>
          </a:pPr>
          <a:endParaRPr lang="en-US"/>
        </a:p>
      </c:txPr>
    </c:legend>
    <c:plotVisOnly val="1"/>
    <c:dispBlanksAs val="gap"/>
    <c:showDLblsOverMax val="0"/>
  </c:chart>
  <c:spPr>
    <a:solidFill>
      <a:schemeClr val="bg1"/>
    </a:solidFill>
    <a:ln w="9525" cap="flat" cmpd="sng" algn="ctr">
      <a:noFill/>
      <a:round/>
    </a:ln>
    <a:effectLst/>
  </c:spPr>
  <c:txPr>
    <a:bodyPr/>
    <a:lstStyle/>
    <a:p>
      <a:pPr>
        <a:defRPr sz="1000" b="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AU" sz="1000"/>
              <a:t>(a)</a:t>
            </a:r>
          </a:p>
        </c:rich>
      </c:tx>
      <c:layout>
        <c:manualLayout>
          <c:xMode val="edge"/>
          <c:yMode val="edge"/>
          <c:x val="5.8490656606510771E-4"/>
          <c:y val="2.4272044364360367E-3"/>
        </c:manualLayout>
      </c:layout>
      <c:overlay val="1"/>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3390040232327025"/>
          <c:y val="0.14344202272521578"/>
          <c:w val="0.72988552542921292"/>
          <c:h val="0.75879553065271244"/>
        </c:manualLayout>
      </c:layout>
      <c:barChart>
        <c:barDir val="col"/>
        <c:grouping val="clustered"/>
        <c:varyColors val="0"/>
        <c:ser>
          <c:idx val="0"/>
          <c:order val="0"/>
          <c:tx>
            <c:strRef>
              <c:f>'Pivot fig 2'!$C$3</c:f>
              <c:strCache>
                <c:ptCount val="1"/>
                <c:pt idx="0">
                  <c:v>T1</c:v>
                </c:pt>
              </c:strCache>
            </c:strRef>
          </c:tx>
          <c:spPr>
            <a:solidFill>
              <a:schemeClr val="accent1">
                <a:tint val="58000"/>
              </a:schemeClr>
            </a:solidFill>
            <a:ln>
              <a:noFill/>
            </a:ln>
            <a:effectLst/>
          </c:spPr>
          <c:invertIfNegative val="0"/>
          <c:errBars>
            <c:errBarType val="plus"/>
            <c:errValType val="cust"/>
            <c:noEndCap val="0"/>
            <c:plus>
              <c:numRef>
                <c:f>'Pivot fig 2'!$C$14:$C$18</c:f>
                <c:numCache>
                  <c:formatCode>General</c:formatCode>
                  <c:ptCount val="5"/>
                  <c:pt idx="0">
                    <c:v>528.03365451749721</c:v>
                  </c:pt>
                  <c:pt idx="1">
                    <c:v>602.03172336433431</c:v>
                  </c:pt>
                  <c:pt idx="2">
                    <c:v>403.01947980407516</c:v>
                  </c:pt>
                  <c:pt idx="3">
                    <c:v>155.26248707774297</c:v>
                  </c:pt>
                </c:numCache>
              </c:numRef>
            </c:plus>
            <c:minus>
              <c:numLit>
                <c:formatCode>General</c:formatCode>
                <c:ptCount val="1"/>
                <c:pt idx="0">
                  <c:v>1</c:v>
                </c:pt>
              </c:numLit>
            </c:minus>
            <c:spPr>
              <a:noFill/>
              <a:ln w="9525" cap="flat" cmpd="sng" algn="ctr">
                <a:solidFill>
                  <a:schemeClr val="tx1">
                    <a:lumMod val="65000"/>
                    <a:lumOff val="35000"/>
                  </a:schemeClr>
                </a:solidFill>
                <a:prstDash val="solid"/>
                <a:round/>
              </a:ln>
              <a:effectLst/>
            </c:spPr>
          </c:errBars>
          <c:cat>
            <c:strRef>
              <c:f>'Pivot fig 2'!$B$4:$B$7</c:f>
              <c:strCache>
                <c:ptCount val="4"/>
                <c:pt idx="0">
                  <c:v>GIN</c:v>
                </c:pt>
                <c:pt idx="1">
                  <c:v>GW</c:v>
                </c:pt>
                <c:pt idx="2">
                  <c:v>ME</c:v>
                </c:pt>
                <c:pt idx="3">
                  <c:v>MO</c:v>
                </c:pt>
              </c:strCache>
            </c:strRef>
          </c:cat>
          <c:val>
            <c:numRef>
              <c:f>'Pivot fig 2'!$C$4:$C$7</c:f>
              <c:numCache>
                <c:formatCode>0.00</c:formatCode>
                <c:ptCount val="4"/>
                <c:pt idx="0">
                  <c:v>6122.8878648233485</c:v>
                </c:pt>
                <c:pt idx="1">
                  <c:v>871.34614664118988</c:v>
                </c:pt>
                <c:pt idx="2">
                  <c:v>918.40195821313046</c:v>
                </c:pt>
                <c:pt idx="3">
                  <c:v>694.82846902201743</c:v>
                </c:pt>
              </c:numCache>
            </c:numRef>
          </c:val>
        </c:ser>
        <c:ser>
          <c:idx val="1"/>
          <c:order val="1"/>
          <c:tx>
            <c:strRef>
              <c:f>'Pivot fig 2'!$D$3</c:f>
              <c:strCache>
                <c:ptCount val="1"/>
                <c:pt idx="0">
                  <c:v>T2</c:v>
                </c:pt>
              </c:strCache>
            </c:strRef>
          </c:tx>
          <c:spPr>
            <a:solidFill>
              <a:schemeClr val="accent1">
                <a:tint val="86000"/>
              </a:schemeClr>
            </a:solidFill>
            <a:ln>
              <a:noFill/>
            </a:ln>
            <a:effectLst/>
          </c:spPr>
          <c:invertIfNegative val="0"/>
          <c:errBars>
            <c:errBarType val="plus"/>
            <c:errValType val="cust"/>
            <c:noEndCap val="0"/>
            <c:plus>
              <c:numRef>
                <c:f>'Pivot fig 2'!$D$14:$D$18</c:f>
                <c:numCache>
                  <c:formatCode>General</c:formatCode>
                  <c:ptCount val="5"/>
                  <c:pt idx="0">
                    <c:v>134.25452104223655</c:v>
                  </c:pt>
                  <c:pt idx="1">
                    <c:v>101.87700390216904</c:v>
                  </c:pt>
                  <c:pt idx="2">
                    <c:v>305.22047402197546</c:v>
                  </c:pt>
                  <c:pt idx="3">
                    <c:v>313.90961241354034</c:v>
                  </c:pt>
                </c:numCache>
              </c:numRef>
            </c:plus>
            <c:minus>
              <c:numLit>
                <c:formatCode>General</c:formatCode>
                <c:ptCount val="1"/>
                <c:pt idx="0">
                  <c:v>1</c:v>
                </c:pt>
              </c:numLit>
            </c:minus>
            <c:spPr>
              <a:noFill/>
              <a:ln w="9525" cap="flat" cmpd="sng" algn="ctr">
                <a:solidFill>
                  <a:schemeClr val="tx1">
                    <a:lumMod val="65000"/>
                    <a:lumOff val="35000"/>
                  </a:schemeClr>
                </a:solidFill>
                <a:prstDash val="solid"/>
                <a:round/>
              </a:ln>
              <a:effectLst/>
            </c:spPr>
          </c:errBars>
          <c:cat>
            <c:strRef>
              <c:f>'Pivot fig 2'!$B$4:$B$7</c:f>
              <c:strCache>
                <c:ptCount val="4"/>
                <c:pt idx="0">
                  <c:v>GIN</c:v>
                </c:pt>
                <c:pt idx="1">
                  <c:v>GW</c:v>
                </c:pt>
                <c:pt idx="2">
                  <c:v>ME</c:v>
                </c:pt>
                <c:pt idx="3">
                  <c:v>MO</c:v>
                </c:pt>
              </c:strCache>
            </c:strRef>
          </c:cat>
          <c:val>
            <c:numRef>
              <c:f>'Pivot fig 2'!$D$4:$D$7</c:f>
              <c:numCache>
                <c:formatCode>0.00</c:formatCode>
                <c:ptCount val="4"/>
                <c:pt idx="0">
                  <c:v>993.20882852292016</c:v>
                </c:pt>
                <c:pt idx="1">
                  <c:v>555.74419920769662</c:v>
                </c:pt>
                <c:pt idx="2">
                  <c:v>417.65704584040742</c:v>
                </c:pt>
                <c:pt idx="3">
                  <c:v>391.62422184493488</c:v>
                </c:pt>
              </c:numCache>
            </c:numRef>
          </c:val>
        </c:ser>
        <c:ser>
          <c:idx val="2"/>
          <c:order val="2"/>
          <c:tx>
            <c:strRef>
              <c:f>'Pivot fig 2'!$E$3</c:f>
              <c:strCache>
                <c:ptCount val="1"/>
                <c:pt idx="0">
                  <c:v>T3</c:v>
                </c:pt>
              </c:strCache>
            </c:strRef>
          </c:tx>
          <c:spPr>
            <a:solidFill>
              <a:schemeClr val="accent1">
                <a:shade val="86000"/>
              </a:schemeClr>
            </a:solidFill>
            <a:ln>
              <a:noFill/>
            </a:ln>
            <a:effectLst/>
          </c:spPr>
          <c:invertIfNegative val="0"/>
          <c:errBars>
            <c:errBarType val="plus"/>
            <c:errValType val="cust"/>
            <c:noEndCap val="0"/>
            <c:plus>
              <c:numRef>
                <c:f>'Pivot fig 2'!$E$14:$E$18</c:f>
                <c:numCache>
                  <c:formatCode>General</c:formatCode>
                  <c:ptCount val="5"/>
                  <c:pt idx="0">
                    <c:v>77.462314307822609</c:v>
                  </c:pt>
                  <c:pt idx="1">
                    <c:v>39.780972218646312</c:v>
                  </c:pt>
                  <c:pt idx="2">
                    <c:v>93.647371567924054</c:v>
                  </c:pt>
                  <c:pt idx="3">
                    <c:v>210.65768343798356</c:v>
                  </c:pt>
                </c:numCache>
              </c:numRef>
            </c:plus>
            <c:minus>
              <c:numLit>
                <c:formatCode>General</c:formatCode>
                <c:ptCount val="1"/>
                <c:pt idx="0">
                  <c:v>1</c:v>
                </c:pt>
              </c:numLit>
            </c:minus>
            <c:spPr>
              <a:noFill/>
              <a:ln w="9525" cap="flat" cmpd="sng" algn="ctr">
                <a:solidFill>
                  <a:schemeClr val="tx1">
                    <a:lumMod val="65000"/>
                    <a:lumOff val="35000"/>
                  </a:schemeClr>
                </a:solidFill>
                <a:prstDash val="solid"/>
                <a:round/>
              </a:ln>
              <a:effectLst/>
            </c:spPr>
          </c:errBars>
          <c:cat>
            <c:strRef>
              <c:f>'Pivot fig 2'!$B$4:$B$7</c:f>
              <c:strCache>
                <c:ptCount val="4"/>
                <c:pt idx="0">
                  <c:v>GIN</c:v>
                </c:pt>
                <c:pt idx="1">
                  <c:v>GW</c:v>
                </c:pt>
                <c:pt idx="2">
                  <c:v>ME</c:v>
                </c:pt>
                <c:pt idx="3">
                  <c:v>MO</c:v>
                </c:pt>
              </c:strCache>
            </c:strRef>
          </c:cat>
          <c:val>
            <c:numRef>
              <c:f>'Pivot fig 2'!$E$4:$E$7</c:f>
              <c:numCache>
                <c:formatCode>0.00</c:formatCode>
                <c:ptCount val="4"/>
                <c:pt idx="0">
                  <c:v>1059.5405532114391</c:v>
                </c:pt>
                <c:pt idx="1">
                  <c:v>1125.1758087201126</c:v>
                </c:pt>
                <c:pt idx="2">
                  <c:v>356.30567276136895</c:v>
                </c:pt>
                <c:pt idx="3">
                  <c:v>595.40553211439294</c:v>
                </c:pt>
              </c:numCache>
            </c:numRef>
          </c:val>
        </c:ser>
        <c:ser>
          <c:idx val="3"/>
          <c:order val="3"/>
          <c:tx>
            <c:strRef>
              <c:f>'Pivot fig 2'!$F$3</c:f>
              <c:strCache>
                <c:ptCount val="1"/>
                <c:pt idx="0">
                  <c:v>T4</c:v>
                </c:pt>
              </c:strCache>
            </c:strRef>
          </c:tx>
          <c:spPr>
            <a:solidFill>
              <a:schemeClr val="accent1">
                <a:shade val="58000"/>
              </a:schemeClr>
            </a:solidFill>
            <a:ln>
              <a:noFill/>
            </a:ln>
            <a:effectLst/>
          </c:spPr>
          <c:invertIfNegative val="0"/>
          <c:errBars>
            <c:errBarType val="plus"/>
            <c:errValType val="cust"/>
            <c:noEndCap val="0"/>
            <c:plus>
              <c:numRef>
                <c:f>'Pivot fig 2'!$F$14:$F$18</c:f>
                <c:numCache>
                  <c:formatCode>General</c:formatCode>
                  <c:ptCount val="5"/>
                  <c:pt idx="0">
                    <c:v>168.76056830228157</c:v>
                  </c:pt>
                  <c:pt idx="1">
                    <c:v>825.00159157741371</c:v>
                  </c:pt>
                  <c:pt idx="2">
                    <c:v>244.94517610724967</c:v>
                  </c:pt>
                  <c:pt idx="3">
                    <c:v>131.44559778725804</c:v>
                  </c:pt>
                </c:numCache>
              </c:numRef>
            </c:plus>
            <c:minus>
              <c:numLit>
                <c:formatCode>General</c:formatCode>
                <c:ptCount val="1"/>
                <c:pt idx="0">
                  <c:v>1</c:v>
                </c:pt>
              </c:numLit>
            </c:minus>
            <c:spPr>
              <a:noFill/>
              <a:ln w="9525" cap="flat" cmpd="sng" algn="ctr">
                <a:solidFill>
                  <a:schemeClr val="tx1">
                    <a:lumMod val="65000"/>
                    <a:lumOff val="35000"/>
                  </a:schemeClr>
                </a:solidFill>
                <a:prstDash val="solid"/>
                <a:round/>
              </a:ln>
              <a:effectLst/>
            </c:spPr>
          </c:errBars>
          <c:cat>
            <c:strRef>
              <c:f>'Pivot fig 2'!$B$4:$B$7</c:f>
              <c:strCache>
                <c:ptCount val="4"/>
                <c:pt idx="0">
                  <c:v>GIN</c:v>
                </c:pt>
                <c:pt idx="1">
                  <c:v>GW</c:v>
                </c:pt>
                <c:pt idx="2">
                  <c:v>ME</c:v>
                </c:pt>
                <c:pt idx="3">
                  <c:v>MO</c:v>
                </c:pt>
              </c:strCache>
            </c:strRef>
          </c:cat>
          <c:val>
            <c:numRef>
              <c:f>'Pivot fig 2'!$F$4:$F$7</c:f>
              <c:numCache>
                <c:formatCode>0.00</c:formatCode>
                <c:ptCount val="4"/>
                <c:pt idx="0">
                  <c:v>1742.2434367541764</c:v>
                </c:pt>
                <c:pt idx="1">
                  <c:v>936.75417661097845</c:v>
                </c:pt>
                <c:pt idx="2">
                  <c:v>700.07955449482904</c:v>
                </c:pt>
                <c:pt idx="3">
                  <c:v>891.01034208432782</c:v>
                </c:pt>
              </c:numCache>
            </c:numRef>
          </c:val>
        </c:ser>
        <c:dLbls>
          <c:showLegendKey val="0"/>
          <c:showVal val="0"/>
          <c:showCatName val="0"/>
          <c:showSerName val="0"/>
          <c:showPercent val="0"/>
          <c:showBubbleSize val="0"/>
        </c:dLbls>
        <c:gapWidth val="219"/>
        <c:overlap val="-27"/>
        <c:axId val="557312088"/>
        <c:axId val="557312480"/>
      </c:barChart>
      <c:catAx>
        <c:axId val="557312088"/>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57312480"/>
        <c:crosses val="autoZero"/>
        <c:auto val="1"/>
        <c:lblAlgn val="ctr"/>
        <c:lblOffset val="100"/>
        <c:noMultiLvlLbl val="0"/>
      </c:catAx>
      <c:valAx>
        <c:axId val="5573124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AU"/>
                  <a:t>Total Nitrogen (µg/L) ±SD</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9525" cap="flat" cmpd="sng" algn="ctr">
            <a:solidFill>
              <a:schemeClr val="bg1">
                <a:lumMod val="50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57312088"/>
        <c:crosses val="autoZero"/>
        <c:crossBetween val="between"/>
      </c:valAx>
      <c:spPr>
        <a:noFill/>
        <a:ln>
          <a:noFill/>
        </a:ln>
        <a:effectLst/>
      </c:spPr>
    </c:plotArea>
    <c:legend>
      <c:legendPos val="b"/>
      <c:layout>
        <c:manualLayout>
          <c:xMode val="edge"/>
          <c:yMode val="edge"/>
          <c:x val="0.48471580474432119"/>
          <c:y val="3.4045039040966278E-2"/>
          <c:w val="0.46675863981666993"/>
          <c:h val="8.056323669383760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b="0">
          <a:latin typeface="Arial" panose="020B0604020202020204" pitchFamily="34" charset="0"/>
          <a:cs typeface="Arial" panose="020B0604020202020204" pitchFamily="34" charset="0"/>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AU" sz="1000"/>
              <a:t>(b)</a:t>
            </a:r>
          </a:p>
        </c:rich>
      </c:tx>
      <c:layout>
        <c:manualLayout>
          <c:xMode val="edge"/>
          <c:yMode val="edge"/>
          <c:x val="4.0577771690894606E-3"/>
          <c:y val="3.428718741943800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9327320362343459"/>
          <c:y val="0.14857835345987783"/>
          <c:w val="0.77051272702048457"/>
          <c:h val="0.75494455304455865"/>
        </c:manualLayout>
      </c:layout>
      <c:barChart>
        <c:barDir val="col"/>
        <c:grouping val="clustered"/>
        <c:varyColors val="0"/>
        <c:ser>
          <c:idx val="0"/>
          <c:order val="0"/>
          <c:tx>
            <c:strRef>
              <c:f>'Pivot fig 2'!$K$3</c:f>
              <c:strCache>
                <c:ptCount val="1"/>
                <c:pt idx="0">
                  <c:v>T1</c:v>
                </c:pt>
              </c:strCache>
            </c:strRef>
          </c:tx>
          <c:spPr>
            <a:solidFill>
              <a:schemeClr val="accent1">
                <a:tint val="58000"/>
              </a:schemeClr>
            </a:solidFill>
            <a:ln>
              <a:noFill/>
            </a:ln>
            <a:effectLst/>
          </c:spPr>
          <c:invertIfNegative val="0"/>
          <c:errBars>
            <c:errBarType val="plus"/>
            <c:errValType val="cust"/>
            <c:noEndCap val="0"/>
            <c:plus>
              <c:numRef>
                <c:f>'Pivot fig 2'!$K$14:$K$18</c:f>
                <c:numCache>
                  <c:formatCode>General</c:formatCode>
                  <c:ptCount val="5"/>
                  <c:pt idx="0">
                    <c:v>182.94687274934429</c:v>
                  </c:pt>
                  <c:pt idx="1">
                    <c:v>104.27434305776299</c:v>
                  </c:pt>
                  <c:pt idx="2">
                    <c:v>125.47024211195392</c:v>
                  </c:pt>
                  <c:pt idx="3">
                    <c:v>22.927207979766546</c:v>
                  </c:pt>
                </c:numCache>
              </c:numRef>
            </c:plus>
            <c:minus>
              <c:numRef>
                <c:f>'Pivot fig 2'!$K$14:$K$18</c:f>
                <c:numCache>
                  <c:formatCode>General</c:formatCode>
                  <c:ptCount val="5"/>
                  <c:pt idx="0">
                    <c:v>182.94687274934429</c:v>
                  </c:pt>
                  <c:pt idx="1">
                    <c:v>104.27434305776299</c:v>
                  </c:pt>
                  <c:pt idx="2">
                    <c:v>125.47024211195392</c:v>
                  </c:pt>
                  <c:pt idx="3">
                    <c:v>22.927207979766546</c:v>
                  </c:pt>
                </c:numCache>
              </c:numRef>
            </c:minus>
            <c:spPr>
              <a:noFill/>
              <a:ln w="9525" cap="flat" cmpd="sng" algn="ctr">
                <a:solidFill>
                  <a:schemeClr val="tx1">
                    <a:lumMod val="65000"/>
                    <a:lumOff val="35000"/>
                  </a:schemeClr>
                </a:solidFill>
                <a:prstDash val="solid"/>
                <a:round/>
              </a:ln>
              <a:effectLst/>
            </c:spPr>
          </c:errBars>
          <c:cat>
            <c:strRef>
              <c:f>'Pivot fig 2'!$B$4:$B$7</c:f>
              <c:strCache>
                <c:ptCount val="4"/>
                <c:pt idx="0">
                  <c:v>GIN</c:v>
                </c:pt>
                <c:pt idx="1">
                  <c:v>GW</c:v>
                </c:pt>
                <c:pt idx="2">
                  <c:v>ME</c:v>
                </c:pt>
                <c:pt idx="3">
                  <c:v>MO</c:v>
                </c:pt>
              </c:strCache>
            </c:strRef>
          </c:cat>
          <c:val>
            <c:numRef>
              <c:f>'Pivot fig 2'!$K$4:$K$7</c:f>
              <c:numCache>
                <c:formatCode>0.00</c:formatCode>
                <c:ptCount val="4"/>
                <c:pt idx="0">
                  <c:v>182.61413383364598</c:v>
                </c:pt>
                <c:pt idx="1">
                  <c:v>161.90020303785755</c:v>
                </c:pt>
                <c:pt idx="2">
                  <c:v>142.79472615590228</c:v>
                </c:pt>
                <c:pt idx="3">
                  <c:v>115.69731081926204</c:v>
                </c:pt>
              </c:numCache>
            </c:numRef>
          </c:val>
        </c:ser>
        <c:ser>
          <c:idx val="1"/>
          <c:order val="1"/>
          <c:tx>
            <c:strRef>
              <c:f>'Pivot fig 2'!$L$3</c:f>
              <c:strCache>
                <c:ptCount val="1"/>
                <c:pt idx="0">
                  <c:v>T2</c:v>
                </c:pt>
              </c:strCache>
            </c:strRef>
          </c:tx>
          <c:spPr>
            <a:solidFill>
              <a:schemeClr val="accent1">
                <a:tint val="86000"/>
              </a:schemeClr>
            </a:solidFill>
            <a:ln>
              <a:noFill/>
            </a:ln>
            <a:effectLst/>
          </c:spPr>
          <c:invertIfNegative val="0"/>
          <c:errBars>
            <c:errBarType val="plus"/>
            <c:errValType val="cust"/>
            <c:noEndCap val="0"/>
            <c:plus>
              <c:numRef>
                <c:f>'Pivot fig 2'!$L$14:$L$18</c:f>
                <c:numCache>
                  <c:formatCode>General</c:formatCode>
                  <c:ptCount val="5"/>
                  <c:pt idx="0">
                    <c:v>108.53140538972302</c:v>
                  </c:pt>
                  <c:pt idx="1">
                    <c:v>118.89790668032579</c:v>
                  </c:pt>
                  <c:pt idx="2">
                    <c:v>73.153771032739016</c:v>
                  </c:pt>
                  <c:pt idx="3">
                    <c:v>52.508540262943669</c:v>
                  </c:pt>
                </c:numCache>
              </c:numRef>
            </c:plus>
            <c:minus>
              <c:numRef>
                <c:f>'Pivot fig 2'!$L$14:$L$18</c:f>
                <c:numCache>
                  <c:formatCode>General</c:formatCode>
                  <c:ptCount val="5"/>
                  <c:pt idx="0">
                    <c:v>108.53140538972302</c:v>
                  </c:pt>
                  <c:pt idx="1">
                    <c:v>118.89790668032579</c:v>
                  </c:pt>
                  <c:pt idx="2">
                    <c:v>73.153771032739016</c:v>
                  </c:pt>
                  <c:pt idx="3">
                    <c:v>52.508540262943669</c:v>
                  </c:pt>
                </c:numCache>
              </c:numRef>
            </c:minus>
            <c:spPr>
              <a:noFill/>
              <a:ln w="9525" cap="flat" cmpd="sng" algn="ctr">
                <a:solidFill>
                  <a:schemeClr val="tx1">
                    <a:lumMod val="65000"/>
                    <a:lumOff val="35000"/>
                  </a:schemeClr>
                </a:solidFill>
                <a:prstDash val="solid"/>
                <a:round/>
              </a:ln>
              <a:effectLst/>
            </c:spPr>
          </c:errBars>
          <c:cat>
            <c:strRef>
              <c:f>'Pivot fig 2'!$B$4:$B$7</c:f>
              <c:strCache>
                <c:ptCount val="4"/>
                <c:pt idx="0">
                  <c:v>GIN</c:v>
                </c:pt>
                <c:pt idx="1">
                  <c:v>GW</c:v>
                </c:pt>
                <c:pt idx="2">
                  <c:v>ME</c:v>
                </c:pt>
                <c:pt idx="3">
                  <c:v>MO</c:v>
                </c:pt>
              </c:strCache>
            </c:strRef>
          </c:cat>
          <c:val>
            <c:numRef>
              <c:f>'Pivot fig 2'!$L$4:$L$7</c:f>
              <c:numCache>
                <c:formatCode>0.00</c:formatCode>
                <c:ptCount val="4"/>
                <c:pt idx="0">
                  <c:v>89.328537170263772</c:v>
                </c:pt>
                <c:pt idx="1">
                  <c:v>151.37889688249402</c:v>
                </c:pt>
                <c:pt idx="2">
                  <c:v>83.333333333333343</c:v>
                </c:pt>
                <c:pt idx="3">
                  <c:v>49.160671462829725</c:v>
                </c:pt>
              </c:numCache>
            </c:numRef>
          </c:val>
        </c:ser>
        <c:ser>
          <c:idx val="2"/>
          <c:order val="2"/>
          <c:tx>
            <c:strRef>
              <c:f>'Pivot fig 2'!$M$3</c:f>
              <c:strCache>
                <c:ptCount val="1"/>
                <c:pt idx="0">
                  <c:v>T3</c:v>
                </c:pt>
              </c:strCache>
            </c:strRef>
          </c:tx>
          <c:spPr>
            <a:solidFill>
              <a:schemeClr val="accent1">
                <a:shade val="86000"/>
              </a:schemeClr>
            </a:solidFill>
            <a:ln>
              <a:noFill/>
            </a:ln>
            <a:effectLst/>
          </c:spPr>
          <c:invertIfNegative val="0"/>
          <c:errBars>
            <c:errBarType val="plus"/>
            <c:errValType val="cust"/>
            <c:noEndCap val="0"/>
            <c:plus>
              <c:numRef>
                <c:f>'Pivot fig 2'!$M$14:$M$18</c:f>
                <c:numCache>
                  <c:formatCode>General</c:formatCode>
                  <c:ptCount val="5"/>
                  <c:pt idx="0">
                    <c:v>15.19342813657167</c:v>
                  </c:pt>
                  <c:pt idx="1">
                    <c:v>11.768778828947264</c:v>
                  </c:pt>
                  <c:pt idx="2">
                    <c:v>37.983570341422755</c:v>
                  </c:pt>
                  <c:pt idx="3">
                    <c:v>7.596714068284399</c:v>
                  </c:pt>
                </c:numCache>
              </c:numRef>
            </c:plus>
            <c:minus>
              <c:numRef>
                <c:f>'Pivot fig 2'!$M$14:$M$18</c:f>
                <c:numCache>
                  <c:formatCode>General</c:formatCode>
                  <c:ptCount val="5"/>
                  <c:pt idx="0">
                    <c:v>15.19342813657167</c:v>
                  </c:pt>
                  <c:pt idx="1">
                    <c:v>11.768778828947264</c:v>
                  </c:pt>
                  <c:pt idx="2">
                    <c:v>37.983570341422755</c:v>
                  </c:pt>
                  <c:pt idx="3">
                    <c:v>7.596714068284399</c:v>
                  </c:pt>
                </c:numCache>
              </c:numRef>
            </c:minus>
            <c:spPr>
              <a:noFill/>
              <a:ln w="9525" cap="flat" cmpd="sng" algn="ctr">
                <a:solidFill>
                  <a:schemeClr val="tx1">
                    <a:lumMod val="65000"/>
                    <a:lumOff val="35000"/>
                  </a:schemeClr>
                </a:solidFill>
                <a:prstDash val="solid"/>
                <a:round/>
              </a:ln>
              <a:effectLst/>
            </c:spPr>
          </c:errBars>
          <c:cat>
            <c:strRef>
              <c:f>'Pivot fig 2'!$B$4:$B$7</c:f>
              <c:strCache>
                <c:ptCount val="4"/>
                <c:pt idx="0">
                  <c:v>GIN</c:v>
                </c:pt>
                <c:pt idx="1">
                  <c:v>GW</c:v>
                </c:pt>
                <c:pt idx="2">
                  <c:v>ME</c:v>
                </c:pt>
                <c:pt idx="3">
                  <c:v>MO</c:v>
                </c:pt>
              </c:strCache>
            </c:strRef>
          </c:cat>
          <c:val>
            <c:numRef>
              <c:f>'Pivot fig 2'!$M$4:$M$7</c:f>
              <c:numCache>
                <c:formatCode>0.00</c:formatCode>
                <c:ptCount val="4"/>
                <c:pt idx="0">
                  <c:v>561.40350877192975</c:v>
                </c:pt>
                <c:pt idx="1">
                  <c:v>578.9473684210526</c:v>
                </c:pt>
                <c:pt idx="2">
                  <c:v>35.087719298245609</c:v>
                </c:pt>
                <c:pt idx="3">
                  <c:v>192.98245614035091</c:v>
                </c:pt>
              </c:numCache>
            </c:numRef>
          </c:val>
        </c:ser>
        <c:ser>
          <c:idx val="3"/>
          <c:order val="3"/>
          <c:tx>
            <c:strRef>
              <c:f>'Pivot fig 2'!$N$3</c:f>
              <c:strCache>
                <c:ptCount val="1"/>
                <c:pt idx="0">
                  <c:v>T4</c:v>
                </c:pt>
              </c:strCache>
            </c:strRef>
          </c:tx>
          <c:spPr>
            <a:solidFill>
              <a:schemeClr val="accent1">
                <a:shade val="58000"/>
              </a:schemeClr>
            </a:solidFill>
            <a:ln>
              <a:noFill/>
            </a:ln>
            <a:effectLst/>
          </c:spPr>
          <c:invertIfNegative val="0"/>
          <c:errBars>
            <c:errBarType val="plus"/>
            <c:errValType val="cust"/>
            <c:noEndCap val="0"/>
            <c:plus>
              <c:numRef>
                <c:f>'Pivot fig 2'!$N$14:$N$18</c:f>
                <c:numCache>
                  <c:formatCode>General</c:formatCode>
                  <c:ptCount val="5"/>
                  <c:pt idx="0">
                    <c:v>13.417585980769429</c:v>
                  </c:pt>
                  <c:pt idx="1">
                    <c:v>15.493293755744325</c:v>
                  </c:pt>
                  <c:pt idx="2">
                    <c:v>10.955413077602003</c:v>
                  </c:pt>
                  <c:pt idx="3">
                    <c:v>18.975332068311197</c:v>
                  </c:pt>
                </c:numCache>
              </c:numRef>
            </c:plus>
            <c:minus>
              <c:numRef>
                <c:f>'Pivot fig 2'!$N$14:$N$18</c:f>
                <c:numCache>
                  <c:formatCode>General</c:formatCode>
                  <c:ptCount val="5"/>
                  <c:pt idx="0">
                    <c:v>13.417585980769429</c:v>
                  </c:pt>
                  <c:pt idx="1">
                    <c:v>15.493293755744325</c:v>
                  </c:pt>
                  <c:pt idx="2">
                    <c:v>10.955413077602003</c:v>
                  </c:pt>
                  <c:pt idx="3">
                    <c:v>18.975332068311197</c:v>
                  </c:pt>
                </c:numCache>
              </c:numRef>
            </c:minus>
            <c:spPr>
              <a:noFill/>
              <a:ln w="9525" cap="flat" cmpd="sng" algn="ctr">
                <a:solidFill>
                  <a:schemeClr val="tx1">
                    <a:lumMod val="65000"/>
                    <a:lumOff val="35000"/>
                  </a:schemeClr>
                </a:solidFill>
                <a:prstDash val="solid"/>
                <a:round/>
              </a:ln>
              <a:effectLst/>
            </c:spPr>
          </c:errBars>
          <c:cat>
            <c:strRef>
              <c:f>'Pivot fig 2'!$B$4:$B$7</c:f>
              <c:strCache>
                <c:ptCount val="4"/>
                <c:pt idx="0">
                  <c:v>GIN</c:v>
                </c:pt>
                <c:pt idx="1">
                  <c:v>GW</c:v>
                </c:pt>
                <c:pt idx="2">
                  <c:v>ME</c:v>
                </c:pt>
                <c:pt idx="3">
                  <c:v>MO</c:v>
                </c:pt>
              </c:strCache>
            </c:strRef>
          </c:cat>
          <c:val>
            <c:numRef>
              <c:f>'Pivot fig 2'!$N$4:$N$7</c:f>
              <c:numCache>
                <c:formatCode>0.00</c:formatCode>
                <c:ptCount val="4"/>
                <c:pt idx="0">
                  <c:v>47.438330170777988</c:v>
                </c:pt>
                <c:pt idx="1">
                  <c:v>18.975332068311197</c:v>
                </c:pt>
                <c:pt idx="2">
                  <c:v>25.300442757748261</c:v>
                </c:pt>
                <c:pt idx="3">
                  <c:v>18.975332068311197</c:v>
                </c:pt>
              </c:numCache>
            </c:numRef>
          </c:val>
        </c:ser>
        <c:dLbls>
          <c:showLegendKey val="0"/>
          <c:showVal val="0"/>
          <c:showCatName val="0"/>
          <c:showSerName val="0"/>
          <c:showPercent val="0"/>
          <c:showBubbleSize val="0"/>
        </c:dLbls>
        <c:gapWidth val="219"/>
        <c:overlap val="-27"/>
        <c:axId val="557310128"/>
        <c:axId val="557310520"/>
      </c:barChart>
      <c:catAx>
        <c:axId val="557310128"/>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57310520"/>
        <c:crosses val="autoZero"/>
        <c:auto val="1"/>
        <c:lblAlgn val="ctr"/>
        <c:lblOffset val="100"/>
        <c:noMultiLvlLbl val="0"/>
      </c:catAx>
      <c:valAx>
        <c:axId val="5573105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AU"/>
                  <a:t>Nitrate-nitrite (µg/L) ±SD</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9525" cap="flat" cmpd="sng" algn="ctr">
            <a:solidFill>
              <a:schemeClr val="bg1">
                <a:lumMod val="50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57310128"/>
        <c:crosses val="autoZero"/>
        <c:crossBetween val="between"/>
      </c:valAx>
      <c:spPr>
        <a:noFill/>
        <a:ln>
          <a:noFill/>
        </a:ln>
        <a:effectLst/>
      </c:spPr>
    </c:plotArea>
    <c:legend>
      <c:legendPos val="b"/>
      <c:layout>
        <c:manualLayout>
          <c:xMode val="edge"/>
          <c:yMode val="edge"/>
          <c:x val="0.52982254561753306"/>
          <c:y val="3.9613261799351651E-2"/>
          <c:w val="0.42165169616666048"/>
          <c:h val="8.056323669383760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sz="1000" b="0">
          <a:latin typeface="Arial" panose="020B0604020202020204" pitchFamily="34" charset="0"/>
          <a:cs typeface="Arial" panose="020B0604020202020204" pitchFamily="34" charset="0"/>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AU" sz="1000"/>
              <a:t>(a)</a:t>
            </a:r>
          </a:p>
        </c:rich>
      </c:tx>
      <c:layout>
        <c:manualLayout>
          <c:xMode val="edge"/>
          <c:yMode val="edge"/>
          <c:x val="1.0115861279363183E-3"/>
          <c:y val="3.7236644723353924E-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9326095188654591"/>
          <c:y val="0.11248657722889047"/>
          <c:w val="0.77052497586593727"/>
          <c:h val="0.79103632927554601"/>
        </c:manualLayout>
      </c:layout>
      <c:barChart>
        <c:barDir val="col"/>
        <c:grouping val="clustered"/>
        <c:varyColors val="0"/>
        <c:ser>
          <c:idx val="0"/>
          <c:order val="0"/>
          <c:tx>
            <c:strRef>
              <c:f>'Pivot fig 2'!$G$3</c:f>
              <c:strCache>
                <c:ptCount val="1"/>
                <c:pt idx="0">
                  <c:v>T1</c:v>
                </c:pt>
              </c:strCache>
            </c:strRef>
          </c:tx>
          <c:spPr>
            <a:solidFill>
              <a:schemeClr val="accent1">
                <a:tint val="58000"/>
              </a:schemeClr>
            </a:solidFill>
            <a:ln>
              <a:noFill/>
            </a:ln>
            <a:effectLst/>
          </c:spPr>
          <c:invertIfNegative val="0"/>
          <c:errBars>
            <c:errBarType val="plus"/>
            <c:errValType val="cust"/>
            <c:noEndCap val="0"/>
            <c:plus>
              <c:numRef>
                <c:f>'Pivot fig 2'!$G$14:$G$18</c:f>
                <c:numCache>
                  <c:formatCode>General</c:formatCode>
                  <c:ptCount val="5"/>
                  <c:pt idx="0">
                    <c:v>22.13563786446349</c:v>
                  </c:pt>
                  <c:pt idx="1">
                    <c:v>12.175722414530249</c:v>
                  </c:pt>
                  <c:pt idx="2">
                    <c:v>7.8726654515851822</c:v>
                  </c:pt>
                  <c:pt idx="3">
                    <c:v>9.0919618146918513</c:v>
                  </c:pt>
                </c:numCache>
              </c:numRef>
            </c:plus>
            <c:minus>
              <c:numLit>
                <c:formatCode>General</c:formatCode>
                <c:ptCount val="1"/>
                <c:pt idx="0">
                  <c:v>1</c:v>
                </c:pt>
              </c:numLit>
            </c:minus>
            <c:spPr>
              <a:noFill/>
              <a:ln w="9525" cap="flat" cmpd="sng" algn="ctr">
                <a:solidFill>
                  <a:schemeClr val="tx1">
                    <a:lumMod val="65000"/>
                    <a:lumOff val="35000"/>
                  </a:schemeClr>
                </a:solidFill>
                <a:prstDash val="solid"/>
                <a:round/>
              </a:ln>
              <a:effectLst/>
            </c:spPr>
          </c:errBars>
          <c:cat>
            <c:strRef>
              <c:f>'Pivot fig 2'!$B$4:$B$7</c:f>
              <c:strCache>
                <c:ptCount val="4"/>
                <c:pt idx="0">
                  <c:v>GIN</c:v>
                </c:pt>
                <c:pt idx="1">
                  <c:v>GW</c:v>
                </c:pt>
                <c:pt idx="2">
                  <c:v>ME</c:v>
                </c:pt>
                <c:pt idx="3">
                  <c:v>MO</c:v>
                </c:pt>
              </c:strCache>
            </c:strRef>
          </c:cat>
          <c:val>
            <c:numRef>
              <c:f>'Pivot fig 2'!$G$4:$G$7</c:f>
              <c:numCache>
                <c:formatCode>0.00</c:formatCode>
                <c:ptCount val="4"/>
                <c:pt idx="0">
                  <c:v>50.419252967439832</c:v>
                </c:pt>
                <c:pt idx="1">
                  <c:v>35.601850780946059</c:v>
                </c:pt>
                <c:pt idx="2">
                  <c:v>57.671153671164838</c:v>
                </c:pt>
                <c:pt idx="3">
                  <c:v>72.715888054012851</c:v>
                </c:pt>
              </c:numCache>
            </c:numRef>
          </c:val>
        </c:ser>
        <c:ser>
          <c:idx val="1"/>
          <c:order val="1"/>
          <c:tx>
            <c:strRef>
              <c:f>'Pivot fig 2'!$H$3</c:f>
              <c:strCache>
                <c:ptCount val="1"/>
                <c:pt idx="0">
                  <c:v>T2</c:v>
                </c:pt>
              </c:strCache>
            </c:strRef>
          </c:tx>
          <c:spPr>
            <a:solidFill>
              <a:schemeClr val="accent1">
                <a:tint val="86000"/>
              </a:schemeClr>
            </a:solidFill>
            <a:ln>
              <a:noFill/>
            </a:ln>
            <a:effectLst/>
          </c:spPr>
          <c:invertIfNegative val="0"/>
          <c:errBars>
            <c:errBarType val="plus"/>
            <c:errValType val="cust"/>
            <c:noEndCap val="0"/>
            <c:plus>
              <c:numRef>
                <c:f>'Pivot fig 2'!$H$14:$H$18</c:f>
                <c:numCache>
                  <c:formatCode>General</c:formatCode>
                  <c:ptCount val="5"/>
                  <c:pt idx="0">
                    <c:v>62.612896317110682</c:v>
                  </c:pt>
                  <c:pt idx="1">
                    <c:v>32.509433155178456</c:v>
                  </c:pt>
                  <c:pt idx="2">
                    <c:v>24.436332811077449</c:v>
                  </c:pt>
                  <c:pt idx="3">
                    <c:v>14.08424267880558</c:v>
                  </c:pt>
                </c:numCache>
              </c:numRef>
            </c:plus>
            <c:minus>
              <c:numRef>
                <c:f>'Pivot fig 2'!$H$14:$H$18</c:f>
                <c:numCache>
                  <c:formatCode>General</c:formatCode>
                  <c:ptCount val="5"/>
                  <c:pt idx="0">
                    <c:v>62.612896317110682</c:v>
                  </c:pt>
                  <c:pt idx="1">
                    <c:v>32.509433155178456</c:v>
                  </c:pt>
                  <c:pt idx="2">
                    <c:v>24.436332811077449</c:v>
                  </c:pt>
                  <c:pt idx="3">
                    <c:v>14.08424267880558</c:v>
                  </c:pt>
                </c:numCache>
              </c:numRef>
            </c:minus>
            <c:spPr>
              <a:noFill/>
              <a:ln w="9525" cap="flat" cmpd="sng" algn="ctr">
                <a:solidFill>
                  <a:schemeClr val="tx1">
                    <a:lumMod val="65000"/>
                    <a:lumOff val="35000"/>
                  </a:schemeClr>
                </a:solidFill>
                <a:prstDash val="solid"/>
                <a:round/>
              </a:ln>
              <a:effectLst/>
            </c:spPr>
          </c:errBars>
          <c:cat>
            <c:strRef>
              <c:f>'Pivot fig 2'!$B$4:$B$7</c:f>
              <c:strCache>
                <c:ptCount val="4"/>
                <c:pt idx="0">
                  <c:v>GIN</c:v>
                </c:pt>
                <c:pt idx="1">
                  <c:v>GW</c:v>
                </c:pt>
                <c:pt idx="2">
                  <c:v>ME</c:v>
                </c:pt>
                <c:pt idx="3">
                  <c:v>MO</c:v>
                </c:pt>
              </c:strCache>
            </c:strRef>
          </c:cat>
          <c:val>
            <c:numRef>
              <c:f>'Pivot fig 2'!$H$4:$H$7</c:f>
              <c:numCache>
                <c:formatCode>0.00</c:formatCode>
                <c:ptCount val="4"/>
                <c:pt idx="0">
                  <c:v>133.42157511581735</c:v>
                </c:pt>
                <c:pt idx="1">
                  <c:v>69.071255239355835</c:v>
                </c:pt>
                <c:pt idx="2">
                  <c:v>101.05890138980807</c:v>
                </c:pt>
                <c:pt idx="3">
                  <c:v>114.18486653430399</c:v>
                </c:pt>
              </c:numCache>
            </c:numRef>
          </c:val>
        </c:ser>
        <c:ser>
          <c:idx val="2"/>
          <c:order val="2"/>
          <c:tx>
            <c:strRef>
              <c:f>'Pivot fig 2'!$I$3</c:f>
              <c:strCache>
                <c:ptCount val="1"/>
                <c:pt idx="0">
                  <c:v>T3</c:v>
                </c:pt>
              </c:strCache>
            </c:strRef>
          </c:tx>
          <c:spPr>
            <a:solidFill>
              <a:schemeClr val="accent1">
                <a:shade val="86000"/>
              </a:schemeClr>
            </a:solidFill>
            <a:ln>
              <a:noFill/>
            </a:ln>
            <a:effectLst/>
          </c:spPr>
          <c:invertIfNegative val="0"/>
          <c:errBars>
            <c:errBarType val="plus"/>
            <c:errValType val="cust"/>
            <c:noEndCap val="0"/>
            <c:plus>
              <c:numRef>
                <c:f>'Pivot fig 2'!$I$14:$I$18</c:f>
                <c:numCache>
                  <c:formatCode>General</c:formatCode>
                  <c:ptCount val="5"/>
                  <c:pt idx="0">
                    <c:v>31.143268377796982</c:v>
                  </c:pt>
                  <c:pt idx="1">
                    <c:v>66.758140732238715</c:v>
                  </c:pt>
                  <c:pt idx="2">
                    <c:v>92.253701644874823</c:v>
                  </c:pt>
                  <c:pt idx="3">
                    <c:v>78.657149293642604</c:v>
                  </c:pt>
                </c:numCache>
              </c:numRef>
            </c:plus>
            <c:minus>
              <c:numRef>
                <c:f>'Pivot fig 2'!$I$14:$I$18</c:f>
                <c:numCache>
                  <c:formatCode>General</c:formatCode>
                  <c:ptCount val="5"/>
                  <c:pt idx="0">
                    <c:v>31.143268377796982</c:v>
                  </c:pt>
                  <c:pt idx="1">
                    <c:v>66.758140732238715</c:v>
                  </c:pt>
                  <c:pt idx="2">
                    <c:v>92.253701644874823</c:v>
                  </c:pt>
                  <c:pt idx="3">
                    <c:v>78.657149293642604</c:v>
                  </c:pt>
                </c:numCache>
              </c:numRef>
            </c:minus>
            <c:spPr>
              <a:noFill/>
              <a:ln w="9525" cap="flat" cmpd="sng" algn="ctr">
                <a:solidFill>
                  <a:schemeClr val="tx1">
                    <a:lumMod val="65000"/>
                    <a:lumOff val="35000"/>
                  </a:schemeClr>
                </a:solidFill>
                <a:prstDash val="solid"/>
                <a:round/>
              </a:ln>
              <a:effectLst/>
            </c:spPr>
          </c:errBars>
          <c:cat>
            <c:strRef>
              <c:f>'Pivot fig 2'!$B$4:$B$7</c:f>
              <c:strCache>
                <c:ptCount val="4"/>
                <c:pt idx="0">
                  <c:v>GIN</c:v>
                </c:pt>
                <c:pt idx="1">
                  <c:v>GW</c:v>
                </c:pt>
                <c:pt idx="2">
                  <c:v>ME</c:v>
                </c:pt>
                <c:pt idx="3">
                  <c:v>MO</c:v>
                </c:pt>
              </c:strCache>
            </c:strRef>
          </c:cat>
          <c:val>
            <c:numRef>
              <c:f>'Pivot fig 2'!$I$4:$I$7</c:f>
              <c:numCache>
                <c:formatCode>0.00</c:formatCode>
                <c:ptCount val="4"/>
                <c:pt idx="0">
                  <c:v>175.44318512060445</c:v>
                </c:pt>
                <c:pt idx="1">
                  <c:v>179.33740191804711</c:v>
                </c:pt>
                <c:pt idx="2">
                  <c:v>358.96541702993318</c:v>
                </c:pt>
                <c:pt idx="3">
                  <c:v>300.1162452775356</c:v>
                </c:pt>
              </c:numCache>
            </c:numRef>
          </c:val>
        </c:ser>
        <c:ser>
          <c:idx val="3"/>
          <c:order val="3"/>
          <c:tx>
            <c:strRef>
              <c:f>'Pivot fig 2'!$J$3</c:f>
              <c:strCache>
                <c:ptCount val="1"/>
                <c:pt idx="0">
                  <c:v>T4</c:v>
                </c:pt>
              </c:strCache>
            </c:strRef>
          </c:tx>
          <c:spPr>
            <a:solidFill>
              <a:schemeClr val="accent1">
                <a:shade val="58000"/>
              </a:schemeClr>
            </a:solidFill>
            <a:ln>
              <a:noFill/>
            </a:ln>
            <a:effectLst/>
          </c:spPr>
          <c:invertIfNegative val="0"/>
          <c:errBars>
            <c:errBarType val="plus"/>
            <c:errValType val="cust"/>
            <c:noEndCap val="0"/>
            <c:plus>
              <c:numRef>
                <c:f>'Pivot fig 2'!$J$13:$J$18</c:f>
                <c:numCache>
                  <c:formatCode>General</c:formatCode>
                  <c:ptCount val="6"/>
                  <c:pt idx="0">
                    <c:v>8</c:v>
                  </c:pt>
                  <c:pt idx="1">
                    <c:v>28.09933378820357</c:v>
                  </c:pt>
                  <c:pt idx="2">
                    <c:v>27.535939180607294</c:v>
                  </c:pt>
                  <c:pt idx="3">
                    <c:v>30.590004845218065</c:v>
                  </c:pt>
                  <c:pt idx="4">
                    <c:v>46.880428223200205</c:v>
                  </c:pt>
                </c:numCache>
              </c:numRef>
            </c:plus>
            <c:minus>
              <c:numLit>
                <c:formatCode>General</c:formatCode>
                <c:ptCount val="1"/>
                <c:pt idx="0">
                  <c:v>1</c:v>
                </c:pt>
              </c:numLit>
            </c:minus>
            <c:spPr>
              <a:noFill/>
              <a:ln w="9525" cap="flat" cmpd="sng" algn="ctr">
                <a:solidFill>
                  <a:schemeClr val="tx1">
                    <a:lumMod val="65000"/>
                    <a:lumOff val="35000"/>
                  </a:schemeClr>
                </a:solidFill>
                <a:prstDash val="solid"/>
                <a:round/>
              </a:ln>
              <a:effectLst/>
            </c:spPr>
          </c:errBars>
          <c:cat>
            <c:strRef>
              <c:f>'Pivot fig 2'!$B$4:$B$7</c:f>
              <c:strCache>
                <c:ptCount val="4"/>
                <c:pt idx="0">
                  <c:v>GIN</c:v>
                </c:pt>
                <c:pt idx="1">
                  <c:v>GW</c:v>
                </c:pt>
                <c:pt idx="2">
                  <c:v>ME</c:v>
                </c:pt>
                <c:pt idx="3">
                  <c:v>MO</c:v>
                </c:pt>
              </c:strCache>
            </c:strRef>
          </c:cat>
          <c:val>
            <c:numRef>
              <c:f>'Pivot fig 2'!$J$4:$J$7</c:f>
              <c:numCache>
                <c:formatCode>0.00</c:formatCode>
                <c:ptCount val="4"/>
                <c:pt idx="0">
                  <c:v>163.60408094244968</c:v>
                </c:pt>
                <c:pt idx="1">
                  <c:v>186.31982413618172</c:v>
                </c:pt>
                <c:pt idx="2">
                  <c:v>91.727260770719411</c:v>
                </c:pt>
                <c:pt idx="3">
                  <c:v>163.78257520245006</c:v>
                </c:pt>
              </c:numCache>
            </c:numRef>
          </c:val>
        </c:ser>
        <c:dLbls>
          <c:showLegendKey val="0"/>
          <c:showVal val="0"/>
          <c:showCatName val="0"/>
          <c:showSerName val="0"/>
          <c:showPercent val="0"/>
          <c:showBubbleSize val="0"/>
        </c:dLbls>
        <c:gapWidth val="219"/>
        <c:overlap val="-27"/>
        <c:axId val="661280928"/>
        <c:axId val="661281320"/>
      </c:barChart>
      <c:catAx>
        <c:axId val="661280928"/>
        <c:scaling>
          <c:orientation val="minMax"/>
        </c:scaling>
        <c:delete val="0"/>
        <c:axPos val="b"/>
        <c:numFmt formatCode="General" sourceLinked="1"/>
        <c:majorTickMark val="out"/>
        <c:minorTickMark val="none"/>
        <c:tickLblPos val="nextTo"/>
        <c:spPr>
          <a:noFill/>
          <a:ln w="9525" cap="flat" cmpd="sng" algn="ctr">
            <a:solidFill>
              <a:sysClr val="window" lastClr="FFFFFF">
                <a:lumMod val="50000"/>
              </a:sys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61281320"/>
        <c:crosses val="autoZero"/>
        <c:auto val="1"/>
        <c:lblAlgn val="ctr"/>
        <c:lblOffset val="100"/>
        <c:noMultiLvlLbl val="0"/>
      </c:catAx>
      <c:valAx>
        <c:axId val="6612813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AU"/>
                  <a:t>Total Phosphorus (µg/L) ±SD</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9525" cap="flat" cmpd="sng" algn="ctr">
            <a:solidFill>
              <a:sysClr val="window" lastClr="FFFFFF">
                <a:lumMod val="50000"/>
              </a:sys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61280928"/>
        <c:crosses val="autoZero"/>
        <c:crossBetween val="between"/>
      </c:valAx>
      <c:spPr>
        <a:noFill/>
        <a:ln>
          <a:noFill/>
        </a:ln>
        <a:effectLst/>
      </c:spPr>
    </c:plotArea>
    <c:legend>
      <c:legendPos val="b"/>
      <c:layout>
        <c:manualLayout>
          <c:xMode val="edge"/>
          <c:yMode val="edge"/>
          <c:x val="0.49828208141401609"/>
          <c:y val="2.9301325733355262E-2"/>
          <c:w val="0.47125548683249102"/>
          <c:h val="8.056323669383760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b="0">
          <a:latin typeface="Arial" panose="020B0604020202020204" pitchFamily="34"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442840708338406"/>
          <c:y val="3.7667581628632298E-2"/>
          <c:w val="0.85687976286018841"/>
          <c:h val="0.64999593127580024"/>
        </c:manualLayout>
      </c:layout>
      <c:lineChart>
        <c:grouping val="standard"/>
        <c:varyColors val="0"/>
        <c:ser>
          <c:idx val="0"/>
          <c:order val="0"/>
          <c:tx>
            <c:strRef>
              <c:f>'Lower Gwydir'!$B$1</c:f>
              <c:strCache>
                <c:ptCount val="1"/>
                <c:pt idx="0">
                  <c:v>418063 - Gwydir @ DS Tyreel</c:v>
                </c:pt>
              </c:strCache>
            </c:strRef>
          </c:tx>
          <c:spPr>
            <a:ln>
              <a:solidFill>
                <a:srgbClr val="FF0000"/>
              </a:solidFill>
              <a:prstDash val="sysDash"/>
            </a:ln>
          </c:spPr>
          <c:marker>
            <c:symbol val="none"/>
          </c:marker>
          <c:cat>
            <c:numRef>
              <c:f>'Lower Gwydir'!$A$5:$A$370</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'Lower Gwydir'!$B$5:$B$370</c:f>
              <c:numCache>
                <c:formatCode>General</c:formatCode>
                <c:ptCount val="366"/>
                <c:pt idx="0">
                  <c:v>121.599</c:v>
                </c:pt>
                <c:pt idx="1">
                  <c:v>105.94799999999999</c:v>
                </c:pt>
                <c:pt idx="2">
                  <c:v>97.42</c:v>
                </c:pt>
                <c:pt idx="3">
                  <c:v>90.972999999999999</c:v>
                </c:pt>
                <c:pt idx="4">
                  <c:v>84.900999999999996</c:v>
                </c:pt>
                <c:pt idx="5">
                  <c:v>72.600999999999999</c:v>
                </c:pt>
                <c:pt idx="6">
                  <c:v>65.123999999999995</c:v>
                </c:pt>
                <c:pt idx="7">
                  <c:v>65.302999999999997</c:v>
                </c:pt>
                <c:pt idx="8">
                  <c:v>64.816999999999993</c:v>
                </c:pt>
                <c:pt idx="9">
                  <c:v>64.698999999999998</c:v>
                </c:pt>
                <c:pt idx="10">
                  <c:v>64.814999999999998</c:v>
                </c:pt>
                <c:pt idx="11">
                  <c:v>64.64</c:v>
                </c:pt>
                <c:pt idx="12">
                  <c:v>65</c:v>
                </c:pt>
                <c:pt idx="13">
                  <c:v>63.313000000000002</c:v>
                </c:pt>
                <c:pt idx="14">
                  <c:v>63.191000000000003</c:v>
                </c:pt>
                <c:pt idx="15">
                  <c:v>63.195999999999998</c:v>
                </c:pt>
                <c:pt idx="16">
                  <c:v>63.311999999999998</c:v>
                </c:pt>
                <c:pt idx="17">
                  <c:v>63.734000000000002</c:v>
                </c:pt>
                <c:pt idx="18">
                  <c:v>64.034999999999997</c:v>
                </c:pt>
                <c:pt idx="19">
                  <c:v>64.010999999999996</c:v>
                </c:pt>
                <c:pt idx="20">
                  <c:v>236.76400000000001</c:v>
                </c:pt>
                <c:pt idx="21">
                  <c:v>60.938000000000002</c:v>
                </c:pt>
                <c:pt idx="22">
                  <c:v>25.596</c:v>
                </c:pt>
                <c:pt idx="23">
                  <c:v>3.2160000000000002</c:v>
                </c:pt>
                <c:pt idx="24">
                  <c:v>69.578000000000003</c:v>
                </c:pt>
                <c:pt idx="25">
                  <c:v>328.803</c:v>
                </c:pt>
                <c:pt idx="26">
                  <c:v>1338.82</c:v>
                </c:pt>
                <c:pt idx="27">
                  <c:v>883.91300000000001</c:v>
                </c:pt>
                <c:pt idx="28">
                  <c:v>653.63599999999997</c:v>
                </c:pt>
                <c:pt idx="29">
                  <c:v>488.56200000000001</c:v>
                </c:pt>
                <c:pt idx="30">
                  <c:v>323.017</c:v>
                </c:pt>
                <c:pt idx="31">
                  <c:v>313.86700000000002</c:v>
                </c:pt>
                <c:pt idx="32">
                  <c:v>289.49099999999999</c:v>
                </c:pt>
                <c:pt idx="33">
                  <c:v>234.77600000000001</c:v>
                </c:pt>
                <c:pt idx="34">
                  <c:v>173.667</c:v>
                </c:pt>
                <c:pt idx="35">
                  <c:v>118.19799999999999</c:v>
                </c:pt>
                <c:pt idx="36">
                  <c:v>98.983999999999995</c:v>
                </c:pt>
                <c:pt idx="37">
                  <c:v>85.998000000000005</c:v>
                </c:pt>
                <c:pt idx="38">
                  <c:v>68.914000000000001</c:v>
                </c:pt>
                <c:pt idx="39">
                  <c:v>64.515000000000001</c:v>
                </c:pt>
                <c:pt idx="40">
                  <c:v>64.209999999999994</c:v>
                </c:pt>
                <c:pt idx="41">
                  <c:v>63.853999999999999</c:v>
                </c:pt>
                <c:pt idx="42">
                  <c:v>63.911999999999999</c:v>
                </c:pt>
                <c:pt idx="43">
                  <c:v>64.097999999999999</c:v>
                </c:pt>
                <c:pt idx="44">
                  <c:v>64.94</c:v>
                </c:pt>
                <c:pt idx="45">
                  <c:v>65.003</c:v>
                </c:pt>
                <c:pt idx="46">
                  <c:v>65.364000000000004</c:v>
                </c:pt>
                <c:pt idx="47">
                  <c:v>64.754999999999995</c:v>
                </c:pt>
                <c:pt idx="48">
                  <c:v>57.573</c:v>
                </c:pt>
                <c:pt idx="49">
                  <c:v>54.027999999999999</c:v>
                </c:pt>
                <c:pt idx="50">
                  <c:v>53.216999999999999</c:v>
                </c:pt>
                <c:pt idx="51">
                  <c:v>51.280999999999999</c:v>
                </c:pt>
                <c:pt idx="52">
                  <c:v>41.027000000000001</c:v>
                </c:pt>
                <c:pt idx="53">
                  <c:v>34.97</c:v>
                </c:pt>
                <c:pt idx="54">
                  <c:v>29.486000000000001</c:v>
                </c:pt>
                <c:pt idx="55">
                  <c:v>26.754999999999999</c:v>
                </c:pt>
                <c:pt idx="56">
                  <c:v>572.53399999999999</c:v>
                </c:pt>
                <c:pt idx="57">
                  <c:v>1129.2190000000001</c:v>
                </c:pt>
                <c:pt idx="58">
                  <c:v>674.69500000000005</c:v>
                </c:pt>
                <c:pt idx="59">
                  <c:v>652.91999999999996</c:v>
                </c:pt>
                <c:pt idx="60">
                  <c:v>606.101</c:v>
                </c:pt>
                <c:pt idx="61">
                  <c:v>541.59400000000005</c:v>
                </c:pt>
                <c:pt idx="62">
                  <c:v>461.572</c:v>
                </c:pt>
                <c:pt idx="63">
                  <c:v>334.88</c:v>
                </c:pt>
                <c:pt idx="64">
                  <c:v>254.39400000000001</c:v>
                </c:pt>
                <c:pt idx="65">
                  <c:v>226.02799999999999</c:v>
                </c:pt>
                <c:pt idx="66">
                  <c:v>198.435</c:v>
                </c:pt>
                <c:pt idx="67">
                  <c:v>197.33500000000001</c:v>
                </c:pt>
                <c:pt idx="68">
                  <c:v>196.83</c:v>
                </c:pt>
                <c:pt idx="69">
                  <c:v>181.41300000000001</c:v>
                </c:pt>
                <c:pt idx="70">
                  <c:v>154.964</c:v>
                </c:pt>
                <c:pt idx="71">
                  <c:v>149.124</c:v>
                </c:pt>
                <c:pt idx="72">
                  <c:v>148.71199999999999</c:v>
                </c:pt>
                <c:pt idx="73">
                  <c:v>136.42099999999999</c:v>
                </c:pt>
                <c:pt idx="74">
                  <c:v>102.11799999999999</c:v>
                </c:pt>
                <c:pt idx="75">
                  <c:v>96.290999999999997</c:v>
                </c:pt>
                <c:pt idx="76">
                  <c:v>86.236999999999995</c:v>
                </c:pt>
                <c:pt idx="77">
                  <c:v>73.034000000000006</c:v>
                </c:pt>
                <c:pt idx="78">
                  <c:v>72.825000000000003</c:v>
                </c:pt>
                <c:pt idx="79">
                  <c:v>71.745000000000005</c:v>
                </c:pt>
                <c:pt idx="80">
                  <c:v>58.591000000000001</c:v>
                </c:pt>
                <c:pt idx="81">
                  <c:v>49.722999999999999</c:v>
                </c:pt>
                <c:pt idx="82">
                  <c:v>49.642000000000003</c:v>
                </c:pt>
                <c:pt idx="83">
                  <c:v>49.478000000000002</c:v>
                </c:pt>
                <c:pt idx="84">
                  <c:v>49.457999999999998</c:v>
                </c:pt>
                <c:pt idx="85">
                  <c:v>43.692999999999998</c:v>
                </c:pt>
                <c:pt idx="86">
                  <c:v>33.061999999999998</c:v>
                </c:pt>
                <c:pt idx="87">
                  <c:v>32.759</c:v>
                </c:pt>
                <c:pt idx="88">
                  <c:v>32.122</c:v>
                </c:pt>
                <c:pt idx="89">
                  <c:v>30.707999999999998</c:v>
                </c:pt>
                <c:pt idx="90">
                  <c:v>27.100999999999999</c:v>
                </c:pt>
                <c:pt idx="91">
                  <c:v>23.393999999999998</c:v>
                </c:pt>
                <c:pt idx="92">
                  <c:v>23.2</c:v>
                </c:pt>
                <c:pt idx="93">
                  <c:v>22.994</c:v>
                </c:pt>
                <c:pt idx="94">
                  <c:v>21.571999999999999</c:v>
                </c:pt>
                <c:pt idx="95">
                  <c:v>18.664000000000001</c:v>
                </c:pt>
                <c:pt idx="96">
                  <c:v>17.55</c:v>
                </c:pt>
                <c:pt idx="97">
                  <c:v>16.265999999999998</c:v>
                </c:pt>
                <c:pt idx="98">
                  <c:v>15.603999999999999</c:v>
                </c:pt>
                <c:pt idx="99">
                  <c:v>15.678000000000001</c:v>
                </c:pt>
                <c:pt idx="100">
                  <c:v>15.425000000000001</c:v>
                </c:pt>
                <c:pt idx="101">
                  <c:v>15.282999999999999</c:v>
                </c:pt>
                <c:pt idx="102">
                  <c:v>15.102</c:v>
                </c:pt>
                <c:pt idx="103">
                  <c:v>14.991</c:v>
                </c:pt>
                <c:pt idx="104">
                  <c:v>14.692</c:v>
                </c:pt>
                <c:pt idx="105">
                  <c:v>14.420999999999999</c:v>
                </c:pt>
                <c:pt idx="106">
                  <c:v>14.396000000000001</c:v>
                </c:pt>
                <c:pt idx="107">
                  <c:v>14.475</c:v>
                </c:pt>
                <c:pt idx="108">
                  <c:v>15.843999999999999</c:v>
                </c:pt>
                <c:pt idx="109">
                  <c:v>16.614999999999998</c:v>
                </c:pt>
                <c:pt idx="110">
                  <c:v>17.064</c:v>
                </c:pt>
                <c:pt idx="111">
                  <c:v>17.13</c:v>
                </c:pt>
                <c:pt idx="112">
                  <c:v>17.183</c:v>
                </c:pt>
                <c:pt idx="113">
                  <c:v>17.106000000000002</c:v>
                </c:pt>
                <c:pt idx="114">
                  <c:v>17.402000000000001</c:v>
                </c:pt>
                <c:pt idx="115">
                  <c:v>17.879000000000001</c:v>
                </c:pt>
                <c:pt idx="116">
                  <c:v>18.795999999999999</c:v>
                </c:pt>
                <c:pt idx="117">
                  <c:v>15.917</c:v>
                </c:pt>
                <c:pt idx="118">
                  <c:v>11.531000000000001</c:v>
                </c:pt>
                <c:pt idx="119">
                  <c:v>11.141</c:v>
                </c:pt>
                <c:pt idx="120">
                  <c:v>10.785</c:v>
                </c:pt>
                <c:pt idx="121">
                  <c:v>10.859</c:v>
                </c:pt>
                <c:pt idx="122">
                  <c:v>10.734</c:v>
                </c:pt>
                <c:pt idx="123">
                  <c:v>10.516</c:v>
                </c:pt>
                <c:pt idx="124">
                  <c:v>10.257</c:v>
                </c:pt>
                <c:pt idx="125">
                  <c:v>10.519</c:v>
                </c:pt>
                <c:pt idx="126">
                  <c:v>10.548</c:v>
                </c:pt>
                <c:pt idx="127">
                  <c:v>10.304</c:v>
                </c:pt>
                <c:pt idx="128">
                  <c:v>10.237</c:v>
                </c:pt>
                <c:pt idx="129">
                  <c:v>376.024</c:v>
                </c:pt>
                <c:pt idx="130">
                  <c:v>973.81899999999996</c:v>
                </c:pt>
                <c:pt idx="131">
                  <c:v>374.23</c:v>
                </c:pt>
                <c:pt idx="132">
                  <c:v>374.37</c:v>
                </c:pt>
                <c:pt idx="133">
                  <c:v>370.62099999999998</c:v>
                </c:pt>
                <c:pt idx="134">
                  <c:v>216.291</c:v>
                </c:pt>
                <c:pt idx="135">
                  <c:v>126.83199999999999</c:v>
                </c:pt>
                <c:pt idx="136">
                  <c:v>117.343</c:v>
                </c:pt>
                <c:pt idx="137">
                  <c:v>73.715000000000003</c:v>
                </c:pt>
                <c:pt idx="138">
                  <c:v>54.271999999999998</c:v>
                </c:pt>
                <c:pt idx="139">
                  <c:v>53.603999999999999</c:v>
                </c:pt>
                <c:pt idx="140">
                  <c:v>38.716999999999999</c:v>
                </c:pt>
                <c:pt idx="141">
                  <c:v>15.996</c:v>
                </c:pt>
                <c:pt idx="142">
                  <c:v>107.727</c:v>
                </c:pt>
                <c:pt idx="143">
                  <c:v>127.325</c:v>
                </c:pt>
                <c:pt idx="144">
                  <c:v>73.995999999999995</c:v>
                </c:pt>
                <c:pt idx="145">
                  <c:v>47.418999999999997</c:v>
                </c:pt>
                <c:pt idx="146">
                  <c:v>28.649000000000001</c:v>
                </c:pt>
                <c:pt idx="147">
                  <c:v>20.539000000000001</c:v>
                </c:pt>
                <c:pt idx="148">
                  <c:v>15.991</c:v>
                </c:pt>
                <c:pt idx="149">
                  <c:v>9.8940000000000001</c:v>
                </c:pt>
                <c:pt idx="150">
                  <c:v>7.5540000000000003</c:v>
                </c:pt>
                <c:pt idx="151">
                  <c:v>7.5460000000000003</c:v>
                </c:pt>
                <c:pt idx="152">
                  <c:v>7.5919999999999996</c:v>
                </c:pt>
                <c:pt idx="153">
                  <c:v>7.62</c:v>
                </c:pt>
                <c:pt idx="154">
                  <c:v>7.5129999999999999</c:v>
                </c:pt>
                <c:pt idx="155">
                  <c:v>6.97</c:v>
                </c:pt>
                <c:pt idx="156">
                  <c:v>6.8879999999999999</c:v>
                </c:pt>
                <c:pt idx="157">
                  <c:v>6.5880000000000001</c:v>
                </c:pt>
                <c:pt idx="158">
                  <c:v>6.5049999999999999</c:v>
                </c:pt>
                <c:pt idx="159">
                  <c:v>6.4509999999999996</c:v>
                </c:pt>
                <c:pt idx="160">
                  <c:v>6.431</c:v>
                </c:pt>
                <c:pt idx="161">
                  <c:v>168.06100000000001</c:v>
                </c:pt>
                <c:pt idx="162">
                  <c:v>169.07900000000001</c:v>
                </c:pt>
                <c:pt idx="163">
                  <c:v>153.90899999999999</c:v>
                </c:pt>
                <c:pt idx="164">
                  <c:v>112.31699999999999</c:v>
                </c:pt>
                <c:pt idx="165">
                  <c:v>40.238999999999997</c:v>
                </c:pt>
                <c:pt idx="166">
                  <c:v>16.353000000000002</c:v>
                </c:pt>
                <c:pt idx="167">
                  <c:v>15.648999999999999</c:v>
                </c:pt>
                <c:pt idx="168">
                  <c:v>82.61</c:v>
                </c:pt>
                <c:pt idx="169">
                  <c:v>148.119</c:v>
                </c:pt>
                <c:pt idx="170">
                  <c:v>153.84800000000001</c:v>
                </c:pt>
                <c:pt idx="171">
                  <c:v>176.39599999999999</c:v>
                </c:pt>
                <c:pt idx="172">
                  <c:v>202.744</c:v>
                </c:pt>
                <c:pt idx="173">
                  <c:v>233.35300000000001</c:v>
                </c:pt>
                <c:pt idx="174">
                  <c:v>242.934</c:v>
                </c:pt>
                <c:pt idx="175">
                  <c:v>166.036</c:v>
                </c:pt>
                <c:pt idx="176">
                  <c:v>155.63800000000001</c:v>
                </c:pt>
                <c:pt idx="177">
                  <c:v>155.85499999999999</c:v>
                </c:pt>
                <c:pt idx="178">
                  <c:v>149.72800000000001</c:v>
                </c:pt>
                <c:pt idx="179">
                  <c:v>118.402</c:v>
                </c:pt>
                <c:pt idx="180">
                  <c:v>168.48</c:v>
                </c:pt>
                <c:pt idx="181">
                  <c:v>167.38300000000001</c:v>
                </c:pt>
                <c:pt idx="182">
                  <c:v>206.422</c:v>
                </c:pt>
                <c:pt idx="183">
                  <c:v>251.96600000000001</c:v>
                </c:pt>
                <c:pt idx="184">
                  <c:v>185.90700000000001</c:v>
                </c:pt>
                <c:pt idx="185">
                  <c:v>146.50299999999999</c:v>
                </c:pt>
                <c:pt idx="186">
                  <c:v>218.27099999999999</c:v>
                </c:pt>
                <c:pt idx="187">
                  <c:v>222.738</c:v>
                </c:pt>
                <c:pt idx="188">
                  <c:v>210.89</c:v>
                </c:pt>
                <c:pt idx="189">
                  <c:v>194.98500000000001</c:v>
                </c:pt>
                <c:pt idx="190">
                  <c:v>527.49699999999996</c:v>
                </c:pt>
                <c:pt idx="191">
                  <c:v>994.04200000000003</c:v>
                </c:pt>
                <c:pt idx="192">
                  <c:v>652.14300000000003</c:v>
                </c:pt>
                <c:pt idx="193">
                  <c:v>350.52800000000002</c:v>
                </c:pt>
                <c:pt idx="194">
                  <c:v>294.05900000000003</c:v>
                </c:pt>
                <c:pt idx="195">
                  <c:v>255.04400000000001</c:v>
                </c:pt>
                <c:pt idx="196">
                  <c:v>175.45</c:v>
                </c:pt>
                <c:pt idx="197">
                  <c:v>133.68100000000001</c:v>
                </c:pt>
                <c:pt idx="198">
                  <c:v>94.278000000000006</c:v>
                </c:pt>
                <c:pt idx="199">
                  <c:v>54.277000000000001</c:v>
                </c:pt>
                <c:pt idx="200">
                  <c:v>38.759</c:v>
                </c:pt>
                <c:pt idx="201">
                  <c:v>41.563000000000002</c:v>
                </c:pt>
                <c:pt idx="202">
                  <c:v>39.863</c:v>
                </c:pt>
                <c:pt idx="203">
                  <c:v>29.318999999999999</c:v>
                </c:pt>
                <c:pt idx="204">
                  <c:v>25.327999999999999</c:v>
                </c:pt>
                <c:pt idx="205">
                  <c:v>23.619</c:v>
                </c:pt>
                <c:pt idx="206">
                  <c:v>24.277000000000001</c:v>
                </c:pt>
                <c:pt idx="207">
                  <c:v>136.876</c:v>
                </c:pt>
                <c:pt idx="208">
                  <c:v>275.96600000000001</c:v>
                </c:pt>
                <c:pt idx="209">
                  <c:v>260.11099999999999</c:v>
                </c:pt>
                <c:pt idx="210">
                  <c:v>250.661</c:v>
                </c:pt>
                <c:pt idx="211">
                  <c:v>243.03700000000001</c:v>
                </c:pt>
                <c:pt idx="212">
                  <c:v>242.62700000000001</c:v>
                </c:pt>
                <c:pt idx="213">
                  <c:v>188.62899999999999</c:v>
                </c:pt>
                <c:pt idx="214">
                  <c:v>118.062</c:v>
                </c:pt>
                <c:pt idx="215">
                  <c:v>196.262</c:v>
                </c:pt>
                <c:pt idx="216">
                  <c:v>339.52199999999999</c:v>
                </c:pt>
                <c:pt idx="217">
                  <c:v>105.733</c:v>
                </c:pt>
                <c:pt idx="218">
                  <c:v>103.79300000000001</c:v>
                </c:pt>
                <c:pt idx="219">
                  <c:v>103.95699999999999</c:v>
                </c:pt>
                <c:pt idx="220">
                  <c:v>166.262</c:v>
                </c:pt>
                <c:pt idx="221">
                  <c:v>302.14999999999998</c:v>
                </c:pt>
                <c:pt idx="222">
                  <c:v>291.34199999999998</c:v>
                </c:pt>
                <c:pt idx="223">
                  <c:v>97.242999999999995</c:v>
                </c:pt>
                <c:pt idx="224">
                  <c:v>55.021000000000001</c:v>
                </c:pt>
                <c:pt idx="225">
                  <c:v>33.243000000000002</c:v>
                </c:pt>
                <c:pt idx="226">
                  <c:v>9.56</c:v>
                </c:pt>
                <c:pt idx="227">
                  <c:v>9.2289999999999992</c:v>
                </c:pt>
                <c:pt idx="228">
                  <c:v>8.8539999999999992</c:v>
                </c:pt>
                <c:pt idx="229">
                  <c:v>8.56</c:v>
                </c:pt>
                <c:pt idx="230">
                  <c:v>5.14</c:v>
                </c:pt>
                <c:pt idx="231">
                  <c:v>3.0089999999999999</c:v>
                </c:pt>
                <c:pt idx="232">
                  <c:v>2.9359999999999999</c:v>
                </c:pt>
                <c:pt idx="233">
                  <c:v>2.8580000000000001</c:v>
                </c:pt>
                <c:pt idx="234">
                  <c:v>2.8</c:v>
                </c:pt>
                <c:pt idx="235">
                  <c:v>2.6339999999999999</c:v>
                </c:pt>
                <c:pt idx="236">
                  <c:v>2.528</c:v>
                </c:pt>
                <c:pt idx="237">
                  <c:v>2.34</c:v>
                </c:pt>
                <c:pt idx="238">
                  <c:v>2.3109999999999999</c:v>
                </c:pt>
                <c:pt idx="239">
                  <c:v>2.2490000000000001</c:v>
                </c:pt>
                <c:pt idx="240">
                  <c:v>2.1789999999999998</c:v>
                </c:pt>
                <c:pt idx="241">
                  <c:v>2.1179999999999999</c:v>
                </c:pt>
                <c:pt idx="242">
                  <c:v>2.2050000000000001</c:v>
                </c:pt>
                <c:pt idx="243">
                  <c:v>2.2480000000000002</c:v>
                </c:pt>
                <c:pt idx="244">
                  <c:v>2.319</c:v>
                </c:pt>
                <c:pt idx="245">
                  <c:v>2.1240000000000001</c:v>
                </c:pt>
                <c:pt idx="246">
                  <c:v>1.9650000000000001</c:v>
                </c:pt>
                <c:pt idx="247">
                  <c:v>1.9570000000000001</c:v>
                </c:pt>
                <c:pt idx="248">
                  <c:v>2.0449999999999999</c:v>
                </c:pt>
                <c:pt idx="249">
                  <c:v>1.9970000000000001</c:v>
                </c:pt>
                <c:pt idx="250">
                  <c:v>1.9410000000000001</c:v>
                </c:pt>
                <c:pt idx="251">
                  <c:v>1.97</c:v>
                </c:pt>
                <c:pt idx="252">
                  <c:v>1.93</c:v>
                </c:pt>
                <c:pt idx="253">
                  <c:v>1.885</c:v>
                </c:pt>
                <c:pt idx="254">
                  <c:v>1.853</c:v>
                </c:pt>
                <c:pt idx="255">
                  <c:v>1.796</c:v>
                </c:pt>
                <c:pt idx="256">
                  <c:v>1.756</c:v>
                </c:pt>
                <c:pt idx="257">
                  <c:v>1.776</c:v>
                </c:pt>
                <c:pt idx="258">
                  <c:v>1.7829999999999999</c:v>
                </c:pt>
                <c:pt idx="259">
                  <c:v>1.7989999999999999</c:v>
                </c:pt>
                <c:pt idx="260">
                  <c:v>1.7849999999999999</c:v>
                </c:pt>
                <c:pt idx="261">
                  <c:v>1.82</c:v>
                </c:pt>
                <c:pt idx="262">
                  <c:v>1.758</c:v>
                </c:pt>
                <c:pt idx="263">
                  <c:v>1.756</c:v>
                </c:pt>
                <c:pt idx="264">
                  <c:v>1.746</c:v>
                </c:pt>
                <c:pt idx="265">
                  <c:v>1.744</c:v>
                </c:pt>
                <c:pt idx="266">
                  <c:v>1.746</c:v>
                </c:pt>
                <c:pt idx="267">
                  <c:v>1.7390000000000001</c:v>
                </c:pt>
                <c:pt idx="268">
                  <c:v>1.7470000000000001</c:v>
                </c:pt>
                <c:pt idx="269">
                  <c:v>1.55</c:v>
                </c:pt>
                <c:pt idx="270">
                  <c:v>1.18</c:v>
                </c:pt>
                <c:pt idx="271">
                  <c:v>1.1850000000000001</c:v>
                </c:pt>
                <c:pt idx="272">
                  <c:v>1.2090000000000001</c:v>
                </c:pt>
                <c:pt idx="273">
                  <c:v>1.1879999999999999</c:v>
                </c:pt>
                <c:pt idx="274">
                  <c:v>1.2290000000000001</c:v>
                </c:pt>
                <c:pt idx="275">
                  <c:v>1.2210000000000001</c:v>
                </c:pt>
                <c:pt idx="276">
                  <c:v>1.165</c:v>
                </c:pt>
                <c:pt idx="277">
                  <c:v>1.177</c:v>
                </c:pt>
                <c:pt idx="278">
                  <c:v>1.1739999999999999</c:v>
                </c:pt>
                <c:pt idx="279">
                  <c:v>1.1859999999999999</c:v>
                </c:pt>
                <c:pt idx="280">
                  <c:v>1.1839999999999999</c:v>
                </c:pt>
                <c:pt idx="281">
                  <c:v>1.274</c:v>
                </c:pt>
                <c:pt idx="282">
                  <c:v>1.3220000000000001</c:v>
                </c:pt>
                <c:pt idx="283">
                  <c:v>1.31</c:v>
                </c:pt>
                <c:pt idx="284">
                  <c:v>1.2450000000000001</c:v>
                </c:pt>
                <c:pt idx="285">
                  <c:v>1.3520000000000001</c:v>
                </c:pt>
                <c:pt idx="286">
                  <c:v>1.353</c:v>
                </c:pt>
                <c:pt idx="287">
                  <c:v>1.333</c:v>
                </c:pt>
                <c:pt idx="288">
                  <c:v>1.3520000000000001</c:v>
                </c:pt>
                <c:pt idx="289">
                  <c:v>1.4259999999999999</c:v>
                </c:pt>
                <c:pt idx="290">
                  <c:v>3.2440000000000002</c:v>
                </c:pt>
                <c:pt idx="291">
                  <c:v>7.0449999999999999</c:v>
                </c:pt>
                <c:pt idx="292">
                  <c:v>6.6470000000000002</c:v>
                </c:pt>
                <c:pt idx="293">
                  <c:v>6.444</c:v>
                </c:pt>
                <c:pt idx="294">
                  <c:v>6.327</c:v>
                </c:pt>
                <c:pt idx="295">
                  <c:v>6.2629999999999999</c:v>
                </c:pt>
                <c:pt idx="296">
                  <c:v>5.2229999999999999</c:v>
                </c:pt>
                <c:pt idx="297">
                  <c:v>2.5019999999999998</c:v>
                </c:pt>
                <c:pt idx="298">
                  <c:v>3.5720000000000001</c:v>
                </c:pt>
                <c:pt idx="299">
                  <c:v>5.78</c:v>
                </c:pt>
                <c:pt idx="300">
                  <c:v>11.827</c:v>
                </c:pt>
                <c:pt idx="301">
                  <c:v>15.189</c:v>
                </c:pt>
                <c:pt idx="302">
                  <c:v>14.076000000000001</c:v>
                </c:pt>
                <c:pt idx="303">
                  <c:v>12.499000000000001</c:v>
                </c:pt>
                <c:pt idx="304">
                  <c:v>11.794</c:v>
                </c:pt>
                <c:pt idx="305">
                  <c:v>9.4659999999999993</c:v>
                </c:pt>
                <c:pt idx="306">
                  <c:v>8.8689999999999998</c:v>
                </c:pt>
                <c:pt idx="307">
                  <c:v>6.742</c:v>
                </c:pt>
                <c:pt idx="308">
                  <c:v>4.117</c:v>
                </c:pt>
                <c:pt idx="309">
                  <c:v>3.7410000000000001</c:v>
                </c:pt>
                <c:pt idx="310">
                  <c:v>3.6379999999999999</c:v>
                </c:pt>
                <c:pt idx="311">
                  <c:v>3.5430000000000001</c:v>
                </c:pt>
                <c:pt idx="312">
                  <c:v>3.6</c:v>
                </c:pt>
                <c:pt idx="313">
                  <c:v>3.8380000000000001</c:v>
                </c:pt>
                <c:pt idx="314">
                  <c:v>3.8940000000000001</c:v>
                </c:pt>
                <c:pt idx="315">
                  <c:v>4.1269999999999998</c:v>
                </c:pt>
                <c:pt idx="316">
                  <c:v>4.524</c:v>
                </c:pt>
                <c:pt idx="317">
                  <c:v>4.9130000000000003</c:v>
                </c:pt>
                <c:pt idx="318">
                  <c:v>5.2430000000000003</c:v>
                </c:pt>
                <c:pt idx="319">
                  <c:v>5.4630000000000001</c:v>
                </c:pt>
                <c:pt idx="320">
                  <c:v>5.7240000000000002</c:v>
                </c:pt>
                <c:pt idx="321">
                  <c:v>5.92</c:v>
                </c:pt>
                <c:pt idx="322">
                  <c:v>6.0609999999999999</c:v>
                </c:pt>
                <c:pt idx="323">
                  <c:v>6.0620000000000003</c:v>
                </c:pt>
                <c:pt idx="324">
                  <c:v>6.3460000000000001</c:v>
                </c:pt>
                <c:pt idx="325">
                  <c:v>6.4489999999999998</c:v>
                </c:pt>
                <c:pt idx="326">
                  <c:v>6.81</c:v>
                </c:pt>
                <c:pt idx="327">
                  <c:v>7.01</c:v>
                </c:pt>
                <c:pt idx="328">
                  <c:v>7.4240000000000004</c:v>
                </c:pt>
                <c:pt idx="329">
                  <c:v>18.939</c:v>
                </c:pt>
                <c:pt idx="330">
                  <c:v>35.606999999999999</c:v>
                </c:pt>
                <c:pt idx="331">
                  <c:v>21.82</c:v>
                </c:pt>
                <c:pt idx="332">
                  <c:v>12.670999999999999</c:v>
                </c:pt>
                <c:pt idx="333">
                  <c:v>13.173</c:v>
                </c:pt>
                <c:pt idx="334">
                  <c:v>14.317</c:v>
                </c:pt>
                <c:pt idx="335">
                  <c:v>14.811999999999999</c:v>
                </c:pt>
                <c:pt idx="336">
                  <c:v>15.016</c:v>
                </c:pt>
                <c:pt idx="337">
                  <c:v>46.518000000000001</c:v>
                </c:pt>
                <c:pt idx="338">
                  <c:v>79.346999999999994</c:v>
                </c:pt>
                <c:pt idx="339">
                  <c:v>91.777000000000001</c:v>
                </c:pt>
                <c:pt idx="340">
                  <c:v>91.587999999999994</c:v>
                </c:pt>
                <c:pt idx="341">
                  <c:v>91.328000000000003</c:v>
                </c:pt>
                <c:pt idx="342">
                  <c:v>91.137</c:v>
                </c:pt>
                <c:pt idx="343">
                  <c:v>83.688000000000002</c:v>
                </c:pt>
                <c:pt idx="344">
                  <c:v>75.132999999999996</c:v>
                </c:pt>
                <c:pt idx="345">
                  <c:v>58.322000000000003</c:v>
                </c:pt>
                <c:pt idx="346">
                  <c:v>46.286000000000001</c:v>
                </c:pt>
                <c:pt idx="347">
                  <c:v>43.192999999999998</c:v>
                </c:pt>
                <c:pt idx="348">
                  <c:v>42.387999999999998</c:v>
                </c:pt>
                <c:pt idx="349">
                  <c:v>40.884</c:v>
                </c:pt>
                <c:pt idx="350">
                  <c:v>52.917999999999999</c:v>
                </c:pt>
                <c:pt idx="351">
                  <c:v>56.369</c:v>
                </c:pt>
                <c:pt idx="352">
                  <c:v>57.688000000000002</c:v>
                </c:pt>
                <c:pt idx="353">
                  <c:v>57.655999999999999</c:v>
                </c:pt>
                <c:pt idx="354">
                  <c:v>55.518999999999998</c:v>
                </c:pt>
                <c:pt idx="355">
                  <c:v>20.166</c:v>
                </c:pt>
                <c:pt idx="356">
                  <c:v>18.152000000000001</c:v>
                </c:pt>
                <c:pt idx="357">
                  <c:v>18.329000000000001</c:v>
                </c:pt>
                <c:pt idx="358">
                  <c:v>168.40199999999999</c:v>
                </c:pt>
                <c:pt idx="359">
                  <c:v>782.96199999999999</c:v>
                </c:pt>
                <c:pt idx="360">
                  <c:v>845.14599999999996</c:v>
                </c:pt>
                <c:pt idx="361">
                  <c:v>788.11500000000001</c:v>
                </c:pt>
                <c:pt idx="362">
                  <c:v>627.72500000000002</c:v>
                </c:pt>
                <c:pt idx="363">
                  <c:v>656.08199999999999</c:v>
                </c:pt>
                <c:pt idx="364">
                  <c:v>653.25300000000004</c:v>
                </c:pt>
                <c:pt idx="365">
                  <c:v>593.34400000000005</c:v>
                </c:pt>
              </c:numCache>
            </c:numRef>
          </c:val>
          <c:smooth val="0"/>
          <c:extLst xmlns:c16r2="http://schemas.microsoft.com/office/drawing/2015/06/chart">
            <c:ext xmlns:c16="http://schemas.microsoft.com/office/drawing/2014/chart" uri="{C3380CC4-5D6E-409C-BE32-E72D297353CC}">
              <c16:uniqueId val="{00000000-2E66-4CB4-A926-8530D4EE6D8F}"/>
            </c:ext>
          </c:extLst>
        </c:ser>
        <c:ser>
          <c:idx val="1"/>
          <c:order val="1"/>
          <c:tx>
            <c:strRef>
              <c:f>'Lower Gwydir'!$C$1</c:f>
              <c:strCache>
                <c:ptCount val="1"/>
                <c:pt idx="0">
                  <c:v>418066 - Gwydir @ Millewa</c:v>
                </c:pt>
              </c:strCache>
            </c:strRef>
          </c:tx>
          <c:spPr>
            <a:ln>
              <a:solidFill>
                <a:srgbClr val="0070C0"/>
              </a:solidFill>
            </a:ln>
          </c:spPr>
          <c:marker>
            <c:symbol val="none"/>
          </c:marker>
          <c:cat>
            <c:numRef>
              <c:f>'Lower Gwydir'!$A$5:$A$370</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'Lower Gwydir'!$C$5:$C$370</c:f>
              <c:numCache>
                <c:formatCode>General</c:formatCode>
                <c:ptCount val="366"/>
                <c:pt idx="0">
                  <c:v>177.393</c:v>
                </c:pt>
                <c:pt idx="1">
                  <c:v>147.119</c:v>
                </c:pt>
                <c:pt idx="2">
                  <c:v>129.99600000000001</c:v>
                </c:pt>
                <c:pt idx="3">
                  <c:v>108.995</c:v>
                </c:pt>
                <c:pt idx="4">
                  <c:v>102.56100000000001</c:v>
                </c:pt>
                <c:pt idx="5">
                  <c:v>93.475999999999999</c:v>
                </c:pt>
                <c:pt idx="6">
                  <c:v>87.587999999999994</c:v>
                </c:pt>
                <c:pt idx="7">
                  <c:v>73.546000000000006</c:v>
                </c:pt>
                <c:pt idx="8">
                  <c:v>65.408000000000001</c:v>
                </c:pt>
                <c:pt idx="9">
                  <c:v>64.486999999999995</c:v>
                </c:pt>
                <c:pt idx="10">
                  <c:v>64.442999999999998</c:v>
                </c:pt>
                <c:pt idx="11">
                  <c:v>65.623999999999995</c:v>
                </c:pt>
                <c:pt idx="12">
                  <c:v>64.805999999999997</c:v>
                </c:pt>
                <c:pt idx="13">
                  <c:v>64.045000000000002</c:v>
                </c:pt>
                <c:pt idx="14">
                  <c:v>63.41</c:v>
                </c:pt>
                <c:pt idx="15">
                  <c:v>62.156999999999996</c:v>
                </c:pt>
                <c:pt idx="16">
                  <c:v>62.036000000000001</c:v>
                </c:pt>
                <c:pt idx="17">
                  <c:v>61.795000000000002</c:v>
                </c:pt>
                <c:pt idx="18">
                  <c:v>61.476999999999997</c:v>
                </c:pt>
                <c:pt idx="19">
                  <c:v>61.741999999999997</c:v>
                </c:pt>
                <c:pt idx="20">
                  <c:v>62.131999999999998</c:v>
                </c:pt>
                <c:pt idx="21">
                  <c:v>105.914</c:v>
                </c:pt>
                <c:pt idx="22">
                  <c:v>178.01</c:v>
                </c:pt>
                <c:pt idx="23">
                  <c:v>72.900999999999996</c:v>
                </c:pt>
                <c:pt idx="24">
                  <c:v>43.54</c:v>
                </c:pt>
                <c:pt idx="25">
                  <c:v>24.361999999999998</c:v>
                </c:pt>
                <c:pt idx="26">
                  <c:v>80.031999999999996</c:v>
                </c:pt>
                <c:pt idx="27">
                  <c:v>299.02100000000002</c:v>
                </c:pt>
                <c:pt idx="28">
                  <c:v>203.935</c:v>
                </c:pt>
                <c:pt idx="29">
                  <c:v>378.30399999999997</c:v>
                </c:pt>
                <c:pt idx="30">
                  <c:v>406.35700000000003</c:v>
                </c:pt>
                <c:pt idx="31">
                  <c:v>345.959</c:v>
                </c:pt>
                <c:pt idx="32">
                  <c:v>315.62599999999998</c:v>
                </c:pt>
                <c:pt idx="33">
                  <c:v>302.30700000000002</c:v>
                </c:pt>
                <c:pt idx="34">
                  <c:v>254.91300000000001</c:v>
                </c:pt>
                <c:pt idx="35">
                  <c:v>205.64699999999999</c:v>
                </c:pt>
                <c:pt idx="36">
                  <c:v>155.91</c:v>
                </c:pt>
                <c:pt idx="37">
                  <c:v>116.295</c:v>
                </c:pt>
                <c:pt idx="38">
                  <c:v>105.051</c:v>
                </c:pt>
                <c:pt idx="39">
                  <c:v>88.453999999999994</c:v>
                </c:pt>
                <c:pt idx="40">
                  <c:v>72.283000000000001</c:v>
                </c:pt>
                <c:pt idx="41">
                  <c:v>67.087999999999994</c:v>
                </c:pt>
                <c:pt idx="42">
                  <c:v>66.147999999999996</c:v>
                </c:pt>
                <c:pt idx="43">
                  <c:v>64.938000000000002</c:v>
                </c:pt>
                <c:pt idx="44">
                  <c:v>63.698999999999998</c:v>
                </c:pt>
                <c:pt idx="45">
                  <c:v>63.360999999999997</c:v>
                </c:pt>
                <c:pt idx="46">
                  <c:v>63.927</c:v>
                </c:pt>
                <c:pt idx="47">
                  <c:v>64.222999999999999</c:v>
                </c:pt>
                <c:pt idx="48">
                  <c:v>64.498999999999995</c:v>
                </c:pt>
                <c:pt idx="49">
                  <c:v>63.628</c:v>
                </c:pt>
                <c:pt idx="50">
                  <c:v>57.588000000000001</c:v>
                </c:pt>
                <c:pt idx="51">
                  <c:v>52.381999999999998</c:v>
                </c:pt>
                <c:pt idx="52">
                  <c:v>51.182000000000002</c:v>
                </c:pt>
                <c:pt idx="53">
                  <c:v>50.045999999999999</c:v>
                </c:pt>
                <c:pt idx="54">
                  <c:v>42.819000000000003</c:v>
                </c:pt>
                <c:pt idx="55">
                  <c:v>35.36</c:v>
                </c:pt>
                <c:pt idx="56">
                  <c:v>32.658000000000001</c:v>
                </c:pt>
                <c:pt idx="57">
                  <c:v>35.307000000000002</c:v>
                </c:pt>
                <c:pt idx="58">
                  <c:v>97.998000000000005</c:v>
                </c:pt>
                <c:pt idx="59">
                  <c:v>71.596000000000004</c:v>
                </c:pt>
                <c:pt idx="60">
                  <c:v>392.98099999999999</c:v>
                </c:pt>
                <c:pt idx="61">
                  <c:v>424.49299999999999</c:v>
                </c:pt>
                <c:pt idx="62">
                  <c:v>418.19</c:v>
                </c:pt>
                <c:pt idx="63">
                  <c:v>397.17</c:v>
                </c:pt>
                <c:pt idx="64">
                  <c:v>346.40899999999999</c:v>
                </c:pt>
                <c:pt idx="65">
                  <c:v>265.01499999999999</c:v>
                </c:pt>
                <c:pt idx="66">
                  <c:v>241.267</c:v>
                </c:pt>
                <c:pt idx="67">
                  <c:v>203.99799999999999</c:v>
                </c:pt>
                <c:pt idx="68">
                  <c:v>200.30799999999999</c:v>
                </c:pt>
                <c:pt idx="69">
                  <c:v>200.21899999999999</c:v>
                </c:pt>
                <c:pt idx="70">
                  <c:v>197.12899999999999</c:v>
                </c:pt>
                <c:pt idx="71">
                  <c:v>172.69300000000001</c:v>
                </c:pt>
                <c:pt idx="72">
                  <c:v>159.72399999999999</c:v>
                </c:pt>
                <c:pt idx="73">
                  <c:v>159.44800000000001</c:v>
                </c:pt>
                <c:pt idx="74">
                  <c:v>157.80000000000001</c:v>
                </c:pt>
                <c:pt idx="75">
                  <c:v>135.87100000000001</c:v>
                </c:pt>
                <c:pt idx="76">
                  <c:v>104.111</c:v>
                </c:pt>
                <c:pt idx="77">
                  <c:v>109.447</c:v>
                </c:pt>
                <c:pt idx="78">
                  <c:v>86.320999999999998</c:v>
                </c:pt>
                <c:pt idx="79">
                  <c:v>75.441000000000003</c:v>
                </c:pt>
                <c:pt idx="80">
                  <c:v>74.41</c:v>
                </c:pt>
                <c:pt idx="81">
                  <c:v>73.394000000000005</c:v>
                </c:pt>
                <c:pt idx="82">
                  <c:v>61.052</c:v>
                </c:pt>
                <c:pt idx="83">
                  <c:v>51.015000000000001</c:v>
                </c:pt>
                <c:pt idx="84">
                  <c:v>50.012</c:v>
                </c:pt>
                <c:pt idx="85">
                  <c:v>48.575000000000003</c:v>
                </c:pt>
                <c:pt idx="86">
                  <c:v>48.026000000000003</c:v>
                </c:pt>
                <c:pt idx="87">
                  <c:v>45.631999999999998</c:v>
                </c:pt>
                <c:pt idx="88">
                  <c:v>34.170999999999999</c:v>
                </c:pt>
                <c:pt idx="89">
                  <c:v>32.067</c:v>
                </c:pt>
                <c:pt idx="90">
                  <c:v>31.619</c:v>
                </c:pt>
                <c:pt idx="91">
                  <c:v>30.649000000000001</c:v>
                </c:pt>
                <c:pt idx="92">
                  <c:v>28.643999999999998</c:v>
                </c:pt>
                <c:pt idx="93">
                  <c:v>24.113</c:v>
                </c:pt>
                <c:pt idx="94">
                  <c:v>21.745999999999999</c:v>
                </c:pt>
                <c:pt idx="95">
                  <c:v>21.134</c:v>
                </c:pt>
                <c:pt idx="96">
                  <c:v>20.483000000000001</c:v>
                </c:pt>
                <c:pt idx="97">
                  <c:v>18.248000000000001</c:v>
                </c:pt>
                <c:pt idx="98">
                  <c:v>15.564</c:v>
                </c:pt>
                <c:pt idx="99">
                  <c:v>13.445</c:v>
                </c:pt>
                <c:pt idx="100">
                  <c:v>11.474</c:v>
                </c:pt>
                <c:pt idx="101">
                  <c:v>10.388</c:v>
                </c:pt>
                <c:pt idx="102">
                  <c:v>9.8490000000000002</c:v>
                </c:pt>
                <c:pt idx="103">
                  <c:v>9.7289999999999992</c:v>
                </c:pt>
                <c:pt idx="104">
                  <c:v>9.4</c:v>
                </c:pt>
                <c:pt idx="105">
                  <c:v>8.9280000000000008</c:v>
                </c:pt>
                <c:pt idx="106">
                  <c:v>8.3209999999999997</c:v>
                </c:pt>
                <c:pt idx="107">
                  <c:v>8.4179999999999993</c:v>
                </c:pt>
                <c:pt idx="108">
                  <c:v>8.0809999999999995</c:v>
                </c:pt>
                <c:pt idx="109">
                  <c:v>7.6559999999999997</c:v>
                </c:pt>
                <c:pt idx="110">
                  <c:v>6.8739999999999997</c:v>
                </c:pt>
                <c:pt idx="111">
                  <c:v>6.3209999999999997</c:v>
                </c:pt>
                <c:pt idx="112">
                  <c:v>7.14</c:v>
                </c:pt>
                <c:pt idx="113">
                  <c:v>7.3550000000000004</c:v>
                </c:pt>
                <c:pt idx="114">
                  <c:v>7.5359999999999996</c:v>
                </c:pt>
                <c:pt idx="115">
                  <c:v>7.742</c:v>
                </c:pt>
                <c:pt idx="116">
                  <c:v>7.3310000000000004</c:v>
                </c:pt>
                <c:pt idx="117">
                  <c:v>6.87</c:v>
                </c:pt>
                <c:pt idx="118">
                  <c:v>7.0890000000000004</c:v>
                </c:pt>
                <c:pt idx="119">
                  <c:v>7.6520000000000001</c:v>
                </c:pt>
                <c:pt idx="120">
                  <c:v>6.992</c:v>
                </c:pt>
                <c:pt idx="121">
                  <c:v>8.2230000000000008</c:v>
                </c:pt>
                <c:pt idx="122">
                  <c:v>8.7859999999999996</c:v>
                </c:pt>
                <c:pt idx="123">
                  <c:v>7.9509999999999996</c:v>
                </c:pt>
                <c:pt idx="124">
                  <c:v>6.5570000000000004</c:v>
                </c:pt>
                <c:pt idx="125">
                  <c:v>5.2080000000000002</c:v>
                </c:pt>
                <c:pt idx="126">
                  <c:v>4.4729999999999999</c:v>
                </c:pt>
                <c:pt idx="127">
                  <c:v>4.1050000000000004</c:v>
                </c:pt>
                <c:pt idx="128">
                  <c:v>4.5060000000000002</c:v>
                </c:pt>
                <c:pt idx="129">
                  <c:v>5.8529999999999998</c:v>
                </c:pt>
                <c:pt idx="130">
                  <c:v>30.375</c:v>
                </c:pt>
                <c:pt idx="131">
                  <c:v>404.82100000000003</c:v>
                </c:pt>
                <c:pt idx="132">
                  <c:v>331.40800000000002</c:v>
                </c:pt>
                <c:pt idx="133">
                  <c:v>233.179</c:v>
                </c:pt>
                <c:pt idx="134">
                  <c:v>253.02199999999999</c:v>
                </c:pt>
                <c:pt idx="135">
                  <c:v>288.44</c:v>
                </c:pt>
                <c:pt idx="136">
                  <c:v>155.81899999999999</c:v>
                </c:pt>
                <c:pt idx="137">
                  <c:v>141.67599999999999</c:v>
                </c:pt>
                <c:pt idx="138">
                  <c:v>123.59099999999999</c:v>
                </c:pt>
                <c:pt idx="139">
                  <c:v>78.367000000000004</c:v>
                </c:pt>
                <c:pt idx="140">
                  <c:v>58.773000000000003</c:v>
                </c:pt>
                <c:pt idx="141">
                  <c:v>56.664000000000001</c:v>
                </c:pt>
                <c:pt idx="142">
                  <c:v>49.091999999999999</c:v>
                </c:pt>
                <c:pt idx="143">
                  <c:v>23.655999999999999</c:v>
                </c:pt>
                <c:pt idx="144">
                  <c:v>115.32899999999999</c:v>
                </c:pt>
                <c:pt idx="145">
                  <c:v>114.10899999999999</c:v>
                </c:pt>
                <c:pt idx="146">
                  <c:v>74.378</c:v>
                </c:pt>
                <c:pt idx="147">
                  <c:v>51.203000000000003</c:v>
                </c:pt>
                <c:pt idx="148">
                  <c:v>35.491999999999997</c:v>
                </c:pt>
                <c:pt idx="149">
                  <c:v>21.382999999999999</c:v>
                </c:pt>
                <c:pt idx="150">
                  <c:v>16.556999999999999</c:v>
                </c:pt>
                <c:pt idx="151">
                  <c:v>11.869</c:v>
                </c:pt>
                <c:pt idx="152">
                  <c:v>6.7789999999999999</c:v>
                </c:pt>
                <c:pt idx="153">
                  <c:v>3.8359999999999999</c:v>
                </c:pt>
                <c:pt idx="154">
                  <c:v>2.177</c:v>
                </c:pt>
                <c:pt idx="155">
                  <c:v>1.5029999999999999</c:v>
                </c:pt>
                <c:pt idx="156">
                  <c:v>1.1599999999999999</c:v>
                </c:pt>
                <c:pt idx="157">
                  <c:v>0.71499999999999997</c:v>
                </c:pt>
                <c:pt idx="158">
                  <c:v>0.52600000000000002</c:v>
                </c:pt>
                <c:pt idx="159">
                  <c:v>0.42799999999999999</c:v>
                </c:pt>
                <c:pt idx="160">
                  <c:v>0.32400000000000001</c:v>
                </c:pt>
                <c:pt idx="161">
                  <c:v>0.23100000000000001</c:v>
                </c:pt>
                <c:pt idx="162">
                  <c:v>0.186</c:v>
                </c:pt>
                <c:pt idx="163">
                  <c:v>17.507000000000001</c:v>
                </c:pt>
                <c:pt idx="164">
                  <c:v>37.753999999999998</c:v>
                </c:pt>
                <c:pt idx="165">
                  <c:v>42.953000000000003</c:v>
                </c:pt>
                <c:pt idx="166">
                  <c:v>95.272999999999996</c:v>
                </c:pt>
                <c:pt idx="167">
                  <c:v>59.427</c:v>
                </c:pt>
                <c:pt idx="168">
                  <c:v>24.655999999999999</c:v>
                </c:pt>
                <c:pt idx="169">
                  <c:v>13.539</c:v>
                </c:pt>
                <c:pt idx="170">
                  <c:v>15.875999999999999</c:v>
                </c:pt>
                <c:pt idx="171">
                  <c:v>20.689</c:v>
                </c:pt>
                <c:pt idx="172">
                  <c:v>15.087999999999999</c:v>
                </c:pt>
                <c:pt idx="173">
                  <c:v>15.484999999999999</c:v>
                </c:pt>
                <c:pt idx="174">
                  <c:v>31.27</c:v>
                </c:pt>
                <c:pt idx="175">
                  <c:v>12.052</c:v>
                </c:pt>
                <c:pt idx="176">
                  <c:v>9.9329999999999998</c:v>
                </c:pt>
                <c:pt idx="177">
                  <c:v>13.691000000000001</c:v>
                </c:pt>
                <c:pt idx="178">
                  <c:v>29.48</c:v>
                </c:pt>
                <c:pt idx="179">
                  <c:v>16.478000000000002</c:v>
                </c:pt>
                <c:pt idx="180">
                  <c:v>6.34</c:v>
                </c:pt>
                <c:pt idx="181">
                  <c:v>2.5339999999999998</c:v>
                </c:pt>
                <c:pt idx="182">
                  <c:v>1.0249999999999999</c:v>
                </c:pt>
                <c:pt idx="183">
                  <c:v>0.53800000000000003</c:v>
                </c:pt>
                <c:pt idx="184">
                  <c:v>1.2549999999999999</c:v>
                </c:pt>
                <c:pt idx="185">
                  <c:v>65.587000000000003</c:v>
                </c:pt>
                <c:pt idx="186">
                  <c:v>46.31</c:v>
                </c:pt>
                <c:pt idx="187">
                  <c:v>20.654</c:v>
                </c:pt>
                <c:pt idx="188">
                  <c:v>56.499000000000002</c:v>
                </c:pt>
                <c:pt idx="189">
                  <c:v>37.298000000000002</c:v>
                </c:pt>
                <c:pt idx="190">
                  <c:v>37.220999999999997</c:v>
                </c:pt>
                <c:pt idx="191">
                  <c:v>83.888000000000005</c:v>
                </c:pt>
                <c:pt idx="192">
                  <c:v>7.0270000000000001</c:v>
                </c:pt>
                <c:pt idx="193">
                  <c:v>18.556999999999999</c:v>
                </c:pt>
                <c:pt idx="194">
                  <c:v>148.43199999999999</c:v>
                </c:pt>
                <c:pt idx="195">
                  <c:v>208.81100000000001</c:v>
                </c:pt>
                <c:pt idx="196">
                  <c:v>221.46600000000001</c:v>
                </c:pt>
                <c:pt idx="197">
                  <c:v>208.233</c:v>
                </c:pt>
                <c:pt idx="198">
                  <c:v>156.44300000000001</c:v>
                </c:pt>
                <c:pt idx="199">
                  <c:v>125.371</c:v>
                </c:pt>
                <c:pt idx="200">
                  <c:v>88.149000000000001</c:v>
                </c:pt>
                <c:pt idx="201">
                  <c:v>59.326999999999998</c:v>
                </c:pt>
                <c:pt idx="202">
                  <c:v>36.286000000000001</c:v>
                </c:pt>
                <c:pt idx="203">
                  <c:v>32.953000000000003</c:v>
                </c:pt>
                <c:pt idx="204">
                  <c:v>33.404000000000003</c:v>
                </c:pt>
                <c:pt idx="205">
                  <c:v>28.445</c:v>
                </c:pt>
                <c:pt idx="206">
                  <c:v>22.265999999999998</c:v>
                </c:pt>
                <c:pt idx="207">
                  <c:v>19.501999999999999</c:v>
                </c:pt>
                <c:pt idx="208">
                  <c:v>16.45</c:v>
                </c:pt>
                <c:pt idx="209">
                  <c:v>12.356</c:v>
                </c:pt>
                <c:pt idx="210">
                  <c:v>7.56</c:v>
                </c:pt>
                <c:pt idx="211">
                  <c:v>6.63</c:v>
                </c:pt>
                <c:pt idx="212">
                  <c:v>14.715</c:v>
                </c:pt>
                <c:pt idx="213">
                  <c:v>18.478000000000002</c:v>
                </c:pt>
                <c:pt idx="214">
                  <c:v>13.301</c:v>
                </c:pt>
                <c:pt idx="215">
                  <c:v>5.2629999999999999</c:v>
                </c:pt>
                <c:pt idx="216">
                  <c:v>1.522</c:v>
                </c:pt>
                <c:pt idx="217">
                  <c:v>45.136000000000003</c:v>
                </c:pt>
                <c:pt idx="218">
                  <c:v>151.66</c:v>
                </c:pt>
                <c:pt idx="219">
                  <c:v>127.59699999999999</c:v>
                </c:pt>
                <c:pt idx="220">
                  <c:v>106.351</c:v>
                </c:pt>
                <c:pt idx="221">
                  <c:v>103.20699999999999</c:v>
                </c:pt>
                <c:pt idx="222">
                  <c:v>223.67699999999999</c:v>
                </c:pt>
                <c:pt idx="223">
                  <c:v>269.34199999999998</c:v>
                </c:pt>
                <c:pt idx="224">
                  <c:v>207.36600000000001</c:v>
                </c:pt>
                <c:pt idx="225">
                  <c:v>88.614999999999995</c:v>
                </c:pt>
                <c:pt idx="226">
                  <c:v>54.076000000000001</c:v>
                </c:pt>
                <c:pt idx="227">
                  <c:v>44.676000000000002</c:v>
                </c:pt>
                <c:pt idx="228">
                  <c:v>19.922000000000001</c:v>
                </c:pt>
                <c:pt idx="229">
                  <c:v>7.9219999999999997</c:v>
                </c:pt>
                <c:pt idx="230">
                  <c:v>3.8010000000000002</c:v>
                </c:pt>
                <c:pt idx="231">
                  <c:v>2.4860000000000002</c:v>
                </c:pt>
                <c:pt idx="232">
                  <c:v>1.333</c:v>
                </c:pt>
                <c:pt idx="233">
                  <c:v>0.83399999999999996</c:v>
                </c:pt>
                <c:pt idx="234">
                  <c:v>0.58899999999999997</c:v>
                </c:pt>
                <c:pt idx="235">
                  <c:v>0.36599999999999999</c:v>
                </c:pt>
                <c:pt idx="236">
                  <c:v>0.17699999999999999</c:v>
                </c:pt>
                <c:pt idx="237">
                  <c:v>5.3999999999999999E-2</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34.948999999999998</c:v>
                </c:pt>
                <c:pt idx="345">
                  <c:v>56.84</c:v>
                </c:pt>
                <c:pt idx="346">
                  <c:v>47.302</c:v>
                </c:pt>
                <c:pt idx="347">
                  <c:v>34.360999999999997</c:v>
                </c:pt>
                <c:pt idx="348">
                  <c:v>21.103999999999999</c:v>
                </c:pt>
                <c:pt idx="349">
                  <c:v>12.747999999999999</c:v>
                </c:pt>
                <c:pt idx="350">
                  <c:v>7.7130000000000001</c:v>
                </c:pt>
                <c:pt idx="351">
                  <c:v>5.6920000000000002</c:v>
                </c:pt>
                <c:pt idx="352">
                  <c:v>5.0599999999999996</c:v>
                </c:pt>
                <c:pt idx="353">
                  <c:v>8.3529999999999998</c:v>
                </c:pt>
                <c:pt idx="354">
                  <c:v>18.864999999999998</c:v>
                </c:pt>
                <c:pt idx="355">
                  <c:v>24.795999999999999</c:v>
                </c:pt>
                <c:pt idx="356">
                  <c:v>31.378</c:v>
                </c:pt>
                <c:pt idx="357">
                  <c:v>33.582000000000001</c:v>
                </c:pt>
                <c:pt idx="358">
                  <c:v>24.62</c:v>
                </c:pt>
                <c:pt idx="359">
                  <c:v>18.515000000000001</c:v>
                </c:pt>
                <c:pt idx="360">
                  <c:v>45.975999999999999</c:v>
                </c:pt>
                <c:pt idx="361">
                  <c:v>34.770000000000003</c:v>
                </c:pt>
                <c:pt idx="362">
                  <c:v>118.325</c:v>
                </c:pt>
                <c:pt idx="363">
                  <c:v>287.84199999999998</c:v>
                </c:pt>
                <c:pt idx="364">
                  <c:v>347.40899999999999</c:v>
                </c:pt>
                <c:pt idx="365">
                  <c:v>393.15100000000001</c:v>
                </c:pt>
              </c:numCache>
            </c:numRef>
          </c:val>
          <c:smooth val="0"/>
          <c:extLst xmlns:c16r2="http://schemas.microsoft.com/office/drawing/2015/06/chart">
            <c:ext xmlns:c16="http://schemas.microsoft.com/office/drawing/2014/chart" uri="{C3380CC4-5D6E-409C-BE32-E72D297353CC}">
              <c16:uniqueId val="{00000001-2E66-4CB4-A926-8530D4EE6D8F}"/>
            </c:ext>
          </c:extLst>
        </c:ser>
        <c:ser>
          <c:idx val="2"/>
          <c:order val="2"/>
          <c:tx>
            <c:strRef>
              <c:f>'Lower Gwydir'!$I$2</c:f>
              <c:strCache>
                <c:ptCount val="1"/>
                <c:pt idx="0">
                  <c:v>Environmental water</c:v>
                </c:pt>
              </c:strCache>
            </c:strRef>
          </c:tx>
          <c:spPr>
            <a:ln w="57150">
              <a:solidFill>
                <a:srgbClr val="00B050"/>
              </a:solidFill>
            </a:ln>
          </c:spPr>
          <c:marker>
            <c:symbol val="none"/>
          </c:marker>
          <c:cat>
            <c:numRef>
              <c:f>'Lower Gwydir'!$A$5:$A$370</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'Lower Gwydir'!$I$5:$I$370</c:f>
              <c:numCache>
                <c:formatCode>General</c:formatCode>
                <c:ptCount val="366"/>
                <c:pt idx="196">
                  <c:v>1400</c:v>
                </c:pt>
                <c:pt idx="197">
                  <c:v>1400</c:v>
                </c:pt>
                <c:pt idx="198">
                  <c:v>1400</c:v>
                </c:pt>
                <c:pt idx="199">
                  <c:v>1400</c:v>
                </c:pt>
                <c:pt idx="200">
                  <c:v>1400</c:v>
                </c:pt>
                <c:pt idx="201">
                  <c:v>1400</c:v>
                </c:pt>
                <c:pt idx="202">
                  <c:v>1400</c:v>
                </c:pt>
                <c:pt idx="203">
                  <c:v>1400</c:v>
                </c:pt>
                <c:pt idx="287">
                  <c:v>1400</c:v>
                </c:pt>
                <c:pt idx="288">
                  <c:v>1400</c:v>
                </c:pt>
                <c:pt idx="289">
                  <c:v>1400</c:v>
                </c:pt>
                <c:pt idx="290">
                  <c:v>1400</c:v>
                </c:pt>
                <c:pt idx="291">
                  <c:v>1400</c:v>
                </c:pt>
                <c:pt idx="292">
                  <c:v>1400</c:v>
                </c:pt>
                <c:pt idx="293">
                  <c:v>1400</c:v>
                </c:pt>
                <c:pt idx="294">
                  <c:v>1400</c:v>
                </c:pt>
                <c:pt idx="295">
                  <c:v>1400</c:v>
                </c:pt>
                <c:pt idx="296">
                  <c:v>1400</c:v>
                </c:pt>
                <c:pt idx="297">
                  <c:v>1400</c:v>
                </c:pt>
                <c:pt idx="298">
                  <c:v>1400</c:v>
                </c:pt>
                <c:pt idx="299">
                  <c:v>1400</c:v>
                </c:pt>
                <c:pt idx="300">
                  <c:v>1400</c:v>
                </c:pt>
                <c:pt idx="301">
                  <c:v>1400</c:v>
                </c:pt>
                <c:pt idx="302">
                  <c:v>1400</c:v>
                </c:pt>
                <c:pt idx="303">
                  <c:v>1400</c:v>
                </c:pt>
                <c:pt idx="304">
                  <c:v>1400</c:v>
                </c:pt>
                <c:pt idx="305">
                  <c:v>1400</c:v>
                </c:pt>
                <c:pt idx="306">
                  <c:v>1400</c:v>
                </c:pt>
                <c:pt idx="307">
                  <c:v>1400</c:v>
                </c:pt>
                <c:pt idx="308">
                  <c:v>1400</c:v>
                </c:pt>
                <c:pt idx="309">
                  <c:v>1400</c:v>
                </c:pt>
                <c:pt idx="310">
                  <c:v>1400</c:v>
                </c:pt>
                <c:pt idx="311">
                  <c:v>1400</c:v>
                </c:pt>
                <c:pt idx="312">
                  <c:v>1400</c:v>
                </c:pt>
                <c:pt idx="313">
                  <c:v>1400</c:v>
                </c:pt>
                <c:pt idx="314">
                  <c:v>1400</c:v>
                </c:pt>
                <c:pt idx="315">
                  <c:v>1400</c:v>
                </c:pt>
                <c:pt idx="316">
                  <c:v>1400</c:v>
                </c:pt>
                <c:pt idx="317">
                  <c:v>1400</c:v>
                </c:pt>
                <c:pt idx="318">
                  <c:v>1400</c:v>
                </c:pt>
                <c:pt idx="319">
                  <c:v>1400</c:v>
                </c:pt>
                <c:pt idx="320">
                  <c:v>1400</c:v>
                </c:pt>
                <c:pt idx="321">
                  <c:v>1400</c:v>
                </c:pt>
                <c:pt idx="322">
                  <c:v>1400</c:v>
                </c:pt>
              </c:numCache>
            </c:numRef>
          </c:val>
          <c:smooth val="0"/>
          <c:extLst xmlns:c16r2="http://schemas.microsoft.com/office/drawing/2015/06/chart">
            <c:ext xmlns:c16="http://schemas.microsoft.com/office/drawing/2014/chart" uri="{C3380CC4-5D6E-409C-BE32-E72D297353CC}">
              <c16:uniqueId val="{00000002-2E66-4CB4-A926-8530D4EE6D8F}"/>
            </c:ext>
          </c:extLst>
        </c:ser>
        <c:ser>
          <c:idx val="3"/>
          <c:order val="3"/>
          <c:tx>
            <c:strRef>
              <c:f>'Lower Gwydir'!$J$2</c:f>
              <c:strCache>
                <c:ptCount val="1"/>
                <c:pt idx="0">
                  <c:v>Longitudinal connectivity</c:v>
                </c:pt>
              </c:strCache>
            </c:strRef>
          </c:tx>
          <c:spPr>
            <a:ln w="57150">
              <a:solidFill>
                <a:srgbClr val="660066"/>
              </a:solidFill>
            </a:ln>
          </c:spPr>
          <c:marker>
            <c:symbol val="none"/>
          </c:marker>
          <c:cat>
            <c:numRef>
              <c:f>'Lower Gwydir'!$A$5:$A$370</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'Lower Gwydir'!$J$5:$J$370</c:f>
              <c:numCache>
                <c:formatCode>0</c:formatCode>
                <c:ptCount val="366"/>
                <c:pt idx="0">
                  <c:v>1500</c:v>
                </c:pt>
                <c:pt idx="1">
                  <c:v>1500</c:v>
                </c:pt>
                <c:pt idx="2">
                  <c:v>1500</c:v>
                </c:pt>
                <c:pt idx="3">
                  <c:v>1500</c:v>
                </c:pt>
                <c:pt idx="4">
                  <c:v>1500</c:v>
                </c:pt>
                <c:pt idx="5">
                  <c:v>1500</c:v>
                </c:pt>
                <c:pt idx="6">
                  <c:v>1500</c:v>
                </c:pt>
                <c:pt idx="7">
                  <c:v>1500</c:v>
                </c:pt>
                <c:pt idx="8">
                  <c:v>1500</c:v>
                </c:pt>
                <c:pt idx="9">
                  <c:v>1500</c:v>
                </c:pt>
                <c:pt idx="10">
                  <c:v>1500</c:v>
                </c:pt>
                <c:pt idx="11">
                  <c:v>1500</c:v>
                </c:pt>
                <c:pt idx="12">
                  <c:v>1500</c:v>
                </c:pt>
                <c:pt idx="13">
                  <c:v>1500</c:v>
                </c:pt>
                <c:pt idx="14">
                  <c:v>1500</c:v>
                </c:pt>
                <c:pt idx="15">
                  <c:v>1500</c:v>
                </c:pt>
                <c:pt idx="16">
                  <c:v>1500</c:v>
                </c:pt>
                <c:pt idx="17">
                  <c:v>1500</c:v>
                </c:pt>
                <c:pt idx="18">
                  <c:v>1500</c:v>
                </c:pt>
                <c:pt idx="19">
                  <c:v>1500</c:v>
                </c:pt>
                <c:pt idx="20">
                  <c:v>1500</c:v>
                </c:pt>
                <c:pt idx="21">
                  <c:v>1500</c:v>
                </c:pt>
                <c:pt idx="24">
                  <c:v>1500</c:v>
                </c:pt>
                <c:pt idx="25">
                  <c:v>1500</c:v>
                </c:pt>
                <c:pt idx="26">
                  <c:v>1500</c:v>
                </c:pt>
                <c:pt idx="27">
                  <c:v>1500</c:v>
                </c:pt>
                <c:pt idx="28">
                  <c:v>1500</c:v>
                </c:pt>
                <c:pt idx="29">
                  <c:v>1500</c:v>
                </c:pt>
                <c:pt idx="30">
                  <c:v>1500</c:v>
                </c:pt>
                <c:pt idx="31">
                  <c:v>1500</c:v>
                </c:pt>
                <c:pt idx="32">
                  <c:v>1500</c:v>
                </c:pt>
                <c:pt idx="33">
                  <c:v>1500</c:v>
                </c:pt>
                <c:pt idx="34">
                  <c:v>1500</c:v>
                </c:pt>
                <c:pt idx="35">
                  <c:v>1500</c:v>
                </c:pt>
                <c:pt idx="36">
                  <c:v>1500</c:v>
                </c:pt>
                <c:pt idx="37">
                  <c:v>1500</c:v>
                </c:pt>
                <c:pt idx="38">
                  <c:v>1500</c:v>
                </c:pt>
                <c:pt idx="39">
                  <c:v>1500</c:v>
                </c:pt>
                <c:pt idx="40">
                  <c:v>1500</c:v>
                </c:pt>
                <c:pt idx="41">
                  <c:v>1500</c:v>
                </c:pt>
                <c:pt idx="42">
                  <c:v>1500</c:v>
                </c:pt>
                <c:pt idx="43">
                  <c:v>1500</c:v>
                </c:pt>
                <c:pt idx="44">
                  <c:v>1500</c:v>
                </c:pt>
                <c:pt idx="45">
                  <c:v>1500</c:v>
                </c:pt>
                <c:pt idx="46">
                  <c:v>1500</c:v>
                </c:pt>
                <c:pt idx="47">
                  <c:v>1500</c:v>
                </c:pt>
                <c:pt idx="48">
                  <c:v>1500</c:v>
                </c:pt>
                <c:pt idx="49">
                  <c:v>1500</c:v>
                </c:pt>
                <c:pt idx="50">
                  <c:v>1500</c:v>
                </c:pt>
                <c:pt idx="51">
                  <c:v>1500</c:v>
                </c:pt>
                <c:pt idx="52">
                  <c:v>1500</c:v>
                </c:pt>
                <c:pt idx="56">
                  <c:v>1500</c:v>
                </c:pt>
                <c:pt idx="57">
                  <c:v>1500</c:v>
                </c:pt>
                <c:pt idx="58">
                  <c:v>1500</c:v>
                </c:pt>
                <c:pt idx="59">
                  <c:v>1500</c:v>
                </c:pt>
                <c:pt idx="60">
                  <c:v>1500</c:v>
                </c:pt>
                <c:pt idx="61">
                  <c:v>1500</c:v>
                </c:pt>
                <c:pt idx="62">
                  <c:v>1500</c:v>
                </c:pt>
                <c:pt idx="63">
                  <c:v>1500</c:v>
                </c:pt>
                <c:pt idx="64">
                  <c:v>1500</c:v>
                </c:pt>
                <c:pt idx="65">
                  <c:v>1500</c:v>
                </c:pt>
                <c:pt idx="66">
                  <c:v>1500</c:v>
                </c:pt>
                <c:pt idx="67">
                  <c:v>1500</c:v>
                </c:pt>
                <c:pt idx="68">
                  <c:v>1500</c:v>
                </c:pt>
                <c:pt idx="69">
                  <c:v>1500</c:v>
                </c:pt>
                <c:pt idx="70">
                  <c:v>1500</c:v>
                </c:pt>
                <c:pt idx="71">
                  <c:v>1500</c:v>
                </c:pt>
                <c:pt idx="72">
                  <c:v>1500</c:v>
                </c:pt>
                <c:pt idx="73">
                  <c:v>1500</c:v>
                </c:pt>
                <c:pt idx="74">
                  <c:v>1500</c:v>
                </c:pt>
                <c:pt idx="75">
                  <c:v>1500</c:v>
                </c:pt>
                <c:pt idx="76">
                  <c:v>1500</c:v>
                </c:pt>
                <c:pt idx="77">
                  <c:v>1500</c:v>
                </c:pt>
                <c:pt idx="78">
                  <c:v>1500</c:v>
                </c:pt>
                <c:pt idx="79">
                  <c:v>1500</c:v>
                </c:pt>
                <c:pt idx="80">
                  <c:v>1500</c:v>
                </c:pt>
                <c:pt idx="81">
                  <c:v>1500</c:v>
                </c:pt>
                <c:pt idx="82">
                  <c:v>1500</c:v>
                </c:pt>
                <c:pt idx="83">
                  <c:v>1500</c:v>
                </c:pt>
                <c:pt idx="84">
                  <c:v>1500</c:v>
                </c:pt>
                <c:pt idx="85">
                  <c:v>1500</c:v>
                </c:pt>
                <c:pt idx="129">
                  <c:v>1500</c:v>
                </c:pt>
                <c:pt idx="130">
                  <c:v>1500</c:v>
                </c:pt>
                <c:pt idx="131">
                  <c:v>1500</c:v>
                </c:pt>
                <c:pt idx="132">
                  <c:v>1500</c:v>
                </c:pt>
                <c:pt idx="133">
                  <c:v>1500</c:v>
                </c:pt>
                <c:pt idx="134">
                  <c:v>1500</c:v>
                </c:pt>
                <c:pt idx="135">
                  <c:v>1500</c:v>
                </c:pt>
                <c:pt idx="136">
                  <c:v>1500</c:v>
                </c:pt>
                <c:pt idx="137">
                  <c:v>1500</c:v>
                </c:pt>
                <c:pt idx="138">
                  <c:v>1500</c:v>
                </c:pt>
                <c:pt idx="139">
                  <c:v>1500</c:v>
                </c:pt>
                <c:pt idx="142">
                  <c:v>1500</c:v>
                </c:pt>
                <c:pt idx="143">
                  <c:v>1500</c:v>
                </c:pt>
                <c:pt idx="144">
                  <c:v>1500</c:v>
                </c:pt>
                <c:pt idx="145">
                  <c:v>1500</c:v>
                </c:pt>
                <c:pt idx="163">
                  <c:v>1500</c:v>
                </c:pt>
                <c:pt idx="164">
                  <c:v>1500</c:v>
                </c:pt>
                <c:pt idx="165">
                  <c:v>1500</c:v>
                </c:pt>
                <c:pt idx="168">
                  <c:v>1500</c:v>
                </c:pt>
                <c:pt idx="169">
                  <c:v>1500</c:v>
                </c:pt>
                <c:pt idx="170">
                  <c:v>1500</c:v>
                </c:pt>
                <c:pt idx="171">
                  <c:v>1500</c:v>
                </c:pt>
                <c:pt idx="172">
                  <c:v>1500</c:v>
                </c:pt>
                <c:pt idx="173">
                  <c:v>1500</c:v>
                </c:pt>
                <c:pt idx="174">
                  <c:v>1500</c:v>
                </c:pt>
                <c:pt idx="175">
                  <c:v>1500</c:v>
                </c:pt>
                <c:pt idx="176">
                  <c:v>1500</c:v>
                </c:pt>
                <c:pt idx="177">
                  <c:v>1500</c:v>
                </c:pt>
                <c:pt idx="178">
                  <c:v>1500</c:v>
                </c:pt>
                <c:pt idx="179">
                  <c:v>1500</c:v>
                </c:pt>
                <c:pt idx="180">
                  <c:v>1500</c:v>
                </c:pt>
                <c:pt idx="185">
                  <c:v>1500</c:v>
                </c:pt>
                <c:pt idx="186">
                  <c:v>1500</c:v>
                </c:pt>
                <c:pt idx="187">
                  <c:v>1500</c:v>
                </c:pt>
                <c:pt idx="188">
                  <c:v>1500</c:v>
                </c:pt>
                <c:pt idx="189">
                  <c:v>1500</c:v>
                </c:pt>
                <c:pt idx="190">
                  <c:v>1500</c:v>
                </c:pt>
                <c:pt idx="191">
                  <c:v>1500</c:v>
                </c:pt>
                <c:pt idx="192">
                  <c:v>1500</c:v>
                </c:pt>
                <c:pt idx="193">
                  <c:v>1500</c:v>
                </c:pt>
                <c:pt idx="194">
                  <c:v>1500</c:v>
                </c:pt>
                <c:pt idx="195">
                  <c:v>1500</c:v>
                </c:pt>
                <c:pt idx="196">
                  <c:v>1500</c:v>
                </c:pt>
                <c:pt idx="197">
                  <c:v>1500</c:v>
                </c:pt>
                <c:pt idx="198">
                  <c:v>1500</c:v>
                </c:pt>
                <c:pt idx="199">
                  <c:v>1500</c:v>
                </c:pt>
                <c:pt idx="200">
                  <c:v>1500</c:v>
                </c:pt>
                <c:pt idx="201">
                  <c:v>1500</c:v>
                </c:pt>
                <c:pt idx="207">
                  <c:v>1500</c:v>
                </c:pt>
                <c:pt idx="208">
                  <c:v>1500</c:v>
                </c:pt>
                <c:pt idx="209">
                  <c:v>1500</c:v>
                </c:pt>
                <c:pt idx="210">
                  <c:v>1500</c:v>
                </c:pt>
                <c:pt idx="211">
                  <c:v>1500</c:v>
                </c:pt>
                <c:pt idx="212">
                  <c:v>1500</c:v>
                </c:pt>
                <c:pt idx="213">
                  <c:v>1500</c:v>
                </c:pt>
                <c:pt idx="214">
                  <c:v>1500</c:v>
                </c:pt>
                <c:pt idx="215">
                  <c:v>1500</c:v>
                </c:pt>
                <c:pt idx="216">
                  <c:v>1500</c:v>
                </c:pt>
                <c:pt idx="217">
                  <c:v>1500</c:v>
                </c:pt>
                <c:pt idx="218">
                  <c:v>1500</c:v>
                </c:pt>
                <c:pt idx="219">
                  <c:v>1500</c:v>
                </c:pt>
                <c:pt idx="220">
                  <c:v>1500</c:v>
                </c:pt>
                <c:pt idx="221">
                  <c:v>1500</c:v>
                </c:pt>
                <c:pt idx="222">
                  <c:v>1500</c:v>
                </c:pt>
                <c:pt idx="223">
                  <c:v>1500</c:v>
                </c:pt>
                <c:pt idx="224">
                  <c:v>1500</c:v>
                </c:pt>
                <c:pt idx="344">
                  <c:v>1500</c:v>
                </c:pt>
                <c:pt idx="345">
                  <c:v>1500</c:v>
                </c:pt>
                <c:pt idx="346">
                  <c:v>1500</c:v>
                </c:pt>
                <c:pt idx="347">
                  <c:v>1500</c:v>
                </c:pt>
                <c:pt idx="348">
                  <c:v>1500</c:v>
                </c:pt>
                <c:pt idx="349">
                  <c:v>1500</c:v>
                </c:pt>
                <c:pt idx="350">
                  <c:v>1500</c:v>
                </c:pt>
                <c:pt idx="351">
                  <c:v>1500</c:v>
                </c:pt>
                <c:pt idx="352">
                  <c:v>1500</c:v>
                </c:pt>
                <c:pt idx="353">
                  <c:v>1500</c:v>
                </c:pt>
                <c:pt idx="354">
                  <c:v>1500</c:v>
                </c:pt>
                <c:pt idx="358">
                  <c:v>1500</c:v>
                </c:pt>
                <c:pt idx="359">
                  <c:v>1500</c:v>
                </c:pt>
                <c:pt idx="360">
                  <c:v>1500</c:v>
                </c:pt>
                <c:pt idx="361">
                  <c:v>1500</c:v>
                </c:pt>
                <c:pt idx="362">
                  <c:v>1500</c:v>
                </c:pt>
                <c:pt idx="363">
                  <c:v>1500</c:v>
                </c:pt>
                <c:pt idx="364">
                  <c:v>1500</c:v>
                </c:pt>
                <c:pt idx="365">
                  <c:v>1500</c:v>
                </c:pt>
              </c:numCache>
            </c:numRef>
          </c:val>
          <c:smooth val="0"/>
          <c:extLst xmlns:c16r2="http://schemas.microsoft.com/office/drawing/2015/06/chart">
            <c:ext xmlns:c16="http://schemas.microsoft.com/office/drawing/2014/chart" uri="{C3380CC4-5D6E-409C-BE32-E72D297353CC}">
              <c16:uniqueId val="{00000003-2E66-4CB4-A926-8530D4EE6D8F}"/>
            </c:ext>
          </c:extLst>
        </c:ser>
        <c:dLbls>
          <c:showLegendKey val="0"/>
          <c:showVal val="0"/>
          <c:showCatName val="0"/>
          <c:showSerName val="0"/>
          <c:showPercent val="0"/>
          <c:showBubbleSize val="0"/>
        </c:dLbls>
        <c:smooth val="0"/>
        <c:axId val="824044192"/>
        <c:axId val="824044584"/>
      </c:lineChart>
      <c:dateAx>
        <c:axId val="824044192"/>
        <c:scaling>
          <c:orientation val="minMax"/>
          <c:max val="42552"/>
        </c:scaling>
        <c:delete val="0"/>
        <c:axPos val="b"/>
        <c:numFmt formatCode="m/d/yyyy" sourceLinked="1"/>
        <c:majorTickMark val="out"/>
        <c:minorTickMark val="none"/>
        <c:tickLblPos val="nextTo"/>
        <c:crossAx val="824044584"/>
        <c:crosses val="autoZero"/>
        <c:auto val="1"/>
        <c:lblOffset val="100"/>
        <c:baseTimeUnit val="days"/>
      </c:dateAx>
      <c:valAx>
        <c:axId val="824044584"/>
        <c:scaling>
          <c:orientation val="minMax"/>
        </c:scaling>
        <c:delete val="0"/>
        <c:axPos val="l"/>
        <c:title>
          <c:tx>
            <c:rich>
              <a:bodyPr rot="-5400000" vert="horz"/>
              <a:lstStyle/>
              <a:p>
                <a:pPr>
                  <a:defRPr b="0"/>
                </a:pPr>
                <a:r>
                  <a:rPr lang="en-US" b="0"/>
                  <a:t>Flow (ML/d)</a:t>
                </a:r>
              </a:p>
            </c:rich>
          </c:tx>
          <c:layout/>
          <c:overlay val="0"/>
        </c:title>
        <c:numFmt formatCode="#,##0" sourceLinked="0"/>
        <c:majorTickMark val="out"/>
        <c:minorTickMark val="none"/>
        <c:tickLblPos val="nextTo"/>
        <c:crossAx val="824044192"/>
        <c:crosses val="autoZero"/>
        <c:crossBetween val="between"/>
      </c:valAx>
      <c:spPr>
        <a:noFill/>
      </c:spPr>
    </c:plotArea>
    <c:legend>
      <c:legendPos val="r"/>
      <c:layout>
        <c:manualLayout>
          <c:xMode val="edge"/>
          <c:yMode val="edge"/>
          <c:x val="4.4748571281690984E-2"/>
          <c:y val="0.85871127643463907"/>
          <c:w val="0.91181272540433689"/>
          <c:h val="0.12359735905318719"/>
        </c:manualLayout>
      </c:layout>
      <c:overlay val="0"/>
    </c:legend>
    <c:plotVisOnly val="1"/>
    <c:dispBlanksAs val="gap"/>
    <c:showDLblsOverMax val="0"/>
  </c:chart>
  <c:spPr>
    <a:noFill/>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AU" sz="1000"/>
              <a:t>(b)</a:t>
            </a:r>
          </a:p>
        </c:rich>
      </c:tx>
      <c:layout>
        <c:manualLayout>
          <c:xMode val="edge"/>
          <c:yMode val="edge"/>
          <c:x val="4.336574181049031E-3"/>
          <c:y val="3.3513792214488287E-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3840173477186682"/>
          <c:y val="0.12795448132788503"/>
          <c:w val="0.76150192851175791"/>
          <c:h val="0.77556842517655133"/>
        </c:manualLayout>
      </c:layout>
      <c:barChart>
        <c:barDir val="col"/>
        <c:grouping val="clustered"/>
        <c:varyColors val="0"/>
        <c:ser>
          <c:idx val="0"/>
          <c:order val="0"/>
          <c:tx>
            <c:strRef>
              <c:f>'Pivot fig 2'!$O$3</c:f>
              <c:strCache>
                <c:ptCount val="1"/>
                <c:pt idx="0">
                  <c:v>T1</c:v>
                </c:pt>
              </c:strCache>
            </c:strRef>
          </c:tx>
          <c:spPr>
            <a:solidFill>
              <a:schemeClr val="accent1">
                <a:tint val="58000"/>
              </a:schemeClr>
            </a:solidFill>
            <a:ln>
              <a:noFill/>
            </a:ln>
            <a:effectLst/>
          </c:spPr>
          <c:invertIfNegative val="0"/>
          <c:errBars>
            <c:errBarType val="plus"/>
            <c:errValType val="cust"/>
            <c:noEndCap val="0"/>
            <c:plus>
              <c:numRef>
                <c:f>'Pivot fig 2'!$O$14:$O$18</c:f>
                <c:numCache>
                  <c:formatCode>General</c:formatCode>
                  <c:ptCount val="5"/>
                  <c:pt idx="0">
                    <c:v>22.999052075983023</c:v>
                  </c:pt>
                  <c:pt idx="1">
                    <c:v>10.75549513310394</c:v>
                  </c:pt>
                  <c:pt idx="2">
                    <c:v>16.810622216607346</c:v>
                  </c:pt>
                  <c:pt idx="3">
                    <c:v>9.1345105091491732</c:v>
                  </c:pt>
                </c:numCache>
              </c:numRef>
            </c:plus>
            <c:minus>
              <c:numRef>
                <c:f>'Pivot fig 2'!$O$14:$O$18</c:f>
                <c:numCache>
                  <c:formatCode>General</c:formatCode>
                  <c:ptCount val="5"/>
                  <c:pt idx="0">
                    <c:v>22.999052075983023</c:v>
                  </c:pt>
                  <c:pt idx="1">
                    <c:v>10.75549513310394</c:v>
                  </c:pt>
                  <c:pt idx="2">
                    <c:v>16.810622216607346</c:v>
                  </c:pt>
                  <c:pt idx="3">
                    <c:v>9.1345105091491732</c:v>
                  </c:pt>
                </c:numCache>
              </c:numRef>
            </c:minus>
            <c:spPr>
              <a:noFill/>
              <a:ln w="9525" cap="flat" cmpd="sng" algn="ctr">
                <a:solidFill>
                  <a:schemeClr val="tx1">
                    <a:lumMod val="65000"/>
                    <a:lumOff val="35000"/>
                  </a:schemeClr>
                </a:solidFill>
                <a:prstDash val="solid"/>
                <a:round/>
              </a:ln>
              <a:effectLst/>
            </c:spPr>
          </c:errBars>
          <c:cat>
            <c:strRef>
              <c:f>'Pivot fig 2'!$B$4:$B$7</c:f>
              <c:strCache>
                <c:ptCount val="4"/>
                <c:pt idx="0">
                  <c:v>GIN</c:v>
                </c:pt>
                <c:pt idx="1">
                  <c:v>GW</c:v>
                </c:pt>
                <c:pt idx="2">
                  <c:v>ME</c:v>
                </c:pt>
                <c:pt idx="3">
                  <c:v>MO</c:v>
                </c:pt>
              </c:strCache>
            </c:strRef>
          </c:cat>
          <c:val>
            <c:numRef>
              <c:f>'Pivot fig 2'!$O$4:$O$7</c:f>
              <c:numCache>
                <c:formatCode>0.00</c:formatCode>
                <c:ptCount val="4"/>
                <c:pt idx="0">
                  <c:v>56.163230963399236</c:v>
                </c:pt>
                <c:pt idx="1">
                  <c:v>25.34829300865967</c:v>
                </c:pt>
                <c:pt idx="2">
                  <c:v>26.41094783665476</c:v>
                </c:pt>
                <c:pt idx="3">
                  <c:v>36.635815453653059</c:v>
                </c:pt>
              </c:numCache>
            </c:numRef>
          </c:val>
        </c:ser>
        <c:ser>
          <c:idx val="1"/>
          <c:order val="1"/>
          <c:tx>
            <c:strRef>
              <c:f>'Pivot fig 2'!$P$3</c:f>
              <c:strCache>
                <c:ptCount val="1"/>
                <c:pt idx="0">
                  <c:v>T2</c:v>
                </c:pt>
              </c:strCache>
            </c:strRef>
          </c:tx>
          <c:spPr>
            <a:solidFill>
              <a:schemeClr val="accent1">
                <a:tint val="86000"/>
              </a:schemeClr>
            </a:solidFill>
            <a:ln>
              <a:noFill/>
            </a:ln>
            <a:effectLst/>
          </c:spPr>
          <c:invertIfNegative val="0"/>
          <c:errBars>
            <c:errBarType val="plus"/>
            <c:errValType val="cust"/>
            <c:noEndCap val="0"/>
            <c:plus>
              <c:numRef>
                <c:f>'Pivot fig 2'!$P$14:$P$19</c:f>
                <c:numCache>
                  <c:formatCode>General</c:formatCode>
                  <c:ptCount val="6"/>
                  <c:pt idx="0">
                    <c:v>32.218927439797454</c:v>
                  </c:pt>
                  <c:pt idx="1">
                    <c:v>22.204328069389668</c:v>
                  </c:pt>
                  <c:pt idx="2">
                    <c:v>10.872644053759704</c:v>
                  </c:pt>
                  <c:pt idx="3">
                    <c:v>18.551993624579943</c:v>
                  </c:pt>
                </c:numCache>
              </c:numRef>
            </c:plus>
            <c:minus>
              <c:numRef>
                <c:f>'Pivot fig 2'!$P$14:$P$18</c:f>
                <c:numCache>
                  <c:formatCode>General</c:formatCode>
                  <c:ptCount val="5"/>
                  <c:pt idx="0">
                    <c:v>32.218927439797454</c:v>
                  </c:pt>
                  <c:pt idx="1">
                    <c:v>22.204328069389668</c:v>
                  </c:pt>
                  <c:pt idx="2">
                    <c:v>10.872644053759704</c:v>
                  </c:pt>
                  <c:pt idx="3">
                    <c:v>18.551993624579943</c:v>
                  </c:pt>
                </c:numCache>
              </c:numRef>
            </c:minus>
            <c:spPr>
              <a:noFill/>
              <a:ln w="9525" cap="flat" cmpd="sng" algn="ctr">
                <a:solidFill>
                  <a:schemeClr val="tx1">
                    <a:lumMod val="65000"/>
                    <a:lumOff val="35000"/>
                  </a:schemeClr>
                </a:solidFill>
                <a:prstDash val="solid"/>
                <a:round/>
              </a:ln>
              <a:effectLst/>
            </c:spPr>
          </c:errBars>
          <c:cat>
            <c:strRef>
              <c:f>'Pivot fig 2'!$B$4:$B$7</c:f>
              <c:strCache>
                <c:ptCount val="4"/>
                <c:pt idx="0">
                  <c:v>GIN</c:v>
                </c:pt>
                <c:pt idx="1">
                  <c:v>GW</c:v>
                </c:pt>
                <c:pt idx="2">
                  <c:v>ME</c:v>
                </c:pt>
                <c:pt idx="3">
                  <c:v>MO</c:v>
                </c:pt>
              </c:strCache>
            </c:strRef>
          </c:cat>
          <c:val>
            <c:numRef>
              <c:f>'Pivot fig 2'!$P$4:$P$7</c:f>
              <c:numCache>
                <c:formatCode>0.00</c:formatCode>
                <c:ptCount val="4"/>
                <c:pt idx="0">
                  <c:v>99.291139240506325</c:v>
                </c:pt>
                <c:pt idx="1">
                  <c:v>56.29535864978903</c:v>
                </c:pt>
                <c:pt idx="2">
                  <c:v>59.037974683544299</c:v>
                </c:pt>
                <c:pt idx="3">
                  <c:v>64.219409282700425</c:v>
                </c:pt>
              </c:numCache>
            </c:numRef>
          </c:val>
        </c:ser>
        <c:ser>
          <c:idx val="2"/>
          <c:order val="2"/>
          <c:tx>
            <c:strRef>
              <c:f>'Pivot fig 2'!$Q$3</c:f>
              <c:strCache>
                <c:ptCount val="1"/>
                <c:pt idx="0">
                  <c:v>T3</c:v>
                </c:pt>
              </c:strCache>
            </c:strRef>
          </c:tx>
          <c:spPr>
            <a:solidFill>
              <a:schemeClr val="accent1">
                <a:shade val="86000"/>
              </a:schemeClr>
            </a:solidFill>
            <a:ln>
              <a:noFill/>
            </a:ln>
            <a:effectLst/>
          </c:spPr>
          <c:invertIfNegative val="0"/>
          <c:errBars>
            <c:errBarType val="plus"/>
            <c:errValType val="cust"/>
            <c:noEndCap val="0"/>
            <c:plus>
              <c:numRef>
                <c:f>'Pivot fig 2'!$Q$14:$Q$19</c:f>
                <c:numCache>
                  <c:formatCode>General</c:formatCode>
                  <c:ptCount val="6"/>
                  <c:pt idx="0">
                    <c:v>36.627345095582974</c:v>
                  </c:pt>
                  <c:pt idx="1">
                    <c:v>30.920622870949611</c:v>
                  </c:pt>
                  <c:pt idx="2">
                    <c:v>55.018144724819322</c:v>
                  </c:pt>
                  <c:pt idx="3">
                    <c:v>26.656243517494072</c:v>
                  </c:pt>
                </c:numCache>
              </c:numRef>
            </c:plus>
            <c:minus>
              <c:numRef>
                <c:f>'Pivot fig 2'!$Q$14:$Q$18</c:f>
                <c:numCache>
                  <c:formatCode>General</c:formatCode>
                  <c:ptCount val="5"/>
                  <c:pt idx="0">
                    <c:v>36.627345095582974</c:v>
                  </c:pt>
                  <c:pt idx="1">
                    <c:v>30.920622870949611</c:v>
                  </c:pt>
                  <c:pt idx="2">
                    <c:v>55.018144724819322</c:v>
                  </c:pt>
                  <c:pt idx="3">
                    <c:v>26.656243517494072</c:v>
                  </c:pt>
                </c:numCache>
              </c:numRef>
            </c:minus>
            <c:spPr>
              <a:noFill/>
              <a:ln w="9525" cap="flat" cmpd="sng" algn="ctr">
                <a:solidFill>
                  <a:schemeClr val="tx1">
                    <a:lumMod val="65000"/>
                    <a:lumOff val="35000"/>
                  </a:schemeClr>
                </a:solidFill>
                <a:prstDash val="solid"/>
                <a:round/>
              </a:ln>
              <a:effectLst/>
            </c:spPr>
          </c:errBars>
          <c:cat>
            <c:strRef>
              <c:f>'Pivot fig 2'!$B$4:$B$7</c:f>
              <c:strCache>
                <c:ptCount val="4"/>
                <c:pt idx="0">
                  <c:v>GIN</c:v>
                </c:pt>
                <c:pt idx="1">
                  <c:v>GW</c:v>
                </c:pt>
                <c:pt idx="2">
                  <c:v>ME</c:v>
                </c:pt>
                <c:pt idx="3">
                  <c:v>MO</c:v>
                </c:pt>
              </c:strCache>
            </c:strRef>
          </c:cat>
          <c:val>
            <c:numRef>
              <c:f>'Pivot fig 2'!$Q$4:$Q$7</c:f>
              <c:numCache>
                <c:formatCode>0.00</c:formatCode>
                <c:ptCount val="4"/>
                <c:pt idx="0">
                  <c:v>52.18009478672986</c:v>
                </c:pt>
                <c:pt idx="1">
                  <c:v>47.432859399684048</c:v>
                </c:pt>
                <c:pt idx="2">
                  <c:v>131.75355450236967</c:v>
                </c:pt>
                <c:pt idx="3">
                  <c:v>78.704581358609801</c:v>
                </c:pt>
              </c:numCache>
            </c:numRef>
          </c:val>
        </c:ser>
        <c:ser>
          <c:idx val="3"/>
          <c:order val="3"/>
          <c:tx>
            <c:strRef>
              <c:f>'Pivot fig 2'!$R$3</c:f>
              <c:strCache>
                <c:ptCount val="1"/>
                <c:pt idx="0">
                  <c:v>T4</c:v>
                </c:pt>
              </c:strCache>
            </c:strRef>
          </c:tx>
          <c:spPr>
            <a:solidFill>
              <a:schemeClr val="accent1">
                <a:shade val="58000"/>
              </a:schemeClr>
            </a:solidFill>
            <a:ln>
              <a:noFill/>
            </a:ln>
            <a:effectLst/>
          </c:spPr>
          <c:invertIfNegative val="0"/>
          <c:errBars>
            <c:errBarType val="plus"/>
            <c:errValType val="cust"/>
            <c:noEndCap val="0"/>
            <c:plus>
              <c:numRef>
                <c:f>'Pivot fig 2'!$R$14:$R$18</c:f>
                <c:numCache>
                  <c:formatCode>General</c:formatCode>
                  <c:ptCount val="5"/>
                  <c:pt idx="0">
                    <c:v>27.671204952278597</c:v>
                  </c:pt>
                  <c:pt idx="1">
                    <c:v>50.210806101215177</c:v>
                  </c:pt>
                  <c:pt idx="2">
                    <c:v>10.021735911307218</c:v>
                  </c:pt>
                  <c:pt idx="3">
                    <c:v>16.860305875987539</c:v>
                  </c:pt>
                </c:numCache>
              </c:numRef>
            </c:plus>
            <c:minus>
              <c:numRef>
                <c:f>'Pivot fig 2'!$R$14:$R$18</c:f>
                <c:numCache>
                  <c:formatCode>General</c:formatCode>
                  <c:ptCount val="5"/>
                  <c:pt idx="0">
                    <c:v>27.671204952278597</c:v>
                  </c:pt>
                  <c:pt idx="1">
                    <c:v>50.210806101215177</c:v>
                  </c:pt>
                  <c:pt idx="2">
                    <c:v>10.021735911307218</c:v>
                  </c:pt>
                  <c:pt idx="3">
                    <c:v>16.860305875987539</c:v>
                  </c:pt>
                </c:numCache>
              </c:numRef>
            </c:minus>
            <c:spPr>
              <a:noFill/>
              <a:ln w="9525" cap="flat" cmpd="sng" algn="ctr">
                <a:solidFill>
                  <a:schemeClr val="tx1">
                    <a:lumMod val="65000"/>
                    <a:lumOff val="35000"/>
                  </a:schemeClr>
                </a:solidFill>
                <a:prstDash val="solid"/>
                <a:round/>
              </a:ln>
              <a:effectLst/>
            </c:spPr>
          </c:errBars>
          <c:cat>
            <c:strRef>
              <c:f>'Pivot fig 2'!$B$4:$B$7</c:f>
              <c:strCache>
                <c:ptCount val="4"/>
                <c:pt idx="0">
                  <c:v>GIN</c:v>
                </c:pt>
                <c:pt idx="1">
                  <c:v>GW</c:v>
                </c:pt>
                <c:pt idx="2">
                  <c:v>ME</c:v>
                </c:pt>
                <c:pt idx="3">
                  <c:v>MO</c:v>
                </c:pt>
              </c:strCache>
            </c:strRef>
          </c:cat>
          <c:val>
            <c:numRef>
              <c:f>'Pivot fig 2'!$R$4:$R$7</c:f>
              <c:numCache>
                <c:formatCode>0.00</c:formatCode>
                <c:ptCount val="4"/>
                <c:pt idx="0">
                  <c:v>38.348371910553155</c:v>
                </c:pt>
                <c:pt idx="1">
                  <c:v>31.482934484111411</c:v>
                </c:pt>
                <c:pt idx="2">
                  <c:v>10.952007323133254</c:v>
                </c:pt>
                <c:pt idx="3">
                  <c:v>22.45978815221655</c:v>
                </c:pt>
              </c:numCache>
            </c:numRef>
          </c:val>
        </c:ser>
        <c:dLbls>
          <c:showLegendKey val="0"/>
          <c:showVal val="0"/>
          <c:showCatName val="0"/>
          <c:showSerName val="0"/>
          <c:showPercent val="0"/>
          <c:showBubbleSize val="0"/>
        </c:dLbls>
        <c:gapWidth val="219"/>
        <c:overlap val="-27"/>
        <c:axId val="661278968"/>
        <c:axId val="661279360"/>
      </c:barChart>
      <c:catAx>
        <c:axId val="661278968"/>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61279360"/>
        <c:crosses val="autoZero"/>
        <c:auto val="1"/>
        <c:lblAlgn val="ctr"/>
        <c:lblOffset val="100"/>
        <c:noMultiLvlLbl val="0"/>
      </c:catAx>
      <c:valAx>
        <c:axId val="6612793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AU"/>
                  <a:t>Filterable Reactive Phosphorus</a:t>
                </a:r>
              </a:p>
              <a:p>
                <a:pPr>
                  <a:defRPr/>
                </a:pPr>
                <a:r>
                  <a:rPr lang="en-AU"/>
                  <a:t>(µg/L) ±SD</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9525" cap="flat" cmpd="sng" algn="ctr">
            <a:solidFill>
              <a:schemeClr val="bg1">
                <a:lumMod val="50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61278968"/>
        <c:crosses val="autoZero"/>
        <c:crossBetween val="between"/>
      </c:valAx>
      <c:spPr>
        <a:noFill/>
        <a:ln>
          <a:noFill/>
        </a:ln>
        <a:effectLst/>
      </c:spPr>
    </c:plotArea>
    <c:legend>
      <c:legendPos val="b"/>
      <c:layout>
        <c:manualLayout>
          <c:xMode val="edge"/>
          <c:yMode val="edge"/>
          <c:x val="0.52991624042761698"/>
          <c:y val="2.9301325733355262E-2"/>
          <c:w val="0.42155844774455586"/>
          <c:h val="9.087535751766526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b="0">
          <a:latin typeface="Arial" panose="020B0604020202020204" pitchFamily="34" charset="0"/>
          <a:cs typeface="Arial" panose="020B0604020202020204" pitchFamily="34" charset="0"/>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vert="horz"/>
          <a:lstStyle/>
          <a:p>
            <a:pPr>
              <a:defRPr sz="1000"/>
            </a:pPr>
            <a:r>
              <a:rPr lang="en-AU" sz="1000"/>
              <a:t>(a)</a:t>
            </a:r>
          </a:p>
        </c:rich>
      </c:tx>
      <c:layout>
        <c:manualLayout>
          <c:xMode val="edge"/>
          <c:yMode val="edge"/>
          <c:x val="1.8786559529888117E-3"/>
          <c:y val="1.3505059079510972E-2"/>
        </c:manualLayout>
      </c:layout>
      <c:overlay val="0"/>
      <c:spPr>
        <a:noFill/>
        <a:ln w="25394">
          <a:noFill/>
        </a:ln>
      </c:spPr>
    </c:title>
    <c:autoTitleDeleted val="0"/>
    <c:plotArea>
      <c:layout>
        <c:manualLayout>
          <c:layoutTarget val="inner"/>
          <c:xMode val="edge"/>
          <c:yMode val="edge"/>
          <c:x val="0.23738527177494884"/>
          <c:y val="0.13722956595052768"/>
          <c:w val="0.73961705227375207"/>
          <c:h val="0.76995415606509987"/>
        </c:manualLayout>
      </c:layout>
      <c:barChart>
        <c:barDir val="col"/>
        <c:grouping val="clustered"/>
        <c:varyColors val="0"/>
        <c:ser>
          <c:idx val="0"/>
          <c:order val="0"/>
          <c:tx>
            <c:strRef>
              <c:f>'Pivot fig 2'!$S$3</c:f>
              <c:strCache>
                <c:ptCount val="1"/>
                <c:pt idx="0">
                  <c:v>T1</c:v>
                </c:pt>
              </c:strCache>
            </c:strRef>
          </c:tx>
          <c:spPr>
            <a:solidFill>
              <a:schemeClr val="accent5">
                <a:tint val="58000"/>
              </a:schemeClr>
            </a:solidFill>
            <a:ln>
              <a:noFill/>
            </a:ln>
            <a:effectLst/>
          </c:spPr>
          <c:invertIfNegative val="0"/>
          <c:errBars>
            <c:errBarType val="plus"/>
            <c:errValType val="cust"/>
            <c:noEndCap val="0"/>
            <c:plus>
              <c:numRef>
                <c:f>'Pivot fig 2'!$S$14:$S$18</c:f>
                <c:numCache>
                  <c:formatCode>General</c:formatCode>
                  <c:ptCount val="5"/>
                  <c:pt idx="0">
                    <c:v>1.8266453770048983</c:v>
                  </c:pt>
                  <c:pt idx="1">
                    <c:v>1.1306093489795701</c:v>
                  </c:pt>
                  <c:pt idx="2">
                    <c:v>2.7102444539192359</c:v>
                  </c:pt>
                  <c:pt idx="3">
                    <c:v>1.9299632984420487</c:v>
                  </c:pt>
                </c:numCache>
              </c:numRef>
            </c:plus>
            <c:spPr>
              <a:solidFill>
                <a:schemeClr val="accent5">
                  <a:tint val="58000"/>
                </a:schemeClr>
              </a:solidFill>
              <a:ln>
                <a:noFill/>
              </a:ln>
              <a:effectLst/>
            </c:spPr>
          </c:errBars>
          <c:cat>
            <c:strRef>
              <c:f>'Pivot fig 2'!$B$4:$B$7</c:f>
              <c:strCache>
                <c:ptCount val="4"/>
                <c:pt idx="0">
                  <c:v>GIN</c:v>
                </c:pt>
                <c:pt idx="1">
                  <c:v>GW</c:v>
                </c:pt>
                <c:pt idx="2">
                  <c:v>ME</c:v>
                </c:pt>
                <c:pt idx="3">
                  <c:v>MO</c:v>
                </c:pt>
              </c:strCache>
            </c:strRef>
          </c:cat>
          <c:val>
            <c:numRef>
              <c:f>'Pivot fig 2'!$S$4:$S$7</c:f>
              <c:numCache>
                <c:formatCode>0.00</c:formatCode>
                <c:ptCount val="4"/>
                <c:pt idx="0">
                  <c:v>11.256666666666666</c:v>
                </c:pt>
                <c:pt idx="1">
                  <c:v>5.8975</c:v>
                </c:pt>
                <c:pt idx="2">
                  <c:v>9.8650000000000002</c:v>
                </c:pt>
                <c:pt idx="3">
                  <c:v>10.836666666666668</c:v>
                </c:pt>
              </c:numCache>
            </c:numRef>
          </c:val>
        </c:ser>
        <c:ser>
          <c:idx val="1"/>
          <c:order val="1"/>
          <c:tx>
            <c:strRef>
              <c:f>'Pivot fig 2'!$T$3</c:f>
              <c:strCache>
                <c:ptCount val="1"/>
                <c:pt idx="0">
                  <c:v>T2</c:v>
                </c:pt>
              </c:strCache>
            </c:strRef>
          </c:tx>
          <c:spPr>
            <a:solidFill>
              <a:schemeClr val="accent5">
                <a:tint val="86000"/>
              </a:schemeClr>
            </a:solidFill>
            <a:ln>
              <a:noFill/>
            </a:ln>
            <a:effectLst/>
          </c:spPr>
          <c:invertIfNegative val="0"/>
          <c:errBars>
            <c:errBarType val="plus"/>
            <c:errValType val="cust"/>
            <c:noEndCap val="0"/>
            <c:plus>
              <c:numRef>
                <c:f>'Pivot fig 2'!$T$14:$T$18</c:f>
                <c:numCache>
                  <c:formatCode>General</c:formatCode>
                  <c:ptCount val="5"/>
                  <c:pt idx="0">
                    <c:v>2.1219095173923339</c:v>
                  </c:pt>
                  <c:pt idx="1">
                    <c:v>1.8911885592575519</c:v>
                  </c:pt>
                  <c:pt idx="2">
                    <c:v>1.0675087821652907</c:v>
                  </c:pt>
                  <c:pt idx="3">
                    <c:v>2.85111527885726</c:v>
                  </c:pt>
                </c:numCache>
              </c:numRef>
            </c:plus>
            <c:spPr>
              <a:solidFill>
                <a:schemeClr val="accent5">
                  <a:tint val="86000"/>
                </a:schemeClr>
              </a:solidFill>
              <a:ln>
                <a:noFill/>
              </a:ln>
              <a:effectLst/>
            </c:spPr>
          </c:errBars>
          <c:cat>
            <c:strRef>
              <c:f>'Pivot fig 2'!$B$4:$B$7</c:f>
              <c:strCache>
                <c:ptCount val="4"/>
                <c:pt idx="0">
                  <c:v>GIN</c:v>
                </c:pt>
                <c:pt idx="1">
                  <c:v>GW</c:v>
                </c:pt>
                <c:pt idx="2">
                  <c:v>ME</c:v>
                </c:pt>
                <c:pt idx="3">
                  <c:v>MO</c:v>
                </c:pt>
              </c:strCache>
            </c:strRef>
          </c:cat>
          <c:val>
            <c:numRef>
              <c:f>'Pivot fig 2'!$T$4:$T$7</c:f>
              <c:numCache>
                <c:formatCode>0.00</c:formatCode>
                <c:ptCount val="4"/>
                <c:pt idx="0">
                  <c:v>20.399999999999999</c:v>
                </c:pt>
                <c:pt idx="1">
                  <c:v>9.0291666666666668</c:v>
                </c:pt>
                <c:pt idx="2">
                  <c:v>9.18</c:v>
                </c:pt>
                <c:pt idx="3">
                  <c:v>10.263333333333334</c:v>
                </c:pt>
              </c:numCache>
            </c:numRef>
          </c:val>
        </c:ser>
        <c:ser>
          <c:idx val="2"/>
          <c:order val="2"/>
          <c:tx>
            <c:strRef>
              <c:f>'Pivot fig 2'!$U$3</c:f>
              <c:strCache>
                <c:ptCount val="1"/>
                <c:pt idx="0">
                  <c:v>T3</c:v>
                </c:pt>
              </c:strCache>
            </c:strRef>
          </c:tx>
          <c:spPr>
            <a:solidFill>
              <a:schemeClr val="accent5">
                <a:shade val="86000"/>
              </a:schemeClr>
            </a:solidFill>
            <a:ln>
              <a:noFill/>
            </a:ln>
            <a:effectLst/>
          </c:spPr>
          <c:invertIfNegative val="0"/>
          <c:errBars>
            <c:errBarType val="plus"/>
            <c:errValType val="cust"/>
            <c:noEndCap val="0"/>
            <c:plus>
              <c:numRef>
                <c:f>'Pivot fig 2'!$U$14:$U$18</c:f>
                <c:numCache>
                  <c:formatCode>General</c:formatCode>
                  <c:ptCount val="5"/>
                  <c:pt idx="0">
                    <c:v>1.4511489700692966</c:v>
                  </c:pt>
                  <c:pt idx="1">
                    <c:v>2.4816949852872723</c:v>
                  </c:pt>
                  <c:pt idx="2">
                    <c:v>5.9771091117138928</c:v>
                  </c:pt>
                  <c:pt idx="3">
                    <c:v>2.8558419657490339</c:v>
                  </c:pt>
                </c:numCache>
              </c:numRef>
            </c:plus>
            <c:spPr>
              <a:solidFill>
                <a:schemeClr val="accent5">
                  <a:shade val="86000"/>
                </a:schemeClr>
              </a:solidFill>
              <a:ln>
                <a:noFill/>
              </a:ln>
              <a:effectLst/>
            </c:spPr>
          </c:errBars>
          <c:cat>
            <c:strRef>
              <c:f>'Pivot fig 2'!$B$4:$B$7</c:f>
              <c:strCache>
                <c:ptCount val="4"/>
                <c:pt idx="0">
                  <c:v>GIN</c:v>
                </c:pt>
                <c:pt idx="1">
                  <c:v>GW</c:v>
                </c:pt>
                <c:pt idx="2">
                  <c:v>ME</c:v>
                </c:pt>
                <c:pt idx="3">
                  <c:v>MO</c:v>
                </c:pt>
              </c:strCache>
            </c:strRef>
          </c:cat>
          <c:val>
            <c:numRef>
              <c:f>'Pivot fig 2'!$U$4:$U$7</c:f>
              <c:numCache>
                <c:formatCode>0.00</c:formatCode>
                <c:ptCount val="4"/>
                <c:pt idx="0">
                  <c:v>22.966666666666669</c:v>
                </c:pt>
                <c:pt idx="1">
                  <c:v>11.33</c:v>
                </c:pt>
                <c:pt idx="2">
                  <c:v>16.666666666666668</c:v>
                </c:pt>
                <c:pt idx="3">
                  <c:v>16.866666666666667</c:v>
                </c:pt>
              </c:numCache>
            </c:numRef>
          </c:val>
        </c:ser>
        <c:ser>
          <c:idx val="3"/>
          <c:order val="3"/>
          <c:tx>
            <c:strRef>
              <c:f>'Pivot fig 2'!$V$3</c:f>
              <c:strCache>
                <c:ptCount val="1"/>
                <c:pt idx="0">
                  <c:v>T4</c:v>
                </c:pt>
              </c:strCache>
            </c:strRef>
          </c:tx>
          <c:spPr>
            <a:solidFill>
              <a:schemeClr val="accent5">
                <a:shade val="58000"/>
              </a:schemeClr>
            </a:solidFill>
            <a:ln>
              <a:noFill/>
            </a:ln>
            <a:effectLst/>
          </c:spPr>
          <c:invertIfNegative val="0"/>
          <c:errBars>
            <c:errBarType val="plus"/>
            <c:errValType val="cust"/>
            <c:noEndCap val="0"/>
            <c:plus>
              <c:numRef>
                <c:f>'Pivot fig 2'!$V$14:$V$18</c:f>
                <c:numCache>
                  <c:formatCode>General</c:formatCode>
                  <c:ptCount val="5"/>
                  <c:pt idx="0">
                    <c:v>5.79827560572968</c:v>
                  </c:pt>
                  <c:pt idx="1">
                    <c:v>0.68831164211183404</c:v>
                  </c:pt>
                  <c:pt idx="2">
                    <c:v>8.0754416803871099</c:v>
                  </c:pt>
                  <c:pt idx="3">
                    <c:v>6.3254117125554181</c:v>
                  </c:pt>
                </c:numCache>
              </c:numRef>
            </c:plus>
            <c:spPr>
              <a:solidFill>
                <a:schemeClr val="accent5">
                  <a:shade val="58000"/>
                </a:schemeClr>
              </a:solidFill>
              <a:ln>
                <a:noFill/>
              </a:ln>
              <a:effectLst/>
            </c:spPr>
          </c:errBars>
          <c:cat>
            <c:strRef>
              <c:f>'Pivot fig 2'!$B$4:$B$7</c:f>
              <c:strCache>
                <c:ptCount val="4"/>
                <c:pt idx="0">
                  <c:v>GIN</c:v>
                </c:pt>
                <c:pt idx="1">
                  <c:v>GW</c:v>
                </c:pt>
                <c:pt idx="2">
                  <c:v>ME</c:v>
                </c:pt>
                <c:pt idx="3">
                  <c:v>MO</c:v>
                </c:pt>
              </c:strCache>
            </c:strRef>
          </c:cat>
          <c:val>
            <c:numRef>
              <c:f>'Pivot fig 2'!$V$4:$V$7</c:f>
              <c:numCache>
                <c:formatCode>0.00</c:formatCode>
                <c:ptCount val="4"/>
                <c:pt idx="0">
                  <c:v>31.85</c:v>
                </c:pt>
                <c:pt idx="1">
                  <c:v>10.071249999999999</c:v>
                </c:pt>
                <c:pt idx="2">
                  <c:v>17.151666666666667</c:v>
                </c:pt>
                <c:pt idx="3">
                  <c:v>20.416666666666668</c:v>
                </c:pt>
              </c:numCache>
            </c:numRef>
          </c:val>
        </c:ser>
        <c:dLbls>
          <c:showLegendKey val="0"/>
          <c:showVal val="0"/>
          <c:showCatName val="0"/>
          <c:showSerName val="0"/>
          <c:showPercent val="0"/>
          <c:showBubbleSize val="0"/>
        </c:dLbls>
        <c:gapWidth val="219"/>
        <c:overlap val="-27"/>
        <c:axId val="399711688"/>
        <c:axId val="661278184"/>
      </c:barChart>
      <c:catAx>
        <c:axId val="399711688"/>
        <c:scaling>
          <c:orientation val="minMax"/>
        </c:scaling>
        <c:delete val="0"/>
        <c:axPos val="b"/>
        <c:numFmt formatCode="General" sourceLinked="1"/>
        <c:majorTickMark val="out"/>
        <c:minorTickMark val="none"/>
        <c:tickLblPos val="nextTo"/>
        <c:spPr>
          <a:noFill/>
          <a:ln w="9523" cap="flat" cmpd="sng" algn="ctr">
            <a:solidFill>
              <a:sysClr val="window" lastClr="FFFFFF">
                <a:lumMod val="50000"/>
              </a:sysClr>
            </a:solidFill>
            <a:round/>
          </a:ln>
          <a:effectLst/>
        </c:spPr>
        <c:txPr>
          <a:bodyPr rot="-60000000" vert="horz"/>
          <a:lstStyle/>
          <a:p>
            <a:pPr>
              <a:defRPr/>
            </a:pPr>
            <a:endParaRPr lang="en-US"/>
          </a:p>
        </c:txPr>
        <c:crossAx val="661278184"/>
        <c:crosses val="autoZero"/>
        <c:auto val="1"/>
        <c:lblAlgn val="ctr"/>
        <c:lblOffset val="100"/>
        <c:noMultiLvlLbl val="0"/>
      </c:catAx>
      <c:valAx>
        <c:axId val="661278184"/>
        <c:scaling>
          <c:orientation val="minMax"/>
        </c:scaling>
        <c:delete val="0"/>
        <c:axPos val="l"/>
        <c:title>
          <c:tx>
            <c:rich>
              <a:bodyPr/>
              <a:lstStyle/>
              <a:p>
                <a:pPr>
                  <a:defRPr sz="1200" b="0" i="0" u="none" strike="noStrike" baseline="0">
                    <a:solidFill>
                      <a:srgbClr val="000000"/>
                    </a:solidFill>
                    <a:latin typeface="Verdana"/>
                    <a:ea typeface="Verdana"/>
                    <a:cs typeface="Verdana"/>
                  </a:defRPr>
                </a:pPr>
                <a:r>
                  <a:rPr lang="en-AU" sz="1000" b="0" i="0" u="none" strike="noStrike" baseline="0">
                    <a:solidFill>
                      <a:srgbClr val="000000"/>
                    </a:solidFill>
                    <a:latin typeface="Arial"/>
                    <a:cs typeface="Arial"/>
                  </a:rPr>
                  <a:t>Dissolved Organic Carbon (µg/mL) ±SD</a:t>
                </a:r>
              </a:p>
            </c:rich>
          </c:tx>
          <c:overlay val="0"/>
          <c:spPr>
            <a:noFill/>
            <a:ln w="25394">
              <a:noFill/>
            </a:ln>
          </c:spPr>
        </c:title>
        <c:numFmt formatCode="0" sourceLinked="0"/>
        <c:majorTickMark val="out"/>
        <c:minorTickMark val="none"/>
        <c:tickLblPos val="nextTo"/>
        <c:spPr>
          <a:noFill/>
          <a:ln>
            <a:solidFill>
              <a:sysClr val="window" lastClr="FFFFFF">
                <a:lumMod val="50000"/>
              </a:sysClr>
            </a:solidFill>
          </a:ln>
          <a:effectLst/>
        </c:spPr>
        <c:txPr>
          <a:bodyPr rot="-60000000" vert="horz"/>
          <a:lstStyle/>
          <a:p>
            <a:pPr>
              <a:defRPr/>
            </a:pPr>
            <a:endParaRPr lang="en-US"/>
          </a:p>
        </c:txPr>
        <c:crossAx val="399711688"/>
        <c:crosses val="autoZero"/>
        <c:crossBetween val="between"/>
      </c:valAx>
      <c:spPr>
        <a:noFill/>
        <a:ln w="25394">
          <a:noFill/>
        </a:ln>
      </c:spPr>
    </c:plotArea>
    <c:legend>
      <c:legendPos val="b"/>
      <c:layout>
        <c:manualLayout>
          <c:xMode val="edge"/>
          <c:yMode val="edge"/>
          <c:wMode val="edge"/>
          <c:hMode val="edge"/>
          <c:x val="0.49190185697777539"/>
          <c:y val="2.7152182185405261E-2"/>
          <c:w val="0.95587971298809493"/>
          <c:h val="0.11324493360263052"/>
        </c:manualLayout>
      </c:layout>
      <c:overlay val="0"/>
      <c:spPr>
        <a:noFill/>
        <a:ln w="25394">
          <a:noFill/>
        </a:ln>
      </c:spPr>
      <c:txPr>
        <a:bodyPr rot="0" vert="horz"/>
        <a:lstStyle/>
        <a:p>
          <a:pPr>
            <a:defRPr/>
          </a:pPr>
          <a:endParaRPr lang="en-US"/>
        </a:p>
      </c:txPr>
    </c:legend>
    <c:plotVisOnly val="1"/>
    <c:dispBlanksAs val="gap"/>
    <c:showDLblsOverMax val="0"/>
  </c:chart>
  <c:spPr>
    <a:solidFill>
      <a:schemeClr val="bg1"/>
    </a:solidFill>
    <a:ln>
      <a:noFill/>
    </a:ln>
    <a:effectLst/>
  </c:spPr>
  <c:txPr>
    <a:bodyPr/>
    <a:lstStyle/>
    <a:p>
      <a:pPr>
        <a:defRPr b="0">
          <a:latin typeface="Arial" panose="020B0604020202020204" pitchFamily="34" charset="0"/>
          <a:cs typeface="Arial" panose="020B0604020202020204" pitchFamily="34" charset="0"/>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vert="horz"/>
          <a:lstStyle/>
          <a:p>
            <a:pPr>
              <a:defRPr sz="999"/>
            </a:pPr>
            <a:r>
              <a:rPr lang="en-AU" sz="999"/>
              <a:t>(b)</a:t>
            </a:r>
          </a:p>
        </c:rich>
      </c:tx>
      <c:layout>
        <c:manualLayout>
          <c:xMode val="edge"/>
          <c:yMode val="edge"/>
          <c:x val="1.0737294201861132E-3"/>
          <c:y val="3.1797488728543079E-2"/>
        </c:manualLayout>
      </c:layout>
      <c:overlay val="0"/>
      <c:spPr>
        <a:noFill/>
        <a:ln w="25370">
          <a:noFill/>
        </a:ln>
      </c:spPr>
    </c:title>
    <c:autoTitleDeleted val="0"/>
    <c:plotArea>
      <c:layout>
        <c:manualLayout>
          <c:layoutTarget val="inner"/>
          <c:xMode val="edge"/>
          <c:yMode val="edge"/>
          <c:x val="0.2157051242271816"/>
          <c:y val="0.16121636310612686"/>
          <c:w val="0.76609474705101177"/>
          <c:h val="0.72787330876569734"/>
        </c:manualLayout>
      </c:layout>
      <c:barChart>
        <c:barDir val="col"/>
        <c:grouping val="clustered"/>
        <c:varyColors val="0"/>
        <c:ser>
          <c:idx val="0"/>
          <c:order val="0"/>
          <c:tx>
            <c:strRef>
              <c:f>'Pivot fig 2'!$AA$3</c:f>
              <c:strCache>
                <c:ptCount val="1"/>
                <c:pt idx="0">
                  <c:v>T1</c:v>
                </c:pt>
              </c:strCache>
            </c:strRef>
          </c:tx>
          <c:spPr>
            <a:solidFill>
              <a:schemeClr val="accent5">
                <a:tint val="58000"/>
              </a:schemeClr>
            </a:solidFill>
            <a:ln>
              <a:noFill/>
            </a:ln>
            <a:effectLst/>
          </c:spPr>
          <c:invertIfNegative val="0"/>
          <c:errBars>
            <c:errBarType val="plus"/>
            <c:errValType val="cust"/>
            <c:noEndCap val="0"/>
            <c:plus>
              <c:numRef>
                <c:f>'Pivot fig 2'!$AA$14:$AA$18</c:f>
                <c:numCache>
                  <c:formatCode>General</c:formatCode>
                  <c:ptCount val="5"/>
                  <c:pt idx="0">
                    <c:v>4.522301238951786</c:v>
                  </c:pt>
                  <c:pt idx="1">
                    <c:v>6.5756153101692778</c:v>
                  </c:pt>
                  <c:pt idx="2">
                    <c:v>57.338632976214519</c:v>
                  </c:pt>
                  <c:pt idx="3">
                    <c:v>7.1082972011093197</c:v>
                  </c:pt>
                </c:numCache>
              </c:numRef>
            </c:plus>
            <c:spPr>
              <a:solidFill>
                <a:schemeClr val="accent5">
                  <a:tint val="58000"/>
                </a:schemeClr>
              </a:solidFill>
              <a:ln>
                <a:noFill/>
              </a:ln>
              <a:effectLst/>
            </c:spPr>
          </c:errBars>
          <c:cat>
            <c:strRef>
              <c:f>'Pivot fig 2'!$B$4:$B$7</c:f>
              <c:strCache>
                <c:ptCount val="4"/>
                <c:pt idx="0">
                  <c:v>GIN</c:v>
                </c:pt>
                <c:pt idx="1">
                  <c:v>GW</c:v>
                </c:pt>
                <c:pt idx="2">
                  <c:v>ME</c:v>
                </c:pt>
                <c:pt idx="3">
                  <c:v>MO</c:v>
                </c:pt>
              </c:strCache>
            </c:strRef>
          </c:cat>
          <c:val>
            <c:numRef>
              <c:f>'Pivot fig 2'!$AA$4:$AA$7</c:f>
              <c:numCache>
                <c:formatCode>0.00</c:formatCode>
                <c:ptCount val="4"/>
                <c:pt idx="0">
                  <c:v>27.151761517615174</c:v>
                </c:pt>
                <c:pt idx="1">
                  <c:v>25.862137254827278</c:v>
                </c:pt>
                <c:pt idx="2">
                  <c:v>47.311267605633795</c:v>
                </c:pt>
                <c:pt idx="3">
                  <c:v>35.630906768837811</c:v>
                </c:pt>
              </c:numCache>
            </c:numRef>
          </c:val>
        </c:ser>
        <c:ser>
          <c:idx val="1"/>
          <c:order val="1"/>
          <c:tx>
            <c:strRef>
              <c:f>'Pivot fig 2'!$AB$3</c:f>
              <c:strCache>
                <c:ptCount val="1"/>
                <c:pt idx="0">
                  <c:v>T2</c:v>
                </c:pt>
              </c:strCache>
            </c:strRef>
          </c:tx>
          <c:spPr>
            <a:solidFill>
              <a:schemeClr val="accent5">
                <a:tint val="86000"/>
              </a:schemeClr>
            </a:solidFill>
            <a:ln>
              <a:noFill/>
            </a:ln>
            <a:effectLst/>
          </c:spPr>
          <c:invertIfNegative val="0"/>
          <c:errBars>
            <c:errBarType val="plus"/>
            <c:errValType val="cust"/>
            <c:noEndCap val="0"/>
            <c:plus>
              <c:numRef>
                <c:f>'Pivot fig 2'!$AB$14:$AB$18</c:f>
                <c:numCache>
                  <c:formatCode>General</c:formatCode>
                  <c:ptCount val="5"/>
                  <c:pt idx="0">
                    <c:v>8.0052066390152348</c:v>
                  </c:pt>
                  <c:pt idx="1">
                    <c:v>11.698174169515674</c:v>
                  </c:pt>
                  <c:pt idx="2">
                    <c:v>26.120360780729197</c:v>
                  </c:pt>
                  <c:pt idx="3">
                    <c:v>14.089742131541408</c:v>
                  </c:pt>
                </c:numCache>
              </c:numRef>
            </c:plus>
            <c:spPr>
              <a:solidFill>
                <a:schemeClr val="accent5">
                  <a:tint val="86000"/>
                </a:schemeClr>
              </a:solidFill>
              <a:ln>
                <a:noFill/>
              </a:ln>
              <a:effectLst/>
            </c:spPr>
          </c:errBars>
          <c:cat>
            <c:strRef>
              <c:f>'Pivot fig 2'!$B$4:$B$7</c:f>
              <c:strCache>
                <c:ptCount val="4"/>
                <c:pt idx="0">
                  <c:v>GIN</c:v>
                </c:pt>
                <c:pt idx="1">
                  <c:v>GW</c:v>
                </c:pt>
                <c:pt idx="2">
                  <c:v>ME</c:v>
                </c:pt>
                <c:pt idx="3">
                  <c:v>MO</c:v>
                </c:pt>
              </c:strCache>
            </c:strRef>
          </c:cat>
          <c:val>
            <c:numRef>
              <c:f>'Pivot fig 2'!$AB$4:$AB$7</c:f>
              <c:numCache>
                <c:formatCode>0.00</c:formatCode>
                <c:ptCount val="4"/>
                <c:pt idx="0">
                  <c:v>19.166666666666682</c:v>
                </c:pt>
                <c:pt idx="1">
                  <c:v>61.199090205187765</c:v>
                </c:pt>
                <c:pt idx="2">
                  <c:v>50.599567099567103</c:v>
                </c:pt>
                <c:pt idx="3">
                  <c:v>69.988095238095255</c:v>
                </c:pt>
              </c:numCache>
            </c:numRef>
          </c:val>
        </c:ser>
        <c:ser>
          <c:idx val="2"/>
          <c:order val="2"/>
          <c:tx>
            <c:strRef>
              <c:f>'Pivot fig 2'!$AC$3</c:f>
              <c:strCache>
                <c:ptCount val="1"/>
                <c:pt idx="0">
                  <c:v>T3</c:v>
                </c:pt>
              </c:strCache>
            </c:strRef>
          </c:tx>
          <c:spPr>
            <a:solidFill>
              <a:schemeClr val="accent5">
                <a:shade val="86000"/>
              </a:schemeClr>
            </a:solidFill>
            <a:ln>
              <a:noFill/>
            </a:ln>
            <a:effectLst/>
          </c:spPr>
          <c:invertIfNegative val="0"/>
          <c:errBars>
            <c:errBarType val="plus"/>
            <c:errValType val="cust"/>
            <c:noEndCap val="0"/>
            <c:plus>
              <c:numRef>
                <c:f>'Pivot fig 2'!$AC$14:$AC$18</c:f>
                <c:numCache>
                  <c:formatCode>General</c:formatCode>
                  <c:ptCount val="5"/>
                  <c:pt idx="0">
                    <c:v>12.276943159163615</c:v>
                  </c:pt>
                  <c:pt idx="1">
                    <c:v>12.706601492889609</c:v>
                  </c:pt>
                  <c:pt idx="2">
                    <c:v>36.09325594972686</c:v>
                  </c:pt>
                  <c:pt idx="3">
                    <c:v>40.112177190210851</c:v>
                  </c:pt>
                </c:numCache>
              </c:numRef>
            </c:plus>
            <c:spPr>
              <a:solidFill>
                <a:schemeClr val="accent5">
                  <a:shade val="86000"/>
                </a:schemeClr>
              </a:solidFill>
              <a:ln>
                <a:noFill/>
              </a:ln>
              <a:effectLst/>
            </c:spPr>
          </c:errBars>
          <c:cat>
            <c:strRef>
              <c:f>'Pivot fig 2'!$B$4:$B$7</c:f>
              <c:strCache>
                <c:ptCount val="4"/>
                <c:pt idx="0">
                  <c:v>GIN</c:v>
                </c:pt>
                <c:pt idx="1">
                  <c:v>GW</c:v>
                </c:pt>
                <c:pt idx="2">
                  <c:v>ME</c:v>
                </c:pt>
                <c:pt idx="3">
                  <c:v>MO</c:v>
                </c:pt>
              </c:strCache>
            </c:strRef>
          </c:cat>
          <c:val>
            <c:numRef>
              <c:f>'Pivot fig 2'!$AC$4:$AC$7</c:f>
              <c:numCache>
                <c:formatCode>0.00</c:formatCode>
                <c:ptCount val="4"/>
                <c:pt idx="0">
                  <c:v>54.96666666666669</c:v>
                </c:pt>
                <c:pt idx="1">
                  <c:v>28.995124320124322</c:v>
                </c:pt>
                <c:pt idx="2">
                  <c:v>49.775132275132286</c:v>
                </c:pt>
                <c:pt idx="3">
                  <c:v>57.843137254901968</c:v>
                </c:pt>
              </c:numCache>
            </c:numRef>
          </c:val>
        </c:ser>
        <c:ser>
          <c:idx val="3"/>
          <c:order val="3"/>
          <c:tx>
            <c:strRef>
              <c:f>'Pivot fig 2'!$AD$3</c:f>
              <c:strCache>
                <c:ptCount val="1"/>
                <c:pt idx="0">
                  <c:v>T4</c:v>
                </c:pt>
              </c:strCache>
            </c:strRef>
          </c:tx>
          <c:spPr>
            <a:solidFill>
              <a:schemeClr val="accent5">
                <a:shade val="58000"/>
              </a:schemeClr>
            </a:solidFill>
            <a:ln>
              <a:noFill/>
            </a:ln>
            <a:effectLst/>
          </c:spPr>
          <c:invertIfNegative val="0"/>
          <c:errBars>
            <c:errBarType val="plus"/>
            <c:errValType val="cust"/>
            <c:noEndCap val="0"/>
            <c:plus>
              <c:numRef>
                <c:f>'Pivot fig 2'!$AD$14:$AD$18</c:f>
                <c:numCache>
                  <c:formatCode>General</c:formatCode>
                  <c:ptCount val="5"/>
                  <c:pt idx="0">
                    <c:v>95.024563696352558</c:v>
                  </c:pt>
                  <c:pt idx="1">
                    <c:v>13.931767394303369</c:v>
                  </c:pt>
                  <c:pt idx="2">
                    <c:v>19.456605452699097</c:v>
                  </c:pt>
                  <c:pt idx="3">
                    <c:v>74.847994620731242</c:v>
                  </c:pt>
                </c:numCache>
              </c:numRef>
            </c:plus>
            <c:spPr>
              <a:solidFill>
                <a:schemeClr val="accent5">
                  <a:shade val="58000"/>
                </a:schemeClr>
              </a:solidFill>
              <a:ln>
                <a:noFill/>
              </a:ln>
              <a:effectLst/>
            </c:spPr>
          </c:errBars>
          <c:cat>
            <c:strRef>
              <c:f>'Pivot fig 2'!$B$4:$B$7</c:f>
              <c:strCache>
                <c:ptCount val="4"/>
                <c:pt idx="0">
                  <c:v>GIN</c:v>
                </c:pt>
                <c:pt idx="1">
                  <c:v>GW</c:v>
                </c:pt>
                <c:pt idx="2">
                  <c:v>ME</c:v>
                </c:pt>
                <c:pt idx="3">
                  <c:v>MO</c:v>
                </c:pt>
              </c:strCache>
            </c:strRef>
          </c:cat>
          <c:val>
            <c:numRef>
              <c:f>'Pivot fig 2'!$AD$4:$AD$7</c:f>
              <c:numCache>
                <c:formatCode>0.00</c:formatCode>
                <c:ptCount val="4"/>
                <c:pt idx="0">
                  <c:v>101.89839572192508</c:v>
                </c:pt>
                <c:pt idx="1">
                  <c:v>48.046064746064758</c:v>
                </c:pt>
                <c:pt idx="2">
                  <c:v>49.427009383924918</c:v>
                </c:pt>
                <c:pt idx="3">
                  <c:v>95.661616161616124</c:v>
                </c:pt>
              </c:numCache>
            </c:numRef>
          </c:val>
        </c:ser>
        <c:dLbls>
          <c:showLegendKey val="0"/>
          <c:showVal val="0"/>
          <c:showCatName val="0"/>
          <c:showSerName val="0"/>
          <c:showPercent val="0"/>
          <c:showBubbleSize val="0"/>
        </c:dLbls>
        <c:gapWidth val="219"/>
        <c:overlap val="-27"/>
        <c:axId val="399710512"/>
        <c:axId val="399710904"/>
      </c:barChart>
      <c:catAx>
        <c:axId val="399710512"/>
        <c:scaling>
          <c:orientation val="minMax"/>
        </c:scaling>
        <c:delete val="0"/>
        <c:axPos val="b"/>
        <c:numFmt formatCode="General" sourceLinked="1"/>
        <c:majorTickMark val="out"/>
        <c:minorTickMark val="none"/>
        <c:tickLblPos val="nextTo"/>
        <c:spPr>
          <a:noFill/>
          <a:ln w="9514" cap="flat" cmpd="sng" algn="ctr">
            <a:solidFill>
              <a:sysClr val="window" lastClr="FFFFFF">
                <a:lumMod val="50000"/>
              </a:sysClr>
            </a:solidFill>
            <a:round/>
          </a:ln>
          <a:effectLst/>
        </c:spPr>
        <c:txPr>
          <a:bodyPr rot="-60000000" vert="horz"/>
          <a:lstStyle/>
          <a:p>
            <a:pPr>
              <a:defRPr/>
            </a:pPr>
            <a:endParaRPr lang="en-US"/>
          </a:p>
        </c:txPr>
        <c:crossAx val="399710904"/>
        <c:crosses val="autoZero"/>
        <c:auto val="1"/>
        <c:lblAlgn val="ctr"/>
        <c:lblOffset val="100"/>
        <c:noMultiLvlLbl val="0"/>
      </c:catAx>
      <c:valAx>
        <c:axId val="399710904"/>
        <c:scaling>
          <c:orientation val="minMax"/>
        </c:scaling>
        <c:delete val="0"/>
        <c:axPos val="l"/>
        <c:title>
          <c:tx>
            <c:rich>
              <a:bodyPr/>
              <a:lstStyle/>
              <a:p>
                <a:pPr>
                  <a:defRPr sz="1199" b="0" i="0" u="none" strike="noStrike" baseline="0">
                    <a:solidFill>
                      <a:srgbClr val="000000"/>
                    </a:solidFill>
                    <a:latin typeface="Verdana"/>
                    <a:ea typeface="Verdana"/>
                    <a:cs typeface="Verdana"/>
                  </a:defRPr>
                </a:pPr>
                <a:r>
                  <a:rPr lang="en-AU" sz="999" b="0" i="0" u="none" strike="noStrike" baseline="0">
                    <a:solidFill>
                      <a:srgbClr val="000000"/>
                    </a:solidFill>
                    <a:latin typeface="Arial"/>
                    <a:cs typeface="Arial"/>
                  </a:rPr>
                  <a:t>Total Suspended Solid (mg/L) ±SD</a:t>
                </a:r>
              </a:p>
            </c:rich>
          </c:tx>
          <c:layout>
            <c:manualLayout>
              <c:xMode val="edge"/>
              <c:yMode val="edge"/>
              <c:x val="2.0767945964796357E-2"/>
              <c:y val="0.16501815321865257"/>
            </c:manualLayout>
          </c:layout>
          <c:overlay val="0"/>
          <c:spPr>
            <a:noFill/>
            <a:ln w="25370">
              <a:noFill/>
            </a:ln>
          </c:spPr>
        </c:title>
        <c:numFmt formatCode="0" sourceLinked="0"/>
        <c:majorTickMark val="out"/>
        <c:minorTickMark val="none"/>
        <c:tickLblPos val="nextTo"/>
        <c:spPr>
          <a:noFill/>
          <a:ln>
            <a:solidFill>
              <a:sysClr val="window" lastClr="FFFFFF">
                <a:lumMod val="50000"/>
              </a:sysClr>
            </a:solidFill>
          </a:ln>
          <a:effectLst/>
        </c:spPr>
        <c:txPr>
          <a:bodyPr rot="-60000000" vert="horz"/>
          <a:lstStyle/>
          <a:p>
            <a:pPr>
              <a:defRPr/>
            </a:pPr>
            <a:endParaRPr lang="en-US"/>
          </a:p>
        </c:txPr>
        <c:crossAx val="399710512"/>
        <c:crosses val="autoZero"/>
        <c:crossBetween val="between"/>
      </c:valAx>
      <c:spPr>
        <a:noFill/>
        <a:ln w="25370">
          <a:noFill/>
        </a:ln>
      </c:spPr>
    </c:plotArea>
    <c:legend>
      <c:legendPos val="b"/>
      <c:layout>
        <c:manualLayout>
          <c:xMode val="edge"/>
          <c:yMode val="edge"/>
          <c:wMode val="edge"/>
          <c:hMode val="edge"/>
          <c:x val="0.52135969017858785"/>
          <c:y val="6.5392923445544926E-2"/>
          <c:w val="0.95147440486023172"/>
          <c:h val="0.15701500727043266"/>
        </c:manualLayout>
      </c:layout>
      <c:overlay val="0"/>
      <c:spPr>
        <a:noFill/>
        <a:ln w="25370">
          <a:noFill/>
        </a:ln>
      </c:spPr>
      <c:txPr>
        <a:bodyPr rot="0" vert="horz"/>
        <a:lstStyle/>
        <a:p>
          <a:pPr>
            <a:defRPr/>
          </a:pPr>
          <a:endParaRPr lang="en-US"/>
        </a:p>
      </c:txPr>
    </c:legend>
    <c:plotVisOnly val="1"/>
    <c:dispBlanksAs val="gap"/>
    <c:showDLblsOverMax val="0"/>
  </c:chart>
  <c:spPr>
    <a:solidFill>
      <a:schemeClr val="bg1"/>
    </a:solidFill>
    <a:ln>
      <a:noFill/>
    </a:ln>
    <a:effectLst/>
  </c:spPr>
  <c:txPr>
    <a:bodyPr/>
    <a:lstStyle/>
    <a:p>
      <a:pPr>
        <a:defRPr b="0">
          <a:latin typeface="Arial" panose="020B0604020202020204" pitchFamily="34" charset="0"/>
          <a:cs typeface="Arial" panose="020B0604020202020204" pitchFamily="34" charset="0"/>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123711990910956"/>
          <c:y val="5.347230146956268E-2"/>
          <c:w val="0.76749867862902676"/>
          <c:h val="0.82776091624910508"/>
        </c:manualLayout>
      </c:layout>
      <c:barChart>
        <c:barDir val="col"/>
        <c:grouping val="clustered"/>
        <c:varyColors val="0"/>
        <c:ser>
          <c:idx val="0"/>
          <c:order val="0"/>
          <c:tx>
            <c:strRef>
              <c:f>'Pivot fig 2'!$W$3</c:f>
              <c:strCache>
                <c:ptCount val="1"/>
                <c:pt idx="0">
                  <c:v>T1</c:v>
                </c:pt>
              </c:strCache>
            </c:strRef>
          </c:tx>
          <c:spPr>
            <a:solidFill>
              <a:schemeClr val="accent1">
                <a:tint val="58000"/>
              </a:schemeClr>
            </a:solidFill>
            <a:ln>
              <a:noFill/>
            </a:ln>
            <a:effectLst/>
          </c:spPr>
          <c:invertIfNegative val="0"/>
          <c:errBars>
            <c:errBarType val="plus"/>
            <c:errValType val="cust"/>
            <c:noEndCap val="0"/>
            <c:plus>
              <c:numRef>
                <c:f>'Pivot fig 2'!$W$14:$W$18</c:f>
                <c:numCache>
                  <c:formatCode>General</c:formatCode>
                  <c:ptCount val="5"/>
                  <c:pt idx="0">
                    <c:v>1.4572605542027506</c:v>
                  </c:pt>
                  <c:pt idx="1">
                    <c:v>2.5810403996348534</c:v>
                  </c:pt>
                  <c:pt idx="2">
                    <c:v>1.5262866622085096</c:v>
                  </c:pt>
                  <c:pt idx="3">
                    <c:v>5.0595426423739136</c:v>
                  </c:pt>
                </c:numCache>
              </c:numRef>
            </c:plus>
            <c:minus>
              <c:numRef>
                <c:f>'Pivot fig 2'!$S$14:$S$18</c:f>
                <c:numCache>
                  <c:formatCode>General</c:formatCode>
                  <c:ptCount val="5"/>
                  <c:pt idx="0">
                    <c:v>1.8266453770048983</c:v>
                  </c:pt>
                  <c:pt idx="1">
                    <c:v>1.1306093489795701</c:v>
                  </c:pt>
                  <c:pt idx="2">
                    <c:v>2.7102444539192359</c:v>
                  </c:pt>
                  <c:pt idx="3">
                    <c:v>1.9299632984420487</c:v>
                  </c:pt>
                </c:numCache>
              </c:numRef>
            </c:minus>
            <c:spPr>
              <a:noFill/>
              <a:ln w="9525" cap="flat" cmpd="sng" algn="ctr">
                <a:solidFill>
                  <a:schemeClr val="tx1">
                    <a:lumMod val="65000"/>
                    <a:lumOff val="35000"/>
                  </a:schemeClr>
                </a:solidFill>
                <a:prstDash val="solid"/>
                <a:round/>
              </a:ln>
              <a:effectLst/>
            </c:spPr>
          </c:errBars>
          <c:cat>
            <c:strRef>
              <c:f>'Pivot fig 2'!$B$4:$B$7</c:f>
              <c:strCache>
                <c:ptCount val="4"/>
                <c:pt idx="0">
                  <c:v>GIN</c:v>
                </c:pt>
                <c:pt idx="1">
                  <c:v>GW</c:v>
                </c:pt>
                <c:pt idx="2">
                  <c:v>ME</c:v>
                </c:pt>
                <c:pt idx="3">
                  <c:v>MO</c:v>
                </c:pt>
              </c:strCache>
            </c:strRef>
          </c:cat>
          <c:val>
            <c:numRef>
              <c:f>'Pivot fig 2'!$W$4:$W$7</c:f>
              <c:numCache>
                <c:formatCode>0.00</c:formatCode>
                <c:ptCount val="4"/>
                <c:pt idx="0">
                  <c:v>3.0076719576719579</c:v>
                </c:pt>
                <c:pt idx="1">
                  <c:v>4.2620027308962145</c:v>
                </c:pt>
                <c:pt idx="2">
                  <c:v>3.0640170940170939</c:v>
                </c:pt>
                <c:pt idx="3">
                  <c:v>6.3084999999999996</c:v>
                </c:pt>
              </c:numCache>
            </c:numRef>
          </c:val>
        </c:ser>
        <c:ser>
          <c:idx val="1"/>
          <c:order val="1"/>
          <c:tx>
            <c:strRef>
              <c:f>'Pivot fig 2'!$X$3</c:f>
              <c:strCache>
                <c:ptCount val="1"/>
                <c:pt idx="0">
                  <c:v>T2</c:v>
                </c:pt>
              </c:strCache>
            </c:strRef>
          </c:tx>
          <c:spPr>
            <a:solidFill>
              <a:schemeClr val="accent1">
                <a:tint val="86000"/>
              </a:schemeClr>
            </a:solidFill>
            <a:ln>
              <a:noFill/>
            </a:ln>
            <a:effectLst/>
          </c:spPr>
          <c:invertIfNegative val="0"/>
          <c:errBars>
            <c:errBarType val="plus"/>
            <c:errValType val="cust"/>
            <c:noEndCap val="0"/>
            <c:plus>
              <c:numRef>
                <c:f>'Pivot fig 2'!$X$14:$X$18</c:f>
                <c:numCache>
                  <c:formatCode>General</c:formatCode>
                  <c:ptCount val="5"/>
                  <c:pt idx="0">
                    <c:v>3.2020831746588114</c:v>
                  </c:pt>
                  <c:pt idx="1">
                    <c:v>1.5191289917312871</c:v>
                  </c:pt>
                  <c:pt idx="2">
                    <c:v>4.1443911506105771</c:v>
                  </c:pt>
                  <c:pt idx="3">
                    <c:v>3.053110132550326</c:v>
                  </c:pt>
                </c:numCache>
              </c:numRef>
            </c:plus>
            <c:minus>
              <c:numRef>
                <c:f>'Pivot fig 2'!$X$14:$X$18</c:f>
                <c:numCache>
                  <c:formatCode>General</c:formatCode>
                  <c:ptCount val="5"/>
                  <c:pt idx="0">
                    <c:v>3.2020831746588114</c:v>
                  </c:pt>
                  <c:pt idx="1">
                    <c:v>1.5191289917312871</c:v>
                  </c:pt>
                  <c:pt idx="2">
                    <c:v>4.1443911506105771</c:v>
                  </c:pt>
                  <c:pt idx="3">
                    <c:v>3.053110132550326</c:v>
                  </c:pt>
                </c:numCache>
              </c:numRef>
            </c:minus>
            <c:spPr>
              <a:noFill/>
              <a:ln w="9525" cap="flat" cmpd="sng" algn="ctr">
                <a:solidFill>
                  <a:schemeClr val="tx1">
                    <a:lumMod val="65000"/>
                    <a:lumOff val="35000"/>
                  </a:schemeClr>
                </a:solidFill>
                <a:prstDash val="solid"/>
                <a:round/>
              </a:ln>
              <a:effectLst/>
            </c:spPr>
          </c:errBars>
          <c:cat>
            <c:strRef>
              <c:f>'Pivot fig 2'!$B$4:$B$7</c:f>
              <c:strCache>
                <c:ptCount val="4"/>
                <c:pt idx="0">
                  <c:v>GIN</c:v>
                </c:pt>
                <c:pt idx="1">
                  <c:v>GW</c:v>
                </c:pt>
                <c:pt idx="2">
                  <c:v>ME</c:v>
                </c:pt>
                <c:pt idx="3">
                  <c:v>MO</c:v>
                </c:pt>
              </c:strCache>
            </c:strRef>
          </c:cat>
          <c:val>
            <c:numRef>
              <c:f>'Pivot fig 2'!$X$4:$X$7</c:f>
              <c:numCache>
                <c:formatCode>0.00</c:formatCode>
                <c:ptCount val="4"/>
                <c:pt idx="0">
                  <c:v>4.7743859649122804</c:v>
                </c:pt>
                <c:pt idx="1">
                  <c:v>3.8881944444444443</c:v>
                </c:pt>
                <c:pt idx="2">
                  <c:v>4.7513888888888891</c:v>
                </c:pt>
                <c:pt idx="3">
                  <c:v>7.5777777777777784</c:v>
                </c:pt>
              </c:numCache>
            </c:numRef>
          </c:val>
        </c:ser>
        <c:ser>
          <c:idx val="2"/>
          <c:order val="2"/>
          <c:tx>
            <c:strRef>
              <c:f>'Pivot fig 2'!$Y$3</c:f>
              <c:strCache>
                <c:ptCount val="1"/>
                <c:pt idx="0">
                  <c:v>T3</c:v>
                </c:pt>
              </c:strCache>
            </c:strRef>
          </c:tx>
          <c:spPr>
            <a:solidFill>
              <a:schemeClr val="accent1">
                <a:shade val="86000"/>
              </a:schemeClr>
            </a:solidFill>
            <a:ln>
              <a:noFill/>
            </a:ln>
            <a:effectLst/>
          </c:spPr>
          <c:invertIfNegative val="0"/>
          <c:errBars>
            <c:errBarType val="plus"/>
            <c:errValType val="cust"/>
            <c:noEndCap val="0"/>
            <c:plus>
              <c:numRef>
                <c:f>'Pivot fig 2'!$Y$14:$Y$18</c:f>
                <c:numCache>
                  <c:formatCode>General</c:formatCode>
                  <c:ptCount val="5"/>
                  <c:pt idx="0">
                    <c:v>1.6426502975374886</c:v>
                  </c:pt>
                  <c:pt idx="1">
                    <c:v>5.460142519367265</c:v>
                  </c:pt>
                  <c:pt idx="2">
                    <c:v>16.863127779131389</c:v>
                  </c:pt>
                  <c:pt idx="3">
                    <c:v>15.871260306091129</c:v>
                  </c:pt>
                </c:numCache>
              </c:numRef>
            </c:plus>
            <c:minus>
              <c:numRef>
                <c:f>'Pivot fig 2'!$Y$14:$Y$18</c:f>
                <c:numCache>
                  <c:formatCode>General</c:formatCode>
                  <c:ptCount val="5"/>
                  <c:pt idx="0">
                    <c:v>1.6426502975374886</c:v>
                  </c:pt>
                  <c:pt idx="1">
                    <c:v>5.460142519367265</c:v>
                  </c:pt>
                  <c:pt idx="2">
                    <c:v>16.863127779131389</c:v>
                  </c:pt>
                  <c:pt idx="3">
                    <c:v>15.871260306091129</c:v>
                  </c:pt>
                </c:numCache>
              </c:numRef>
            </c:minus>
            <c:spPr>
              <a:noFill/>
              <a:ln w="9525" cap="flat" cmpd="sng" algn="ctr">
                <a:solidFill>
                  <a:schemeClr val="tx1">
                    <a:lumMod val="65000"/>
                    <a:lumOff val="35000"/>
                  </a:schemeClr>
                </a:solidFill>
                <a:prstDash val="solid"/>
                <a:round/>
              </a:ln>
              <a:effectLst/>
            </c:spPr>
          </c:errBars>
          <c:cat>
            <c:strRef>
              <c:f>'Pivot fig 2'!$B$4:$B$7</c:f>
              <c:strCache>
                <c:ptCount val="4"/>
                <c:pt idx="0">
                  <c:v>GIN</c:v>
                </c:pt>
                <c:pt idx="1">
                  <c:v>GW</c:v>
                </c:pt>
                <c:pt idx="2">
                  <c:v>ME</c:v>
                </c:pt>
                <c:pt idx="3">
                  <c:v>MO</c:v>
                </c:pt>
              </c:strCache>
            </c:strRef>
          </c:cat>
          <c:val>
            <c:numRef>
              <c:f>'Pivot fig 2'!$Y$4:$Y$7</c:f>
              <c:numCache>
                <c:formatCode>0.00</c:formatCode>
                <c:ptCount val="4"/>
                <c:pt idx="0">
                  <c:v>1.21</c:v>
                </c:pt>
                <c:pt idx="1">
                  <c:v>3.7173967236467234</c:v>
                </c:pt>
                <c:pt idx="2">
                  <c:v>10.203650370797034</c:v>
                </c:pt>
                <c:pt idx="3">
                  <c:v>23.49111111111111</c:v>
                </c:pt>
              </c:numCache>
            </c:numRef>
          </c:val>
        </c:ser>
        <c:ser>
          <c:idx val="3"/>
          <c:order val="3"/>
          <c:tx>
            <c:strRef>
              <c:f>'Pivot fig 2'!$Z$3</c:f>
              <c:strCache>
                <c:ptCount val="1"/>
                <c:pt idx="0">
                  <c:v>T4</c:v>
                </c:pt>
              </c:strCache>
            </c:strRef>
          </c:tx>
          <c:spPr>
            <a:solidFill>
              <a:schemeClr val="accent1">
                <a:shade val="58000"/>
              </a:schemeClr>
            </a:solidFill>
            <a:ln>
              <a:noFill/>
            </a:ln>
            <a:effectLst/>
          </c:spPr>
          <c:invertIfNegative val="0"/>
          <c:errBars>
            <c:errBarType val="plus"/>
            <c:errValType val="cust"/>
            <c:noEndCap val="0"/>
            <c:plus>
              <c:numRef>
                <c:f>'Pivot fig 2'!$Z$14:$Z$18</c:f>
                <c:numCache>
                  <c:formatCode>General</c:formatCode>
                  <c:ptCount val="5"/>
                  <c:pt idx="0">
                    <c:v>23.383649092375343</c:v>
                  </c:pt>
                  <c:pt idx="1">
                    <c:v>4.0546402328228677</c:v>
                  </c:pt>
                  <c:pt idx="2">
                    <c:v>7.1468270895943604</c:v>
                  </c:pt>
                  <c:pt idx="3">
                    <c:v>4.7680394052608754</c:v>
                  </c:pt>
                </c:numCache>
              </c:numRef>
            </c:plus>
            <c:minus>
              <c:numRef>
                <c:f>'Pivot fig 2'!$Z$14:$Z$18</c:f>
                <c:numCache>
                  <c:formatCode>General</c:formatCode>
                  <c:ptCount val="5"/>
                  <c:pt idx="0">
                    <c:v>23.383649092375343</c:v>
                  </c:pt>
                  <c:pt idx="1">
                    <c:v>4.0546402328228677</c:v>
                  </c:pt>
                  <c:pt idx="2">
                    <c:v>7.1468270895943604</c:v>
                  </c:pt>
                  <c:pt idx="3">
                    <c:v>4.7680394052608754</c:v>
                  </c:pt>
                </c:numCache>
              </c:numRef>
            </c:minus>
            <c:spPr>
              <a:noFill/>
              <a:ln w="9525" cap="flat" cmpd="sng" algn="ctr">
                <a:solidFill>
                  <a:schemeClr val="tx1">
                    <a:lumMod val="65000"/>
                    <a:lumOff val="35000"/>
                  </a:schemeClr>
                </a:solidFill>
                <a:prstDash val="solid"/>
                <a:round/>
              </a:ln>
              <a:effectLst/>
            </c:spPr>
          </c:errBars>
          <c:cat>
            <c:strRef>
              <c:f>'Pivot fig 2'!$B$4:$B$7</c:f>
              <c:strCache>
                <c:ptCount val="4"/>
                <c:pt idx="0">
                  <c:v>GIN</c:v>
                </c:pt>
                <c:pt idx="1">
                  <c:v>GW</c:v>
                </c:pt>
                <c:pt idx="2">
                  <c:v>ME</c:v>
                </c:pt>
                <c:pt idx="3">
                  <c:v>MO</c:v>
                </c:pt>
              </c:strCache>
            </c:strRef>
          </c:cat>
          <c:val>
            <c:numRef>
              <c:f>'Pivot fig 2'!$Z$4:$Z$7</c:f>
              <c:numCache>
                <c:formatCode>0.00</c:formatCode>
                <c:ptCount val="4"/>
                <c:pt idx="0">
                  <c:v>21.745263157894733</c:v>
                </c:pt>
                <c:pt idx="1">
                  <c:v>7.6361547868623338</c:v>
                </c:pt>
                <c:pt idx="2">
                  <c:v>12.010370370370373</c:v>
                </c:pt>
                <c:pt idx="3">
                  <c:v>14.593513071895424</c:v>
                </c:pt>
              </c:numCache>
            </c:numRef>
          </c:val>
        </c:ser>
        <c:dLbls>
          <c:showLegendKey val="0"/>
          <c:showVal val="0"/>
          <c:showCatName val="0"/>
          <c:showSerName val="0"/>
          <c:showPercent val="0"/>
          <c:showBubbleSize val="0"/>
        </c:dLbls>
        <c:gapWidth val="219"/>
        <c:overlap val="-27"/>
        <c:axId val="399708944"/>
        <c:axId val="399709336"/>
      </c:barChart>
      <c:catAx>
        <c:axId val="399708944"/>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99709336"/>
        <c:crosses val="autoZero"/>
        <c:auto val="1"/>
        <c:lblAlgn val="ctr"/>
        <c:lblOffset val="100"/>
        <c:noMultiLvlLbl val="0"/>
      </c:catAx>
      <c:valAx>
        <c:axId val="3997093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AU"/>
                  <a:t>Chlorophyll a (µg/L) ±SD</a:t>
                </a:r>
              </a:p>
            </c:rich>
          </c:tx>
          <c:layout>
            <c:manualLayout>
              <c:xMode val="edge"/>
              <c:yMode val="edge"/>
              <c:x val="3.9467995717402796E-2"/>
              <c:y val="0.1845009576505639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9525" cap="flat" cmpd="sng" algn="ctr">
            <a:solidFill>
              <a:schemeClr val="bg1">
                <a:lumMod val="50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99708944"/>
        <c:crosses val="autoZero"/>
        <c:crossBetween val="between"/>
      </c:valAx>
      <c:spPr>
        <a:noFill/>
        <a:ln>
          <a:noFill/>
        </a:ln>
        <a:effectLst/>
      </c:spPr>
    </c:plotArea>
    <c:legend>
      <c:legendPos val="b"/>
      <c:layout>
        <c:manualLayout>
          <c:xMode val="edge"/>
          <c:yMode val="edge"/>
          <c:x val="0.51239847270329386"/>
          <c:y val="6.5392925934780743E-2"/>
          <c:w val="0.43907617693668533"/>
          <c:h val="6.950424395734056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sz="1000" b="0">
          <a:latin typeface="Arial" panose="020B0604020202020204" pitchFamily="34" charset="0"/>
          <a:cs typeface="Arial" panose="020B0604020202020204" pitchFamily="34" charset="0"/>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AU" sz="1000"/>
              <a:t>(a)</a:t>
            </a:r>
          </a:p>
        </c:rich>
      </c:tx>
      <c:layout>
        <c:manualLayout>
          <c:xMode val="edge"/>
          <c:yMode val="edge"/>
          <c:x val="4.1861145616083506E-2"/>
          <c:y val="1.105666934812663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2523731901428712"/>
          <c:y val="5.5924111200493107E-2"/>
          <c:w val="0.73854872249167436"/>
          <c:h val="0.7125601151983062"/>
        </c:manualLayout>
      </c:layout>
      <c:barChart>
        <c:barDir val="col"/>
        <c:grouping val="clustered"/>
        <c:varyColors val="0"/>
        <c:ser>
          <c:idx val="0"/>
          <c:order val="0"/>
          <c:tx>
            <c:strRef>
              <c:f>'Pivot fig'!$B$3</c:f>
              <c:strCache>
                <c:ptCount val="1"/>
                <c:pt idx="0">
                  <c:v>T1</c:v>
                </c:pt>
              </c:strCache>
            </c:strRef>
          </c:tx>
          <c:spPr>
            <a:solidFill>
              <a:schemeClr val="accent1">
                <a:tint val="58000"/>
              </a:schemeClr>
            </a:solidFill>
            <a:ln>
              <a:noFill/>
            </a:ln>
            <a:effectLst/>
          </c:spPr>
          <c:invertIfNegative val="0"/>
          <c:errBars>
            <c:errBarType val="plus"/>
            <c:errValType val="cust"/>
            <c:noEndCap val="0"/>
            <c:plus>
              <c:numRef>
                <c:f>'Pivot fig'!$B$15:$B$20</c:f>
                <c:numCache>
                  <c:formatCode>General</c:formatCode>
                  <c:ptCount val="6"/>
                </c:numCache>
              </c:numRef>
            </c:plus>
            <c:minus>
              <c:numRef>
                <c:f>'Pivot fig'!$B$15:$B$20</c:f>
                <c:numCache>
                  <c:formatCode>General</c:formatCode>
                  <c:ptCount val="6"/>
                </c:numCache>
              </c:numRef>
            </c:minus>
            <c:spPr>
              <a:noFill/>
              <a:ln w="9525" cap="flat" cmpd="sng" algn="ctr">
                <a:solidFill>
                  <a:schemeClr val="tx1">
                    <a:lumMod val="65000"/>
                    <a:lumOff val="35000"/>
                  </a:schemeClr>
                </a:solidFill>
                <a:prstDash val="solid"/>
                <a:round/>
              </a:ln>
              <a:effectLst/>
            </c:spPr>
          </c:errBars>
          <c:cat>
            <c:strRef>
              <c:f>'Pivot fig'!$A$4:$A$9</c:f>
              <c:strCache>
                <c:ptCount val="6"/>
                <c:pt idx="0">
                  <c:v>BUNWC</c:v>
                </c:pt>
                <c:pt idx="1">
                  <c:v>BUNOW</c:v>
                </c:pt>
                <c:pt idx="2">
                  <c:v>GINOW</c:v>
                </c:pt>
                <c:pt idx="3">
                  <c:v>GW2</c:v>
                </c:pt>
                <c:pt idx="4">
                  <c:v>GW3</c:v>
                </c:pt>
                <c:pt idx="5">
                  <c:v>GW4</c:v>
                </c:pt>
              </c:strCache>
            </c:strRef>
          </c:cat>
          <c:val>
            <c:numRef>
              <c:f>'Pivot fig'!$B$4:$B$9</c:f>
              <c:numCache>
                <c:formatCode>0.000</c:formatCode>
                <c:ptCount val="6"/>
                <c:pt idx="0">
                  <c:v>1.303272048</c:v>
                </c:pt>
                <c:pt idx="1">
                  <c:v>9.0217256670000001</c:v>
                </c:pt>
                <c:pt idx="3">
                  <c:v>0.90708</c:v>
                </c:pt>
                <c:pt idx="4">
                  <c:v>1.2064509859999999</c:v>
                </c:pt>
              </c:numCache>
            </c:numRef>
          </c:val>
        </c:ser>
        <c:ser>
          <c:idx val="1"/>
          <c:order val="1"/>
          <c:tx>
            <c:strRef>
              <c:f>'Pivot fig'!$C$3</c:f>
              <c:strCache>
                <c:ptCount val="1"/>
                <c:pt idx="0">
                  <c:v>T2</c:v>
                </c:pt>
              </c:strCache>
            </c:strRef>
          </c:tx>
          <c:spPr>
            <a:solidFill>
              <a:schemeClr val="accent1">
                <a:tint val="86000"/>
              </a:schemeClr>
            </a:solidFill>
            <a:ln>
              <a:noFill/>
            </a:ln>
            <a:effectLst/>
          </c:spPr>
          <c:invertIfNegative val="0"/>
          <c:errBars>
            <c:errBarType val="plus"/>
            <c:errValType val="cust"/>
            <c:noEndCap val="0"/>
            <c:plus>
              <c:numRef>
                <c:f>'Pivot fig'!$C$15:$C$20</c:f>
                <c:numCache>
                  <c:formatCode>General</c:formatCode>
                  <c:ptCount val="6"/>
                  <c:pt idx="1">
                    <c:v>1.9174262778598756</c:v>
                  </c:pt>
                  <c:pt idx="2">
                    <c:v>0.27695824055226564</c:v>
                  </c:pt>
                  <c:pt idx="3">
                    <c:v>0.22915043011382111</c:v>
                  </c:pt>
                  <c:pt idx="4">
                    <c:v>7.4645184297950834E-2</c:v>
                  </c:pt>
                  <c:pt idx="5">
                    <c:v>0.83577162092271251</c:v>
                  </c:pt>
                </c:numCache>
              </c:numRef>
            </c:plus>
            <c:minus>
              <c:numRef>
                <c:f>'Pivot fig'!$C$15:$C$20</c:f>
                <c:numCache>
                  <c:formatCode>General</c:formatCode>
                  <c:ptCount val="6"/>
                  <c:pt idx="1">
                    <c:v>1.9174262778598756</c:v>
                  </c:pt>
                  <c:pt idx="2">
                    <c:v>0.27695824055226564</c:v>
                  </c:pt>
                  <c:pt idx="3">
                    <c:v>0.22915043011382111</c:v>
                  </c:pt>
                  <c:pt idx="4">
                    <c:v>7.4645184297950834E-2</c:v>
                  </c:pt>
                  <c:pt idx="5">
                    <c:v>0.83577162092271251</c:v>
                  </c:pt>
                </c:numCache>
              </c:numRef>
            </c:minus>
            <c:spPr>
              <a:noFill/>
              <a:ln w="9525" cap="flat" cmpd="sng" algn="ctr">
                <a:solidFill>
                  <a:schemeClr val="tx1">
                    <a:lumMod val="65000"/>
                    <a:lumOff val="35000"/>
                  </a:schemeClr>
                </a:solidFill>
                <a:prstDash val="solid"/>
                <a:round/>
              </a:ln>
              <a:effectLst/>
            </c:spPr>
          </c:errBars>
          <c:cat>
            <c:strRef>
              <c:f>'Pivot fig'!$A$4:$A$9</c:f>
              <c:strCache>
                <c:ptCount val="6"/>
                <c:pt idx="0">
                  <c:v>BUNWC</c:v>
                </c:pt>
                <c:pt idx="1">
                  <c:v>BUNOW</c:v>
                </c:pt>
                <c:pt idx="2">
                  <c:v>GINOW</c:v>
                </c:pt>
                <c:pt idx="3">
                  <c:v>GW2</c:v>
                </c:pt>
                <c:pt idx="4">
                  <c:v>GW3</c:v>
                </c:pt>
                <c:pt idx="5">
                  <c:v>GW4</c:v>
                </c:pt>
              </c:strCache>
            </c:strRef>
          </c:cat>
          <c:val>
            <c:numRef>
              <c:f>'Pivot fig'!$C$4:$C$9</c:f>
              <c:numCache>
                <c:formatCode>0.000</c:formatCode>
                <c:ptCount val="6"/>
                <c:pt idx="1">
                  <c:v>4.4885131435000005</c:v>
                </c:pt>
                <c:pt idx="2">
                  <c:v>4.9713147500000003</c:v>
                </c:pt>
                <c:pt idx="3">
                  <c:v>0.6366901886666666</c:v>
                </c:pt>
                <c:pt idx="4">
                  <c:v>0.96688980899999999</c:v>
                </c:pt>
                <c:pt idx="5">
                  <c:v>0.69388852099999998</c:v>
                </c:pt>
              </c:numCache>
            </c:numRef>
          </c:val>
        </c:ser>
        <c:ser>
          <c:idx val="2"/>
          <c:order val="2"/>
          <c:tx>
            <c:strRef>
              <c:f>'Pivot fig'!$D$3</c:f>
              <c:strCache>
                <c:ptCount val="1"/>
                <c:pt idx="0">
                  <c:v>T3</c:v>
                </c:pt>
              </c:strCache>
            </c:strRef>
          </c:tx>
          <c:spPr>
            <a:solidFill>
              <a:schemeClr val="accent1">
                <a:shade val="86000"/>
              </a:schemeClr>
            </a:solidFill>
            <a:ln>
              <a:noFill/>
            </a:ln>
            <a:effectLst/>
          </c:spPr>
          <c:invertIfNegative val="0"/>
          <c:errBars>
            <c:errBarType val="plus"/>
            <c:errValType val="cust"/>
            <c:noEndCap val="0"/>
            <c:plus>
              <c:numRef>
                <c:f>'Pivot fig'!$D$15:$D$20</c:f>
                <c:numCache>
                  <c:formatCode>General</c:formatCode>
                  <c:ptCount val="6"/>
                  <c:pt idx="1">
                    <c:v>0.18172785697840696</c:v>
                  </c:pt>
                  <c:pt idx="2">
                    <c:v>0.63875637916213346</c:v>
                  </c:pt>
                  <c:pt idx="3">
                    <c:v>1.3604812229870071</c:v>
                  </c:pt>
                  <c:pt idx="4">
                    <c:v>0.70025568439481189</c:v>
                  </c:pt>
                  <c:pt idx="5">
                    <c:v>1.9436952766324862</c:v>
                  </c:pt>
                </c:numCache>
              </c:numRef>
            </c:plus>
            <c:minus>
              <c:numRef>
                <c:f>'Pivot fig'!$D$15:$D$20</c:f>
                <c:numCache>
                  <c:formatCode>General</c:formatCode>
                  <c:ptCount val="6"/>
                  <c:pt idx="1">
                    <c:v>0.18172785697840696</c:v>
                  </c:pt>
                  <c:pt idx="2">
                    <c:v>0.63875637916213346</c:v>
                  </c:pt>
                  <c:pt idx="3">
                    <c:v>1.3604812229870071</c:v>
                  </c:pt>
                  <c:pt idx="4">
                    <c:v>0.70025568439481189</c:v>
                  </c:pt>
                  <c:pt idx="5">
                    <c:v>1.9436952766324862</c:v>
                  </c:pt>
                </c:numCache>
              </c:numRef>
            </c:minus>
            <c:spPr>
              <a:noFill/>
              <a:ln w="9525" cap="flat" cmpd="sng" algn="ctr">
                <a:solidFill>
                  <a:schemeClr val="tx1">
                    <a:lumMod val="65000"/>
                    <a:lumOff val="35000"/>
                  </a:schemeClr>
                </a:solidFill>
                <a:prstDash val="solid"/>
                <a:round/>
              </a:ln>
              <a:effectLst/>
            </c:spPr>
          </c:errBars>
          <c:cat>
            <c:strRef>
              <c:f>'Pivot fig'!$A$4:$A$9</c:f>
              <c:strCache>
                <c:ptCount val="6"/>
                <c:pt idx="0">
                  <c:v>BUNWC</c:v>
                </c:pt>
                <c:pt idx="1">
                  <c:v>BUNOW</c:v>
                </c:pt>
                <c:pt idx="2">
                  <c:v>GINOW</c:v>
                </c:pt>
                <c:pt idx="3">
                  <c:v>GW2</c:v>
                </c:pt>
                <c:pt idx="4">
                  <c:v>GW3</c:v>
                </c:pt>
                <c:pt idx="5">
                  <c:v>GW4</c:v>
                </c:pt>
              </c:strCache>
            </c:strRef>
          </c:cat>
          <c:val>
            <c:numRef>
              <c:f>'Pivot fig'!$D$4:$D$9</c:f>
              <c:numCache>
                <c:formatCode>0.000</c:formatCode>
                <c:ptCount val="6"/>
                <c:pt idx="0">
                  <c:v>36.484426669999998</c:v>
                </c:pt>
                <c:pt idx="1">
                  <c:v>14.04022333</c:v>
                </c:pt>
                <c:pt idx="2">
                  <c:v>6.8116959164999997</c:v>
                </c:pt>
                <c:pt idx="3">
                  <c:v>5.689510500249999</c:v>
                </c:pt>
                <c:pt idx="4">
                  <c:v>3.2200002530000003</c:v>
                </c:pt>
                <c:pt idx="5">
                  <c:v>6.0532997582500006</c:v>
                </c:pt>
              </c:numCache>
            </c:numRef>
          </c:val>
        </c:ser>
        <c:ser>
          <c:idx val="3"/>
          <c:order val="3"/>
          <c:tx>
            <c:strRef>
              <c:f>'Pivot fig'!$E$3</c:f>
              <c:strCache>
                <c:ptCount val="1"/>
                <c:pt idx="0">
                  <c:v>T4</c:v>
                </c:pt>
              </c:strCache>
            </c:strRef>
          </c:tx>
          <c:spPr>
            <a:solidFill>
              <a:schemeClr val="accent1">
                <a:shade val="58000"/>
              </a:schemeClr>
            </a:solidFill>
            <a:ln>
              <a:noFill/>
            </a:ln>
            <a:effectLst/>
          </c:spPr>
          <c:invertIfNegative val="0"/>
          <c:errBars>
            <c:errBarType val="plus"/>
            <c:errValType val="cust"/>
            <c:noEndCap val="0"/>
            <c:plus>
              <c:numRef>
                <c:f>'Pivot fig'!$E$15:$E$20</c:f>
                <c:numCache>
                  <c:formatCode>General</c:formatCode>
                  <c:ptCount val="6"/>
                  <c:pt idx="1">
                    <c:v>0.86333014529498631</c:v>
                  </c:pt>
                  <c:pt idx="2">
                    <c:v>0.46411825657972555</c:v>
                  </c:pt>
                  <c:pt idx="3">
                    <c:v>0.50931206791769179</c:v>
                  </c:pt>
                  <c:pt idx="5">
                    <c:v>0.86926850156568569</c:v>
                  </c:pt>
                </c:numCache>
              </c:numRef>
            </c:plus>
            <c:minus>
              <c:numRef>
                <c:f>'Pivot fig'!$E$15:$E$20</c:f>
                <c:numCache>
                  <c:formatCode>General</c:formatCode>
                  <c:ptCount val="6"/>
                  <c:pt idx="1">
                    <c:v>0.86333014529498631</c:v>
                  </c:pt>
                  <c:pt idx="2">
                    <c:v>0.46411825657972555</c:v>
                  </c:pt>
                  <c:pt idx="3">
                    <c:v>0.50931206791769179</c:v>
                  </c:pt>
                  <c:pt idx="5">
                    <c:v>0.86926850156568569</c:v>
                  </c:pt>
                </c:numCache>
              </c:numRef>
            </c:minus>
            <c:spPr>
              <a:noFill/>
              <a:ln w="9525" cap="flat" cmpd="sng" algn="ctr">
                <a:solidFill>
                  <a:schemeClr val="tx1">
                    <a:lumMod val="65000"/>
                    <a:lumOff val="35000"/>
                  </a:schemeClr>
                </a:solidFill>
                <a:prstDash val="solid"/>
                <a:round/>
              </a:ln>
              <a:effectLst/>
            </c:spPr>
          </c:errBars>
          <c:cat>
            <c:strRef>
              <c:f>'Pivot fig'!$A$4:$A$9</c:f>
              <c:strCache>
                <c:ptCount val="6"/>
                <c:pt idx="0">
                  <c:v>BUNWC</c:v>
                </c:pt>
                <c:pt idx="1">
                  <c:v>BUNOW</c:v>
                </c:pt>
                <c:pt idx="2">
                  <c:v>GINOW</c:v>
                </c:pt>
                <c:pt idx="3">
                  <c:v>GW2</c:v>
                </c:pt>
                <c:pt idx="4">
                  <c:v>GW3</c:v>
                </c:pt>
                <c:pt idx="5">
                  <c:v>GW4</c:v>
                </c:pt>
              </c:strCache>
            </c:strRef>
          </c:cat>
          <c:val>
            <c:numRef>
              <c:f>'Pivot fig'!$E$4:$E$9</c:f>
              <c:numCache>
                <c:formatCode>0.000</c:formatCode>
                <c:ptCount val="6"/>
                <c:pt idx="1">
                  <c:v>13.030153582499999</c:v>
                </c:pt>
                <c:pt idx="2">
                  <c:v>8.3242691665000006</c:v>
                </c:pt>
                <c:pt idx="3">
                  <c:v>2.1998535000000001</c:v>
                </c:pt>
                <c:pt idx="5">
                  <c:v>5.0615945082499998</c:v>
                </c:pt>
              </c:numCache>
            </c:numRef>
          </c:val>
        </c:ser>
        <c:dLbls>
          <c:showLegendKey val="0"/>
          <c:showVal val="0"/>
          <c:showCatName val="0"/>
          <c:showSerName val="0"/>
          <c:showPercent val="0"/>
          <c:showBubbleSize val="0"/>
        </c:dLbls>
        <c:gapWidth val="219"/>
        <c:overlap val="-27"/>
        <c:axId val="917873920"/>
        <c:axId val="917874312"/>
      </c:barChart>
      <c:catAx>
        <c:axId val="917873920"/>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prstDash val="solid"/>
            <a:round/>
          </a:ln>
          <a:effectLst/>
        </c:spPr>
        <c:txPr>
          <a:bodyPr rot="-1920000" spcFirstLastPara="1" vertOverflow="ellipsis"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17874312"/>
        <c:crosses val="autoZero"/>
        <c:auto val="1"/>
        <c:lblAlgn val="ctr"/>
        <c:lblOffset val="100"/>
        <c:noMultiLvlLbl val="0"/>
      </c:catAx>
      <c:valAx>
        <c:axId val="917874312"/>
        <c:scaling>
          <c:orientation val="minMax"/>
          <c:max val="40"/>
          <c:min val="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AU"/>
                  <a:t>GPP ±SD</a:t>
                </a:r>
              </a:p>
            </c:rich>
          </c:tx>
          <c:layout>
            <c:manualLayout>
              <c:xMode val="edge"/>
              <c:yMode val="edge"/>
              <c:x val="4.4697245012205636E-2"/>
              <c:y val="0.2860716380250267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6350" cap="flat" cmpd="sng" algn="ctr">
            <a:solidFill>
              <a:schemeClr val="bg1">
                <a:lumMod val="50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17873920"/>
        <c:crosses val="autoZero"/>
        <c:crossBetween val="between"/>
        <c:majorUnit val="5"/>
      </c:valAx>
      <c:spPr>
        <a:noFill/>
        <a:ln>
          <a:noFill/>
        </a:ln>
        <a:effectLst/>
      </c:spPr>
    </c:plotArea>
    <c:legend>
      <c:legendPos val="b"/>
      <c:layout>
        <c:manualLayout>
          <c:xMode val="edge"/>
          <c:yMode val="edge"/>
          <c:x val="0.52503276251307751"/>
          <c:y val="4.450723413860444E-2"/>
          <c:w val="0.45165720146972066"/>
          <c:h val="9.329130057773275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sz="1000" b="0">
          <a:latin typeface="Arial" panose="020B0604020202020204" pitchFamily="34" charset="0"/>
          <a:cs typeface="Arial" panose="020B0604020202020204" pitchFamily="34" charset="0"/>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AU" sz="1000"/>
              <a:t>(c)</a:t>
            </a:r>
          </a:p>
        </c:rich>
      </c:tx>
      <c:layout>
        <c:manualLayout>
          <c:xMode val="edge"/>
          <c:yMode val="edge"/>
          <c:x val="3.4489549652132502E-3"/>
          <c:y val="5.5250903977063686E-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4338192378067338"/>
          <c:y val="8.7848834393855754E-2"/>
          <c:w val="0.82040404908458753"/>
          <c:h val="0.70284258748099282"/>
        </c:manualLayout>
      </c:layout>
      <c:barChart>
        <c:barDir val="col"/>
        <c:grouping val="clustered"/>
        <c:varyColors val="0"/>
        <c:ser>
          <c:idx val="0"/>
          <c:order val="0"/>
          <c:tx>
            <c:strRef>
              <c:f>'Pivot fig'!$Q$3</c:f>
              <c:strCache>
                <c:ptCount val="1"/>
                <c:pt idx="0">
                  <c:v>T1</c:v>
                </c:pt>
              </c:strCache>
            </c:strRef>
          </c:tx>
          <c:spPr>
            <a:solidFill>
              <a:schemeClr val="accent1">
                <a:tint val="58000"/>
              </a:schemeClr>
            </a:solidFill>
            <a:ln>
              <a:noFill/>
            </a:ln>
            <a:effectLst/>
          </c:spPr>
          <c:invertIfNegative val="0"/>
          <c:errBars>
            <c:errBarType val="minus"/>
            <c:errValType val="cust"/>
            <c:noEndCap val="0"/>
            <c:plus>
              <c:numRef>
                <c:f>'Pivot fig'!$Q$15:$Q$19</c:f>
                <c:numCache>
                  <c:formatCode>General</c:formatCode>
                  <c:ptCount val="5"/>
                </c:numCache>
              </c:numRef>
            </c:plus>
            <c:minus>
              <c:numRef>
                <c:f>'Pivot fig'!$Q$15:$Q$19</c:f>
                <c:numCache>
                  <c:formatCode>General</c:formatCode>
                  <c:ptCount val="5"/>
                </c:numCache>
              </c:numRef>
            </c:minus>
            <c:spPr>
              <a:noFill/>
              <a:ln w="9525" cap="flat" cmpd="sng" algn="ctr">
                <a:solidFill>
                  <a:schemeClr val="tx1">
                    <a:lumMod val="65000"/>
                    <a:lumOff val="35000"/>
                  </a:schemeClr>
                </a:solidFill>
                <a:prstDash val="solid"/>
                <a:round/>
              </a:ln>
              <a:effectLst/>
            </c:spPr>
          </c:errBars>
          <c:cat>
            <c:strRef>
              <c:f>'Pivot fig'!$A$4:$A$9</c:f>
              <c:strCache>
                <c:ptCount val="6"/>
                <c:pt idx="0">
                  <c:v>BUNWC</c:v>
                </c:pt>
                <c:pt idx="1">
                  <c:v>BUNOW</c:v>
                </c:pt>
                <c:pt idx="2">
                  <c:v>GINOW</c:v>
                </c:pt>
                <c:pt idx="3">
                  <c:v>GW2</c:v>
                </c:pt>
                <c:pt idx="4">
                  <c:v>GW3</c:v>
                </c:pt>
                <c:pt idx="5">
                  <c:v>GW4</c:v>
                </c:pt>
              </c:strCache>
            </c:strRef>
          </c:cat>
          <c:val>
            <c:numRef>
              <c:f>'Pivot fig'!$Q$4:$Q$9</c:f>
              <c:numCache>
                <c:formatCode>0.000</c:formatCode>
                <c:ptCount val="6"/>
                <c:pt idx="0">
                  <c:v>-3.8722595850000001</c:v>
                </c:pt>
                <c:pt idx="1">
                  <c:v>-8.1137699999999313E-2</c:v>
                </c:pt>
                <c:pt idx="3">
                  <c:v>-0.43185803300000003</c:v>
                </c:pt>
                <c:pt idx="4">
                  <c:v>-1.9378815910000002</c:v>
                </c:pt>
              </c:numCache>
            </c:numRef>
          </c:val>
        </c:ser>
        <c:ser>
          <c:idx val="1"/>
          <c:order val="1"/>
          <c:tx>
            <c:strRef>
              <c:f>'Pivot fig'!$R$3</c:f>
              <c:strCache>
                <c:ptCount val="1"/>
                <c:pt idx="0">
                  <c:v>T2</c:v>
                </c:pt>
              </c:strCache>
            </c:strRef>
          </c:tx>
          <c:spPr>
            <a:solidFill>
              <a:schemeClr val="accent1">
                <a:tint val="86000"/>
              </a:schemeClr>
            </a:solidFill>
            <a:ln>
              <a:noFill/>
            </a:ln>
            <a:effectLst/>
          </c:spPr>
          <c:invertIfNegative val="0"/>
          <c:errBars>
            <c:errBarType val="minus"/>
            <c:errValType val="cust"/>
            <c:noEndCap val="0"/>
            <c:plus>
              <c:numRef>
                <c:f>'Pivot fig'!$R$15:$R$20</c:f>
                <c:numCache>
                  <c:formatCode>General</c:formatCode>
                  <c:ptCount val="6"/>
                  <c:pt idx="1">
                    <c:v>0.10095723715200887</c:v>
                  </c:pt>
                  <c:pt idx="2">
                    <c:v>0.17115455433324719</c:v>
                  </c:pt>
                  <c:pt idx="3">
                    <c:v>7.0982262793802736E-2</c:v>
                  </c:pt>
                  <c:pt idx="4">
                    <c:v>0.11838308898626659</c:v>
                  </c:pt>
                  <c:pt idx="5">
                    <c:v>0.63689228803549369</c:v>
                  </c:pt>
                </c:numCache>
              </c:numRef>
            </c:plus>
            <c:minus>
              <c:numRef>
                <c:f>'Pivot fig'!$R$15:$R$20</c:f>
                <c:numCache>
                  <c:formatCode>General</c:formatCode>
                  <c:ptCount val="6"/>
                  <c:pt idx="1">
                    <c:v>0.10095723715200887</c:v>
                  </c:pt>
                  <c:pt idx="2">
                    <c:v>0.17115455433324719</c:v>
                  </c:pt>
                  <c:pt idx="3">
                    <c:v>7.0982262793802736E-2</c:v>
                  </c:pt>
                  <c:pt idx="4">
                    <c:v>0.11838308898626659</c:v>
                  </c:pt>
                  <c:pt idx="5">
                    <c:v>0.63689228803549369</c:v>
                  </c:pt>
                </c:numCache>
              </c:numRef>
            </c:minus>
            <c:spPr>
              <a:noFill/>
              <a:ln w="9525" cap="flat" cmpd="sng" algn="ctr">
                <a:solidFill>
                  <a:schemeClr val="tx1">
                    <a:lumMod val="65000"/>
                    <a:lumOff val="35000"/>
                  </a:schemeClr>
                </a:solidFill>
                <a:prstDash val="solid"/>
                <a:round/>
              </a:ln>
              <a:effectLst/>
            </c:spPr>
          </c:errBars>
          <c:cat>
            <c:strRef>
              <c:f>'Pivot fig'!$A$4:$A$9</c:f>
              <c:strCache>
                <c:ptCount val="6"/>
                <c:pt idx="0">
                  <c:v>BUNWC</c:v>
                </c:pt>
                <c:pt idx="1">
                  <c:v>BUNOW</c:v>
                </c:pt>
                <c:pt idx="2">
                  <c:v>GINOW</c:v>
                </c:pt>
                <c:pt idx="3">
                  <c:v>GW2</c:v>
                </c:pt>
                <c:pt idx="4">
                  <c:v>GW3</c:v>
                </c:pt>
                <c:pt idx="5">
                  <c:v>GW4</c:v>
                </c:pt>
              </c:strCache>
            </c:strRef>
          </c:cat>
          <c:val>
            <c:numRef>
              <c:f>'Pivot fig'!$R$4:$R$9</c:f>
              <c:numCache>
                <c:formatCode>0.000</c:formatCode>
                <c:ptCount val="6"/>
                <c:pt idx="1">
                  <c:v>-5.8472036799999998</c:v>
                </c:pt>
                <c:pt idx="2">
                  <c:v>-1.5013580289999995</c:v>
                </c:pt>
                <c:pt idx="3">
                  <c:v>-1.4099313246666665</c:v>
                </c:pt>
                <c:pt idx="4">
                  <c:v>-1.2727771539999999</c:v>
                </c:pt>
                <c:pt idx="5">
                  <c:v>-1.6876609876666666</c:v>
                </c:pt>
              </c:numCache>
            </c:numRef>
          </c:val>
        </c:ser>
        <c:ser>
          <c:idx val="2"/>
          <c:order val="2"/>
          <c:tx>
            <c:strRef>
              <c:f>'Pivot fig'!$S$3</c:f>
              <c:strCache>
                <c:ptCount val="1"/>
                <c:pt idx="0">
                  <c:v>T3</c:v>
                </c:pt>
              </c:strCache>
            </c:strRef>
          </c:tx>
          <c:spPr>
            <a:solidFill>
              <a:schemeClr val="accent1">
                <a:shade val="86000"/>
              </a:schemeClr>
            </a:solidFill>
            <a:ln>
              <a:noFill/>
            </a:ln>
            <a:effectLst/>
          </c:spPr>
          <c:invertIfNegative val="0"/>
          <c:errBars>
            <c:errBarType val="minus"/>
            <c:errValType val="cust"/>
            <c:noEndCap val="0"/>
            <c:plus>
              <c:numRef>
                <c:f>'Pivot fig'!$S$15:$S$20</c:f>
                <c:numCache>
                  <c:formatCode>General</c:formatCode>
                  <c:ptCount val="6"/>
                  <c:pt idx="1">
                    <c:v>2.7710140634092912</c:v>
                  </c:pt>
                  <c:pt idx="2">
                    <c:v>3.0479501137056908</c:v>
                  </c:pt>
                  <c:pt idx="3">
                    <c:v>0.58804725553964077</c:v>
                  </c:pt>
                  <c:pt idx="4">
                    <c:v>0.16150415473088592</c:v>
                  </c:pt>
                  <c:pt idx="5">
                    <c:v>0.41272888007028485</c:v>
                  </c:pt>
                </c:numCache>
              </c:numRef>
            </c:plus>
            <c:minus>
              <c:numRef>
                <c:f>'Pivot fig'!$S$15:$S$20</c:f>
                <c:numCache>
                  <c:formatCode>General</c:formatCode>
                  <c:ptCount val="6"/>
                  <c:pt idx="1">
                    <c:v>2.7710140634092912</c:v>
                  </c:pt>
                  <c:pt idx="2">
                    <c:v>3.0479501137056908</c:v>
                  </c:pt>
                  <c:pt idx="3">
                    <c:v>0.58804725553964077</c:v>
                  </c:pt>
                  <c:pt idx="4">
                    <c:v>0.16150415473088592</c:v>
                  </c:pt>
                  <c:pt idx="5">
                    <c:v>0.41272888007028485</c:v>
                  </c:pt>
                </c:numCache>
              </c:numRef>
            </c:minus>
            <c:spPr>
              <a:noFill/>
              <a:ln w="9525" cap="flat" cmpd="sng" algn="ctr">
                <a:solidFill>
                  <a:schemeClr val="tx1">
                    <a:lumMod val="65000"/>
                    <a:lumOff val="35000"/>
                  </a:schemeClr>
                </a:solidFill>
                <a:prstDash val="solid"/>
                <a:round/>
              </a:ln>
              <a:effectLst/>
            </c:spPr>
          </c:errBars>
          <c:cat>
            <c:strRef>
              <c:f>'Pivot fig'!$A$4:$A$9</c:f>
              <c:strCache>
                <c:ptCount val="6"/>
                <c:pt idx="0">
                  <c:v>BUNWC</c:v>
                </c:pt>
                <c:pt idx="1">
                  <c:v>BUNOW</c:v>
                </c:pt>
                <c:pt idx="2">
                  <c:v>GINOW</c:v>
                </c:pt>
                <c:pt idx="3">
                  <c:v>GW2</c:v>
                </c:pt>
                <c:pt idx="4">
                  <c:v>GW3</c:v>
                </c:pt>
                <c:pt idx="5">
                  <c:v>GW4</c:v>
                </c:pt>
              </c:strCache>
            </c:strRef>
          </c:cat>
          <c:val>
            <c:numRef>
              <c:f>'Pivot fig'!$S$4:$S$9</c:f>
              <c:numCache>
                <c:formatCode>0.000</c:formatCode>
                <c:ptCount val="6"/>
                <c:pt idx="0">
                  <c:v>-3.0011566599999995</c:v>
                </c:pt>
                <c:pt idx="1">
                  <c:v>-1.623563504999999</c:v>
                </c:pt>
                <c:pt idx="2">
                  <c:v>-0.77936817499999989</c:v>
                </c:pt>
                <c:pt idx="3">
                  <c:v>-5.8330249750000007E-2</c:v>
                </c:pt>
                <c:pt idx="4">
                  <c:v>-3.7773896239999996</c:v>
                </c:pt>
                <c:pt idx="5">
                  <c:v>-0.93239273174999981</c:v>
                </c:pt>
              </c:numCache>
            </c:numRef>
          </c:val>
        </c:ser>
        <c:ser>
          <c:idx val="3"/>
          <c:order val="3"/>
          <c:tx>
            <c:strRef>
              <c:f>'Pivot fig'!$T$3</c:f>
              <c:strCache>
                <c:ptCount val="1"/>
                <c:pt idx="0">
                  <c:v>T4</c:v>
                </c:pt>
              </c:strCache>
            </c:strRef>
          </c:tx>
          <c:spPr>
            <a:solidFill>
              <a:schemeClr val="accent1">
                <a:shade val="58000"/>
              </a:schemeClr>
            </a:solidFill>
            <a:ln>
              <a:noFill/>
            </a:ln>
            <a:effectLst/>
          </c:spPr>
          <c:invertIfNegative val="0"/>
          <c:errBars>
            <c:errBarType val="both"/>
            <c:errValType val="cust"/>
            <c:noEndCap val="0"/>
            <c:plus>
              <c:numRef>
                <c:f>'Pivot fig'!$T$15:$T$20</c:f>
                <c:numCache>
                  <c:formatCode>General</c:formatCode>
                  <c:ptCount val="6"/>
                  <c:pt idx="1">
                    <c:v>0.33863492636322678</c:v>
                  </c:pt>
                  <c:pt idx="2">
                    <c:v>1.1469819270281234</c:v>
                  </c:pt>
                  <c:pt idx="3">
                    <c:v>8.3619451286143814E-2</c:v>
                  </c:pt>
                  <c:pt idx="5">
                    <c:v>1.1800582412010143</c:v>
                  </c:pt>
                </c:numCache>
              </c:numRef>
            </c:plus>
            <c:minus>
              <c:numRef>
                <c:f>'Pivot fig'!$T$15:$T$20</c:f>
                <c:numCache>
                  <c:formatCode>General</c:formatCode>
                  <c:ptCount val="6"/>
                  <c:pt idx="1">
                    <c:v>0.33863492636322678</c:v>
                  </c:pt>
                  <c:pt idx="2">
                    <c:v>1.1469819270281234</c:v>
                  </c:pt>
                  <c:pt idx="3">
                    <c:v>8.3619451286143814E-2</c:v>
                  </c:pt>
                  <c:pt idx="5">
                    <c:v>1.1800582412010143</c:v>
                  </c:pt>
                </c:numCache>
              </c:numRef>
            </c:minus>
            <c:spPr>
              <a:noFill/>
              <a:ln w="9525" cap="flat" cmpd="sng" algn="ctr">
                <a:solidFill>
                  <a:schemeClr val="tx1">
                    <a:lumMod val="65000"/>
                    <a:lumOff val="35000"/>
                  </a:schemeClr>
                </a:solidFill>
                <a:prstDash val="solid"/>
                <a:round/>
              </a:ln>
              <a:effectLst/>
            </c:spPr>
          </c:errBars>
          <c:cat>
            <c:strRef>
              <c:f>'Pivot fig'!$A$4:$A$9</c:f>
              <c:strCache>
                <c:ptCount val="6"/>
                <c:pt idx="0">
                  <c:v>BUNWC</c:v>
                </c:pt>
                <c:pt idx="1">
                  <c:v>BUNOW</c:v>
                </c:pt>
                <c:pt idx="2">
                  <c:v>GINOW</c:v>
                </c:pt>
                <c:pt idx="3">
                  <c:v>GW2</c:v>
                </c:pt>
                <c:pt idx="4">
                  <c:v>GW3</c:v>
                </c:pt>
                <c:pt idx="5">
                  <c:v>GW4</c:v>
                </c:pt>
              </c:strCache>
            </c:strRef>
          </c:cat>
          <c:val>
            <c:numRef>
              <c:f>'Pivot fig'!$T$4:$T$9</c:f>
              <c:numCache>
                <c:formatCode>0.000</c:formatCode>
                <c:ptCount val="6"/>
                <c:pt idx="1">
                  <c:v>2.3633465824999997</c:v>
                </c:pt>
                <c:pt idx="2">
                  <c:v>1.2532630315000004</c:v>
                </c:pt>
                <c:pt idx="3">
                  <c:v>-0.35795468324999996</c:v>
                </c:pt>
                <c:pt idx="5">
                  <c:v>-1.31616559525</c:v>
                </c:pt>
              </c:numCache>
            </c:numRef>
          </c:val>
        </c:ser>
        <c:dLbls>
          <c:showLegendKey val="0"/>
          <c:showVal val="0"/>
          <c:showCatName val="0"/>
          <c:showSerName val="0"/>
          <c:showPercent val="0"/>
          <c:showBubbleSize val="0"/>
        </c:dLbls>
        <c:gapWidth val="219"/>
        <c:overlap val="-27"/>
        <c:axId val="405882664"/>
        <c:axId val="405883056"/>
      </c:barChart>
      <c:catAx>
        <c:axId val="405882664"/>
        <c:scaling>
          <c:orientation val="minMax"/>
        </c:scaling>
        <c:delete val="0"/>
        <c:axPos val="b"/>
        <c:numFmt formatCode="General" sourceLinked="1"/>
        <c:majorTickMark val="out"/>
        <c:minorTickMark val="none"/>
        <c:tickLblPos val="low"/>
        <c:spPr>
          <a:noFill/>
          <a:ln w="9525" cap="flat" cmpd="sng" algn="ctr">
            <a:solidFill>
              <a:schemeClr val="bg1">
                <a:lumMod val="50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05883056"/>
        <c:crosses val="autoZero"/>
        <c:auto val="1"/>
        <c:lblAlgn val="ctr"/>
        <c:lblOffset val="100"/>
        <c:noMultiLvlLbl val="0"/>
      </c:catAx>
      <c:valAx>
        <c:axId val="4058830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AU"/>
                  <a:t>NPP ±SD</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6350" cap="flat" cmpd="sng" algn="ctr">
            <a:solidFill>
              <a:schemeClr val="bg1">
                <a:lumMod val="50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05882664"/>
        <c:crosses val="autoZero"/>
        <c:crossBetween val="between"/>
        <c:majorUnit val="2"/>
      </c:valAx>
      <c:spPr>
        <a:noFill/>
        <a:ln>
          <a:noFill/>
        </a:ln>
        <a:effectLst/>
      </c:spPr>
    </c:plotArea>
    <c:legend>
      <c:legendPos val="t"/>
      <c:layout>
        <c:manualLayout>
          <c:xMode val="edge"/>
          <c:yMode val="edge"/>
          <c:x val="0.53713355748676017"/>
          <c:y val="6.0811681414696492E-2"/>
          <c:w val="0.42762673083327069"/>
          <c:h val="9.329130057773275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sz="1000" b="0">
          <a:latin typeface="Arial" panose="020B0604020202020204" pitchFamily="34" charset="0"/>
          <a:cs typeface="Arial" panose="020B0604020202020204" pitchFamily="34" charset="0"/>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AU" sz="1000"/>
              <a:t>(b)</a:t>
            </a:r>
          </a:p>
        </c:rich>
      </c:tx>
      <c:layout>
        <c:manualLayout>
          <c:xMode val="edge"/>
          <c:yMode val="edge"/>
          <c:x val="4.948913994446346E-2"/>
          <c:y val="1.1056910569105691E-2"/>
        </c:manualLayout>
      </c:layout>
      <c:overlay val="0"/>
      <c:spPr>
        <a:noFill/>
        <a:ln>
          <a:noFill/>
        </a:ln>
        <a:effectLst/>
      </c:spPr>
    </c:title>
    <c:autoTitleDeleted val="0"/>
    <c:plotArea>
      <c:layout>
        <c:manualLayout>
          <c:layoutTarget val="inner"/>
          <c:xMode val="edge"/>
          <c:yMode val="edge"/>
          <c:x val="0.22068260597464032"/>
          <c:y val="5.5924111200493107E-2"/>
          <c:w val="0.74310337716553365"/>
          <c:h val="0.90609087881156147"/>
        </c:manualLayout>
      </c:layout>
      <c:barChart>
        <c:barDir val="col"/>
        <c:grouping val="clustered"/>
        <c:varyColors val="0"/>
        <c:ser>
          <c:idx val="0"/>
          <c:order val="0"/>
          <c:tx>
            <c:strRef>
              <c:f>'Pivot fig'!$L$3</c:f>
              <c:strCache>
                <c:ptCount val="1"/>
                <c:pt idx="0">
                  <c:v>1</c:v>
                </c:pt>
              </c:strCache>
            </c:strRef>
          </c:tx>
          <c:spPr>
            <a:solidFill>
              <a:schemeClr val="accent1">
                <a:tint val="58000"/>
              </a:schemeClr>
            </a:solidFill>
            <a:ln>
              <a:noFill/>
            </a:ln>
            <a:effectLst/>
          </c:spPr>
          <c:invertIfNegative val="0"/>
          <c:errBars>
            <c:errBarType val="minus"/>
            <c:errValType val="cust"/>
            <c:noEndCap val="0"/>
            <c:minus>
              <c:numRef>
                <c:f>'Pivot fig'!$L$15:$L$19</c:f>
                <c:numCache>
                  <c:formatCode>General</c:formatCode>
                  <c:ptCount val="5"/>
                </c:numCache>
              </c:numRef>
            </c:minus>
            <c:spPr>
              <a:noFill/>
              <a:ln w="9522" cap="flat" cmpd="sng" algn="ctr">
                <a:solidFill>
                  <a:schemeClr val="tx1">
                    <a:lumMod val="65000"/>
                    <a:lumOff val="35000"/>
                  </a:schemeClr>
                </a:solidFill>
                <a:prstDash val="solid"/>
                <a:round/>
              </a:ln>
              <a:effectLst/>
            </c:spPr>
          </c:errBars>
          <c:cat>
            <c:strRef>
              <c:f>'Pivot fig'!$A$4:$A$9</c:f>
              <c:strCache>
                <c:ptCount val="6"/>
                <c:pt idx="0">
                  <c:v>BUNWC</c:v>
                </c:pt>
                <c:pt idx="1">
                  <c:v>BUNOW</c:v>
                </c:pt>
                <c:pt idx="2">
                  <c:v>GINOW</c:v>
                </c:pt>
                <c:pt idx="3">
                  <c:v>GW2</c:v>
                </c:pt>
                <c:pt idx="4">
                  <c:v>GW3</c:v>
                </c:pt>
                <c:pt idx="5">
                  <c:v>GW4</c:v>
                </c:pt>
              </c:strCache>
            </c:strRef>
          </c:cat>
          <c:val>
            <c:numRef>
              <c:f>'Pivot fig'!$L$4:$L$9</c:f>
              <c:numCache>
                <c:formatCode>0.00</c:formatCode>
                <c:ptCount val="6"/>
                <c:pt idx="0">
                  <c:v>-5.1755316330000003</c:v>
                </c:pt>
                <c:pt idx="1">
                  <c:v>-9.1028633669999994</c:v>
                </c:pt>
                <c:pt idx="3">
                  <c:v>-1.338938033</c:v>
                </c:pt>
                <c:pt idx="4">
                  <c:v>-3.1443325770000001</c:v>
                </c:pt>
              </c:numCache>
            </c:numRef>
          </c:val>
        </c:ser>
        <c:ser>
          <c:idx val="1"/>
          <c:order val="1"/>
          <c:tx>
            <c:strRef>
              <c:f>'Pivot fig'!$M$3</c:f>
              <c:strCache>
                <c:ptCount val="1"/>
                <c:pt idx="0">
                  <c:v>2</c:v>
                </c:pt>
              </c:strCache>
            </c:strRef>
          </c:tx>
          <c:spPr>
            <a:solidFill>
              <a:schemeClr val="accent1">
                <a:tint val="86000"/>
              </a:schemeClr>
            </a:solidFill>
            <a:ln>
              <a:noFill/>
            </a:ln>
            <a:effectLst/>
          </c:spPr>
          <c:invertIfNegative val="0"/>
          <c:errBars>
            <c:errBarType val="minus"/>
            <c:errValType val="cust"/>
            <c:noEndCap val="0"/>
            <c:minus>
              <c:numRef>
                <c:f>'Pivot fig'!$M$15:$M$20</c:f>
                <c:numCache>
                  <c:formatCode>General</c:formatCode>
                  <c:ptCount val="6"/>
                  <c:pt idx="1">
                    <c:v>1.8164690407079289</c:v>
                  </c:pt>
                  <c:pt idx="2">
                    <c:v>0.44811279488550593</c:v>
                  </c:pt>
                  <c:pt idx="3">
                    <c:v>0.23242082702558425</c:v>
                  </c:pt>
                  <c:pt idx="4">
                    <c:v>0.19302827328422001</c:v>
                  </c:pt>
                  <c:pt idx="5">
                    <c:v>0.78820225158086543</c:v>
                  </c:pt>
                </c:numCache>
              </c:numRef>
            </c:minus>
            <c:spPr>
              <a:noFill/>
              <a:ln w="9522" cap="flat" cmpd="sng" algn="ctr">
                <a:solidFill>
                  <a:schemeClr val="tx1">
                    <a:lumMod val="65000"/>
                    <a:lumOff val="35000"/>
                  </a:schemeClr>
                </a:solidFill>
                <a:prstDash val="solid"/>
                <a:round/>
              </a:ln>
              <a:effectLst/>
            </c:spPr>
          </c:errBars>
          <c:cat>
            <c:strRef>
              <c:f>'Pivot fig'!$A$4:$A$9</c:f>
              <c:strCache>
                <c:ptCount val="6"/>
                <c:pt idx="0">
                  <c:v>BUNWC</c:v>
                </c:pt>
                <c:pt idx="1">
                  <c:v>BUNOW</c:v>
                </c:pt>
                <c:pt idx="2">
                  <c:v>GINOW</c:v>
                </c:pt>
                <c:pt idx="3">
                  <c:v>GW2</c:v>
                </c:pt>
                <c:pt idx="4">
                  <c:v>GW3</c:v>
                </c:pt>
                <c:pt idx="5">
                  <c:v>GW4</c:v>
                </c:pt>
              </c:strCache>
            </c:strRef>
          </c:cat>
          <c:val>
            <c:numRef>
              <c:f>'Pivot fig'!$M$4:$M$9</c:f>
              <c:numCache>
                <c:formatCode>0.00</c:formatCode>
                <c:ptCount val="6"/>
                <c:pt idx="1">
                  <c:v>-10.3357168235</c:v>
                </c:pt>
                <c:pt idx="2">
                  <c:v>-6.4726727789999998</c:v>
                </c:pt>
                <c:pt idx="3">
                  <c:v>-2.0466215133333336</c:v>
                </c:pt>
                <c:pt idx="4">
                  <c:v>-2.2396669629999999</c:v>
                </c:pt>
                <c:pt idx="5">
                  <c:v>-2.3815495086666667</c:v>
                </c:pt>
              </c:numCache>
            </c:numRef>
          </c:val>
        </c:ser>
        <c:ser>
          <c:idx val="2"/>
          <c:order val="2"/>
          <c:tx>
            <c:strRef>
              <c:f>'Pivot fig'!$N$3</c:f>
              <c:strCache>
                <c:ptCount val="1"/>
                <c:pt idx="0">
                  <c:v>3</c:v>
                </c:pt>
              </c:strCache>
            </c:strRef>
          </c:tx>
          <c:spPr>
            <a:solidFill>
              <a:schemeClr val="accent1">
                <a:shade val="86000"/>
              </a:schemeClr>
            </a:solidFill>
            <a:ln>
              <a:noFill/>
            </a:ln>
            <a:effectLst/>
          </c:spPr>
          <c:invertIfNegative val="0"/>
          <c:errBars>
            <c:errBarType val="minus"/>
            <c:errValType val="cust"/>
            <c:noEndCap val="0"/>
            <c:minus>
              <c:numRef>
                <c:f>'Pivot fig'!$N$15:$N$20</c:f>
                <c:numCache>
                  <c:formatCode>General</c:formatCode>
                  <c:ptCount val="6"/>
                  <c:pt idx="1">
                    <c:v>2.952741920387798</c:v>
                  </c:pt>
                  <c:pt idx="2">
                    <c:v>2.4118955939396325</c:v>
                  </c:pt>
                  <c:pt idx="3">
                    <c:v>0.77438340642284864</c:v>
                  </c:pt>
                  <c:pt idx="4">
                    <c:v>0.53875152966395334</c:v>
                  </c:pt>
                  <c:pt idx="5">
                    <c:v>2.1799698694247294</c:v>
                  </c:pt>
                </c:numCache>
              </c:numRef>
            </c:minus>
            <c:spPr>
              <a:noFill/>
              <a:ln w="9522" cap="flat" cmpd="sng" algn="ctr">
                <a:solidFill>
                  <a:schemeClr val="tx1">
                    <a:lumMod val="65000"/>
                    <a:lumOff val="35000"/>
                  </a:schemeClr>
                </a:solidFill>
                <a:prstDash val="solid"/>
                <a:round/>
              </a:ln>
              <a:effectLst/>
            </c:spPr>
          </c:errBars>
          <c:cat>
            <c:strRef>
              <c:f>'Pivot fig'!$A$4:$A$9</c:f>
              <c:strCache>
                <c:ptCount val="6"/>
                <c:pt idx="0">
                  <c:v>BUNWC</c:v>
                </c:pt>
                <c:pt idx="1">
                  <c:v>BUNOW</c:v>
                </c:pt>
                <c:pt idx="2">
                  <c:v>GINOW</c:v>
                </c:pt>
                <c:pt idx="3">
                  <c:v>GW2</c:v>
                </c:pt>
                <c:pt idx="4">
                  <c:v>GW3</c:v>
                </c:pt>
                <c:pt idx="5">
                  <c:v>GW4</c:v>
                </c:pt>
              </c:strCache>
            </c:strRef>
          </c:cat>
          <c:val>
            <c:numRef>
              <c:f>'Pivot fig'!$N$4:$N$9</c:f>
              <c:numCache>
                <c:formatCode>0.00</c:formatCode>
                <c:ptCount val="6"/>
                <c:pt idx="0">
                  <c:v>-39.485583329999997</c:v>
                </c:pt>
                <c:pt idx="1">
                  <c:v>-15.663786835</c:v>
                </c:pt>
                <c:pt idx="2">
                  <c:v>-7.5910640914999998</c:v>
                </c:pt>
                <c:pt idx="3">
                  <c:v>-5.7478407499999999</c:v>
                </c:pt>
                <c:pt idx="4">
                  <c:v>-6.9973898769999998</c:v>
                </c:pt>
                <c:pt idx="5">
                  <c:v>-6.9856924899999999</c:v>
                </c:pt>
              </c:numCache>
            </c:numRef>
          </c:val>
        </c:ser>
        <c:ser>
          <c:idx val="3"/>
          <c:order val="3"/>
          <c:tx>
            <c:strRef>
              <c:f>'Pivot fig'!$O$3</c:f>
              <c:strCache>
                <c:ptCount val="1"/>
                <c:pt idx="0">
                  <c:v>4</c:v>
                </c:pt>
              </c:strCache>
            </c:strRef>
          </c:tx>
          <c:spPr>
            <a:solidFill>
              <a:schemeClr val="accent1">
                <a:shade val="58000"/>
              </a:schemeClr>
            </a:solidFill>
            <a:ln>
              <a:noFill/>
            </a:ln>
            <a:effectLst/>
          </c:spPr>
          <c:invertIfNegative val="0"/>
          <c:errBars>
            <c:errBarType val="minus"/>
            <c:errValType val="cust"/>
            <c:noEndCap val="0"/>
            <c:minus>
              <c:numRef>
                <c:f>'Pivot fig'!$O$15:$O$20</c:f>
                <c:numCache>
                  <c:formatCode>General</c:formatCode>
                  <c:ptCount val="6"/>
                  <c:pt idx="1">
                    <c:v>0.64157938031726325</c:v>
                  </c:pt>
                  <c:pt idx="2">
                    <c:v>1.6111001836078462</c:v>
                  </c:pt>
                  <c:pt idx="3">
                    <c:v>0.42900653357768331</c:v>
                  </c:pt>
                  <c:pt idx="5">
                    <c:v>2.0268289302980729</c:v>
                  </c:pt>
                </c:numCache>
              </c:numRef>
            </c:minus>
            <c:spPr>
              <a:noFill/>
              <a:ln w="9522" cap="flat" cmpd="sng" algn="ctr">
                <a:solidFill>
                  <a:schemeClr val="tx1">
                    <a:lumMod val="65000"/>
                    <a:lumOff val="35000"/>
                  </a:schemeClr>
                </a:solidFill>
                <a:prstDash val="solid"/>
                <a:round/>
              </a:ln>
              <a:effectLst/>
            </c:spPr>
          </c:errBars>
          <c:cat>
            <c:strRef>
              <c:f>'Pivot fig'!$A$4:$A$9</c:f>
              <c:strCache>
                <c:ptCount val="6"/>
                <c:pt idx="0">
                  <c:v>BUNWC</c:v>
                </c:pt>
                <c:pt idx="1">
                  <c:v>BUNOW</c:v>
                </c:pt>
                <c:pt idx="2">
                  <c:v>GINOW</c:v>
                </c:pt>
                <c:pt idx="3">
                  <c:v>GW2</c:v>
                </c:pt>
                <c:pt idx="4">
                  <c:v>GW3</c:v>
                </c:pt>
                <c:pt idx="5">
                  <c:v>GW4</c:v>
                </c:pt>
              </c:strCache>
            </c:strRef>
          </c:cat>
          <c:val>
            <c:numRef>
              <c:f>'Pivot fig'!$O$4:$O$9</c:f>
              <c:numCache>
                <c:formatCode>0.00</c:formatCode>
                <c:ptCount val="6"/>
                <c:pt idx="1">
                  <c:v>-10.666807000000002</c:v>
                </c:pt>
                <c:pt idx="2">
                  <c:v>-7.0710061350000002</c:v>
                </c:pt>
                <c:pt idx="3">
                  <c:v>-2.5578081832499997</c:v>
                </c:pt>
                <c:pt idx="5">
                  <c:v>-6.3777601035</c:v>
                </c:pt>
              </c:numCache>
            </c:numRef>
          </c:val>
        </c:ser>
        <c:dLbls>
          <c:showLegendKey val="0"/>
          <c:showVal val="0"/>
          <c:showCatName val="0"/>
          <c:showSerName val="0"/>
          <c:showPercent val="0"/>
          <c:showBubbleSize val="0"/>
        </c:dLbls>
        <c:gapWidth val="219"/>
        <c:overlap val="-27"/>
        <c:axId val="399107208"/>
        <c:axId val="405881880"/>
      </c:barChart>
      <c:catAx>
        <c:axId val="399107208"/>
        <c:scaling>
          <c:orientation val="minMax"/>
        </c:scaling>
        <c:delete val="1"/>
        <c:axPos val="b"/>
        <c:numFmt formatCode="General" sourceLinked="1"/>
        <c:majorTickMark val="out"/>
        <c:minorTickMark val="none"/>
        <c:tickLblPos val="nextTo"/>
        <c:crossAx val="405881880"/>
        <c:crosses val="autoZero"/>
        <c:auto val="1"/>
        <c:lblAlgn val="ctr"/>
        <c:lblOffset val="100"/>
        <c:noMultiLvlLbl val="0"/>
      </c:catAx>
      <c:valAx>
        <c:axId val="405881880"/>
        <c:scaling>
          <c:orientation val="minMax"/>
          <c:max val="0"/>
          <c:min val="-40"/>
        </c:scaling>
        <c:delete val="0"/>
        <c:axPos val="l"/>
        <c:title>
          <c:tx>
            <c:rich>
              <a:bodyPr/>
              <a:lstStyle/>
              <a:p>
                <a:pPr>
                  <a:defRPr sz="1100" b="0" i="0" u="none" strike="noStrike" baseline="0">
                    <a:solidFill>
                      <a:srgbClr val="000000"/>
                    </a:solidFill>
                    <a:latin typeface="Calibri"/>
                    <a:ea typeface="Calibri"/>
                    <a:cs typeface="Calibri"/>
                  </a:defRPr>
                </a:pPr>
                <a:r>
                  <a:rPr lang="en-AU" sz="1000" b="0" i="0" u="none" strike="noStrike" baseline="0">
                    <a:solidFill>
                      <a:srgbClr val="000000"/>
                    </a:solidFill>
                    <a:latin typeface="Arial"/>
                    <a:cs typeface="Arial"/>
                  </a:rPr>
                  <a:t>ER ±SD</a:t>
                </a:r>
              </a:p>
            </c:rich>
          </c:tx>
          <c:overlay val="0"/>
          <c:spPr>
            <a:noFill/>
            <a:ln>
              <a:noFill/>
            </a:ln>
            <a:effectLst/>
          </c:spPr>
        </c:title>
        <c:numFmt formatCode="0" sourceLinked="0"/>
        <c:majorTickMark val="out"/>
        <c:minorTickMark val="none"/>
        <c:tickLblPos val="nextTo"/>
        <c:spPr>
          <a:noFill/>
          <a:ln w="6348" cap="flat" cmpd="sng" algn="ctr">
            <a:solidFill>
              <a:schemeClr val="bg1">
                <a:lumMod val="50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99107208"/>
        <c:crosses val="autoZero"/>
        <c:crossBetween val="between"/>
        <c:majorUnit val="5"/>
      </c:valAx>
      <c:spPr>
        <a:noFill/>
        <a:ln w="25391">
          <a:noFill/>
        </a:ln>
      </c:spPr>
    </c:plotArea>
    <c:plotVisOnly val="1"/>
    <c:dispBlanksAs val="gap"/>
    <c:showDLblsOverMax val="0"/>
  </c:chart>
  <c:spPr>
    <a:solidFill>
      <a:schemeClr val="bg1"/>
    </a:solidFill>
    <a:ln>
      <a:noFill/>
    </a:ln>
    <a:effectLst/>
  </c:spPr>
  <c:txPr>
    <a:bodyPr/>
    <a:lstStyle/>
    <a:p>
      <a:pPr>
        <a:defRPr sz="1000" b="0">
          <a:latin typeface="Arial" panose="020B0604020202020204" pitchFamily="34" charset="0"/>
          <a:cs typeface="Arial" panose="020B0604020202020204" pitchFamily="34" charset="0"/>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AU" sz="1000"/>
              <a:t>(a)</a:t>
            </a:r>
          </a:p>
        </c:rich>
      </c:tx>
      <c:layout>
        <c:manualLayout>
          <c:xMode val="edge"/>
          <c:yMode val="edge"/>
          <c:x val="1.1851143773178108E-3"/>
          <c:y val="3.4873583260680033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4410007012304677"/>
          <c:y val="0.10753256156460066"/>
          <c:w val="0.71665963110393216"/>
          <c:h val="0.79470499181332743"/>
        </c:manualLayout>
      </c:layout>
      <c:barChart>
        <c:barDir val="col"/>
        <c:grouping val="clustered"/>
        <c:varyColors val="0"/>
        <c:ser>
          <c:idx val="0"/>
          <c:order val="0"/>
          <c:tx>
            <c:strRef>
              <c:f>'Pivot wetland scale'!$A$21</c:f>
              <c:strCache>
                <c:ptCount val="1"/>
                <c:pt idx="0">
                  <c:v>Open Water</c:v>
                </c:pt>
              </c:strCache>
            </c:strRef>
          </c:tx>
          <c:spPr>
            <a:solidFill>
              <a:schemeClr val="accent5">
                <a:shade val="76000"/>
              </a:schemeClr>
            </a:solidFill>
            <a:ln>
              <a:noFill/>
            </a:ln>
            <a:effectLst/>
          </c:spPr>
          <c:invertIfNegative val="0"/>
          <c:errBars>
            <c:errBarType val="both"/>
            <c:errValType val="cust"/>
            <c:noEndCap val="0"/>
            <c:plus>
              <c:numRef>
                <c:f>'Pivot wetland scale'!$B$28:$E$28</c:f>
                <c:numCache>
                  <c:formatCode>General</c:formatCode>
                  <c:ptCount val="4"/>
                  <c:pt idx="1">
                    <c:v>159.09787432336196</c:v>
                  </c:pt>
                  <c:pt idx="2">
                    <c:v>273.44324448641464</c:v>
                  </c:pt>
                  <c:pt idx="3">
                    <c:v>183.60913442294594</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'Pivot wetland scale'!$B$20:$E$20</c:f>
              <c:strCache>
                <c:ptCount val="4"/>
                <c:pt idx="0">
                  <c:v>T1</c:v>
                </c:pt>
                <c:pt idx="1">
                  <c:v>T2</c:v>
                </c:pt>
                <c:pt idx="2">
                  <c:v>T3</c:v>
                </c:pt>
                <c:pt idx="3">
                  <c:v>T4</c:v>
                </c:pt>
              </c:strCache>
            </c:strRef>
          </c:cat>
          <c:val>
            <c:numRef>
              <c:f>'Pivot wetland scale'!$B$21:$E$21</c:f>
              <c:numCache>
                <c:formatCode>0.0</c:formatCode>
                <c:ptCount val="4"/>
                <c:pt idx="0">
                  <c:v>636.59835389547243</c:v>
                </c:pt>
                <c:pt idx="1">
                  <c:v>652.81751043369786</c:v>
                </c:pt>
                <c:pt idx="2">
                  <c:v>669.4799237001655</c:v>
                </c:pt>
                <c:pt idx="3">
                  <c:v>832.13214915106346</c:v>
                </c:pt>
              </c:numCache>
            </c:numRef>
          </c:val>
        </c:ser>
        <c:ser>
          <c:idx val="1"/>
          <c:order val="1"/>
          <c:tx>
            <c:strRef>
              <c:f>'Pivot wetland scale'!$A$22</c:f>
              <c:strCache>
                <c:ptCount val="1"/>
                <c:pt idx="0">
                  <c:v>Water Couch</c:v>
                </c:pt>
              </c:strCache>
            </c:strRef>
          </c:tx>
          <c:spPr>
            <a:solidFill>
              <a:schemeClr val="accent5">
                <a:tint val="77000"/>
              </a:schemeClr>
            </a:solidFill>
            <a:ln>
              <a:noFill/>
            </a:ln>
            <a:effectLst/>
          </c:spPr>
          <c:invertIfNegative val="0"/>
          <c:cat>
            <c:strRef>
              <c:f>'Pivot wetland scale'!$B$20:$E$20</c:f>
              <c:strCache>
                <c:ptCount val="4"/>
                <c:pt idx="0">
                  <c:v>T1</c:v>
                </c:pt>
                <c:pt idx="1">
                  <c:v>T2</c:v>
                </c:pt>
                <c:pt idx="2">
                  <c:v>T3</c:v>
                </c:pt>
                <c:pt idx="3">
                  <c:v>T4</c:v>
                </c:pt>
              </c:strCache>
            </c:strRef>
          </c:cat>
          <c:val>
            <c:numRef>
              <c:f>'Pivot wetland scale'!$B$22:$E$22</c:f>
              <c:numCache>
                <c:formatCode>General</c:formatCode>
                <c:ptCount val="4"/>
                <c:pt idx="0">
                  <c:v>91.962543648333849</c:v>
                </c:pt>
                <c:pt idx="2">
                  <c:v>2648.8502358807791</c:v>
                </c:pt>
              </c:numCache>
            </c:numRef>
          </c:val>
        </c:ser>
        <c:dLbls>
          <c:showLegendKey val="0"/>
          <c:showVal val="0"/>
          <c:showCatName val="0"/>
          <c:showSerName val="0"/>
          <c:showPercent val="0"/>
          <c:showBubbleSize val="0"/>
        </c:dLbls>
        <c:gapWidth val="219"/>
        <c:overlap val="-27"/>
        <c:axId val="412908352"/>
        <c:axId val="399105640"/>
      </c:barChart>
      <c:catAx>
        <c:axId val="412908352"/>
        <c:scaling>
          <c:orientation val="minMax"/>
        </c:scaling>
        <c:delete val="0"/>
        <c:axPos val="b"/>
        <c:numFmt formatCode="General" sourceLinked="1"/>
        <c:majorTickMark val="out"/>
        <c:minorTickMark val="none"/>
        <c:tickLblPos val="nextTo"/>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99105640"/>
        <c:crosses val="autoZero"/>
        <c:auto val="1"/>
        <c:lblAlgn val="ctr"/>
        <c:lblOffset val="100"/>
        <c:noMultiLvlLbl val="0"/>
      </c:catAx>
      <c:valAx>
        <c:axId val="39910564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Wetland scale GPP ± SD</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12908352"/>
        <c:crosses val="autoZero"/>
        <c:crossBetween val="between"/>
      </c:valAx>
      <c:spPr>
        <a:noFill/>
        <a:ln>
          <a:noFill/>
        </a:ln>
        <a:effectLst/>
      </c:spPr>
    </c:plotArea>
    <c:legend>
      <c:legendPos val="b"/>
      <c:layout>
        <c:manualLayout>
          <c:xMode val="edge"/>
          <c:yMode val="edge"/>
          <c:x val="0.3352377031736784"/>
          <c:y val="4.0479443121048411E-2"/>
          <c:w val="0.63301609341366671"/>
          <c:h val="9.0375211381053394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AU"/>
              <a:t>(c)</a:t>
            </a:r>
          </a:p>
        </c:rich>
      </c:tx>
      <c:layout>
        <c:manualLayout>
          <c:xMode val="edge"/>
          <c:yMode val="edge"/>
          <c:x val="4.4338708998273614E-3"/>
          <c:y val="2.9061319383900028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3116727721868988"/>
          <c:y val="3.2475909996865046E-2"/>
          <c:w val="0.76524309795500156"/>
          <c:h val="0.87307477064439309"/>
        </c:manualLayout>
      </c:layout>
      <c:barChart>
        <c:barDir val="col"/>
        <c:grouping val="clustered"/>
        <c:varyColors val="0"/>
        <c:ser>
          <c:idx val="0"/>
          <c:order val="0"/>
          <c:tx>
            <c:strRef>
              <c:f>'Pivot wetland scale'!$A$21</c:f>
              <c:strCache>
                <c:ptCount val="1"/>
                <c:pt idx="0">
                  <c:v>Open Water</c:v>
                </c:pt>
              </c:strCache>
            </c:strRef>
          </c:tx>
          <c:spPr>
            <a:solidFill>
              <a:schemeClr val="accent5">
                <a:shade val="76000"/>
              </a:schemeClr>
            </a:solidFill>
            <a:ln>
              <a:noFill/>
            </a:ln>
            <a:effectLst/>
          </c:spPr>
          <c:invertIfNegative val="0"/>
          <c:errBars>
            <c:errBarType val="minus"/>
            <c:errValType val="cust"/>
            <c:noEndCap val="0"/>
            <c:plus>
              <c:numRef>
                <c:f>'Pivot wetland scale'!$J$28:$M$28</c:f>
                <c:numCache>
                  <c:formatCode>General</c:formatCode>
                  <c:ptCount val="4"/>
                  <c:pt idx="1">
                    <c:v>346.6616080937726</c:v>
                  </c:pt>
                  <c:pt idx="2">
                    <c:v>196.15699962795566</c:v>
                  </c:pt>
                  <c:pt idx="3">
                    <c:v>59.005869140290216</c:v>
                  </c:pt>
                </c:numCache>
              </c:numRef>
            </c:plus>
            <c:minus>
              <c:numRef>
                <c:f>'Pivot wetland scale'!$J$28:$M$28</c:f>
                <c:numCache>
                  <c:formatCode>General</c:formatCode>
                  <c:ptCount val="4"/>
                  <c:pt idx="1">
                    <c:v>346.6616080937726</c:v>
                  </c:pt>
                  <c:pt idx="2">
                    <c:v>196.15699962795566</c:v>
                  </c:pt>
                  <c:pt idx="3">
                    <c:v>59.005869140290216</c:v>
                  </c:pt>
                </c:numCache>
              </c:numRef>
            </c:minus>
            <c:spPr>
              <a:noFill/>
              <a:ln w="9525" cap="flat" cmpd="sng" algn="ctr">
                <a:solidFill>
                  <a:schemeClr val="tx1">
                    <a:lumMod val="65000"/>
                    <a:lumOff val="35000"/>
                  </a:schemeClr>
                </a:solidFill>
                <a:round/>
              </a:ln>
              <a:effectLst/>
            </c:spPr>
          </c:errBars>
          <c:cat>
            <c:strRef>
              <c:f>'Pivot wetland scale'!$J$20:$M$20</c:f>
              <c:strCache>
                <c:ptCount val="4"/>
                <c:pt idx="0">
                  <c:v>T1</c:v>
                </c:pt>
                <c:pt idx="1">
                  <c:v>T2</c:v>
                </c:pt>
                <c:pt idx="2">
                  <c:v>T3</c:v>
                </c:pt>
                <c:pt idx="3">
                  <c:v>T4</c:v>
                </c:pt>
              </c:strCache>
            </c:strRef>
          </c:cat>
          <c:val>
            <c:numRef>
              <c:f>'Pivot wetland scale'!$J$21:$M$21</c:f>
              <c:numCache>
                <c:formatCode>General</c:formatCode>
                <c:ptCount val="4"/>
                <c:pt idx="0">
                  <c:v>-5.7253044667273896</c:v>
                </c:pt>
                <c:pt idx="1">
                  <c:v>-507.1201943783841</c:v>
                </c:pt>
                <c:pt idx="2">
                  <c:v>-77.014007444911456</c:v>
                </c:pt>
                <c:pt idx="3">
                  <c:v>144.71935770411412</c:v>
                </c:pt>
              </c:numCache>
            </c:numRef>
          </c:val>
        </c:ser>
        <c:ser>
          <c:idx val="1"/>
          <c:order val="1"/>
          <c:tx>
            <c:strRef>
              <c:f>'Pivot wetland scale'!$A$22</c:f>
              <c:strCache>
                <c:ptCount val="1"/>
                <c:pt idx="0">
                  <c:v>Water Couch</c:v>
                </c:pt>
              </c:strCache>
            </c:strRef>
          </c:tx>
          <c:spPr>
            <a:solidFill>
              <a:schemeClr val="accent5">
                <a:tint val="77000"/>
              </a:schemeClr>
            </a:solidFill>
            <a:ln>
              <a:noFill/>
            </a:ln>
            <a:effectLst/>
          </c:spPr>
          <c:invertIfNegative val="0"/>
          <c:cat>
            <c:strRef>
              <c:f>'Pivot wetland scale'!$J$20:$M$20</c:f>
              <c:strCache>
                <c:ptCount val="4"/>
                <c:pt idx="0">
                  <c:v>T1</c:v>
                </c:pt>
                <c:pt idx="1">
                  <c:v>T2</c:v>
                </c:pt>
                <c:pt idx="2">
                  <c:v>T3</c:v>
                </c:pt>
                <c:pt idx="3">
                  <c:v>T4</c:v>
                </c:pt>
              </c:strCache>
            </c:strRef>
          </c:cat>
          <c:val>
            <c:numRef>
              <c:f>'Pivot wetland scale'!$J$22:$M$22</c:f>
              <c:numCache>
                <c:formatCode>General</c:formatCode>
                <c:ptCount val="4"/>
                <c:pt idx="0">
                  <c:v>-273.23753444241873</c:v>
                </c:pt>
                <c:pt idx="2">
                  <c:v>-217.89062491402365</c:v>
                </c:pt>
              </c:numCache>
            </c:numRef>
          </c:val>
        </c:ser>
        <c:dLbls>
          <c:showLegendKey val="0"/>
          <c:showVal val="0"/>
          <c:showCatName val="0"/>
          <c:showSerName val="0"/>
          <c:showPercent val="0"/>
          <c:showBubbleSize val="0"/>
        </c:dLbls>
        <c:gapWidth val="219"/>
        <c:overlap val="-27"/>
        <c:axId val="917870608"/>
        <c:axId val="412906784"/>
      </c:barChart>
      <c:catAx>
        <c:axId val="917870608"/>
        <c:scaling>
          <c:orientation val="minMax"/>
        </c:scaling>
        <c:delete val="0"/>
        <c:axPos val="b"/>
        <c:numFmt formatCode="General" sourceLinked="1"/>
        <c:majorTickMark val="none"/>
        <c:minorTickMark val="none"/>
        <c:tickLblPos val="low"/>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12906784"/>
        <c:crosses val="autoZero"/>
        <c:auto val="1"/>
        <c:lblAlgn val="ctr"/>
        <c:lblOffset val="100"/>
        <c:noMultiLvlLbl val="0"/>
      </c:catAx>
      <c:valAx>
        <c:axId val="412906784"/>
        <c:scaling>
          <c:orientation val="minMax"/>
          <c:max val="40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Wetland scale NPP ± SD</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17870608"/>
        <c:crosses val="autoZero"/>
        <c:crossBetween val="between"/>
      </c:valAx>
      <c:spPr>
        <a:noFill/>
        <a:ln>
          <a:noFill/>
        </a:ln>
        <a:effectLst/>
      </c:spPr>
    </c:plotArea>
    <c:legend>
      <c:legendPos val="b"/>
      <c:layout>
        <c:manualLayout>
          <c:xMode val="edge"/>
          <c:yMode val="edge"/>
          <c:x val="0.36996434937611405"/>
          <c:y val="5.7916263845207781E-2"/>
          <c:w val="0.6071508274032591"/>
          <c:h val="7.8750538779442728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AU" sz="1000"/>
              <a:t>(b)</a:t>
            </a:r>
          </a:p>
        </c:rich>
      </c:tx>
      <c:layout>
        <c:manualLayout>
          <c:xMode val="edge"/>
          <c:yMode val="edge"/>
          <c:x val="4.1093500884387809E-3"/>
          <c:y val="4.068584713746004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2194676928122134"/>
          <c:y val="4.1999993385827813E-2"/>
          <c:w val="0.73881293194575759"/>
          <c:h val="0.87307477064439309"/>
        </c:manualLayout>
      </c:layout>
      <c:barChart>
        <c:barDir val="col"/>
        <c:grouping val="clustered"/>
        <c:varyColors val="0"/>
        <c:ser>
          <c:idx val="0"/>
          <c:order val="0"/>
          <c:tx>
            <c:strRef>
              <c:f>'Pivot wetland scale'!$A$21</c:f>
              <c:strCache>
                <c:ptCount val="1"/>
                <c:pt idx="0">
                  <c:v>Open Water</c:v>
                </c:pt>
              </c:strCache>
            </c:strRef>
          </c:tx>
          <c:spPr>
            <a:solidFill>
              <a:schemeClr val="accent5">
                <a:shade val="76000"/>
              </a:schemeClr>
            </a:solidFill>
            <a:ln>
              <a:noFill/>
            </a:ln>
            <a:effectLst/>
          </c:spPr>
          <c:invertIfNegative val="0"/>
          <c:errBars>
            <c:errBarType val="minus"/>
            <c:errValType val="cust"/>
            <c:noEndCap val="0"/>
            <c:plus>
              <c:numRef>
                <c:f>'Pivot wetland scale'!$F$28:$I$28</c:f>
                <c:numCache>
                  <c:formatCode>General</c:formatCode>
                  <c:ptCount val="4"/>
                  <c:pt idx="1">
                    <c:v>342.02960010766998</c:v>
                  </c:pt>
                  <c:pt idx="2">
                    <c:v>345.24198886010498</c:v>
                  </c:pt>
                  <c:pt idx="3">
                    <c:v>149.03885069903694</c:v>
                  </c:pt>
                </c:numCache>
              </c:numRef>
            </c:plus>
            <c:minus>
              <c:numRef>
                <c:f>'Pivot wetland scale'!$F$28:$I$28</c:f>
                <c:numCache>
                  <c:formatCode>General</c:formatCode>
                  <c:ptCount val="4"/>
                  <c:pt idx="1">
                    <c:v>342.02960010766998</c:v>
                  </c:pt>
                  <c:pt idx="2">
                    <c:v>345.24198886010498</c:v>
                  </c:pt>
                  <c:pt idx="3">
                    <c:v>149.03885069903694</c:v>
                  </c:pt>
                </c:numCache>
              </c:numRef>
            </c:minus>
            <c:spPr>
              <a:noFill/>
              <a:ln w="9525" cap="flat" cmpd="sng" algn="ctr">
                <a:solidFill>
                  <a:schemeClr val="tx1">
                    <a:lumMod val="65000"/>
                    <a:lumOff val="35000"/>
                  </a:schemeClr>
                </a:solidFill>
                <a:round/>
              </a:ln>
              <a:effectLst/>
            </c:spPr>
          </c:errBars>
          <c:cat>
            <c:strRef>
              <c:f>'Pivot wetland scale'!$F$20:$I$20</c:f>
              <c:strCache>
                <c:ptCount val="4"/>
                <c:pt idx="0">
                  <c:v>T1</c:v>
                </c:pt>
                <c:pt idx="1">
                  <c:v>T2</c:v>
                </c:pt>
                <c:pt idx="2">
                  <c:v>T3</c:v>
                </c:pt>
                <c:pt idx="3">
                  <c:v>T4</c:v>
                </c:pt>
              </c:strCache>
            </c:strRef>
          </c:cat>
          <c:val>
            <c:numRef>
              <c:f>'Pivot wetland scale'!$F$21:$I$21</c:f>
              <c:numCache>
                <c:formatCode>General</c:formatCode>
                <c:ptCount val="4"/>
                <c:pt idx="0">
                  <c:v>-642.32365836220004</c:v>
                </c:pt>
                <c:pt idx="1">
                  <c:v>-1159.93770481208</c:v>
                </c:pt>
                <c:pt idx="2">
                  <c:v>-746.493931145077</c:v>
                </c:pt>
                <c:pt idx="3">
                  <c:v>-687.41279144694897</c:v>
                </c:pt>
              </c:numCache>
            </c:numRef>
          </c:val>
        </c:ser>
        <c:ser>
          <c:idx val="1"/>
          <c:order val="1"/>
          <c:tx>
            <c:strRef>
              <c:f>'Pivot wetland scale'!$A$22</c:f>
              <c:strCache>
                <c:ptCount val="1"/>
                <c:pt idx="0">
                  <c:v>Water Couch</c:v>
                </c:pt>
              </c:strCache>
            </c:strRef>
          </c:tx>
          <c:spPr>
            <a:solidFill>
              <a:schemeClr val="accent5">
                <a:tint val="77000"/>
              </a:schemeClr>
            </a:solidFill>
            <a:ln>
              <a:noFill/>
            </a:ln>
            <a:effectLst/>
          </c:spPr>
          <c:invertIfNegative val="0"/>
          <c:cat>
            <c:strRef>
              <c:f>'Pivot wetland scale'!$F$20:$I$20</c:f>
              <c:strCache>
                <c:ptCount val="4"/>
                <c:pt idx="0">
                  <c:v>T1</c:v>
                </c:pt>
                <c:pt idx="1">
                  <c:v>T2</c:v>
                </c:pt>
                <c:pt idx="2">
                  <c:v>T3</c:v>
                </c:pt>
                <c:pt idx="3">
                  <c:v>T4</c:v>
                </c:pt>
              </c:strCache>
            </c:strRef>
          </c:cat>
          <c:val>
            <c:numRef>
              <c:f>'Pivot wetland scale'!$F$22:$I$22</c:f>
              <c:numCache>
                <c:formatCode>General</c:formatCode>
                <c:ptCount val="4"/>
                <c:pt idx="0">
                  <c:v>-365.20007809075298</c:v>
                </c:pt>
                <c:pt idx="2">
                  <c:v>-2866.7408607948</c:v>
                </c:pt>
              </c:numCache>
            </c:numRef>
          </c:val>
        </c:ser>
        <c:dLbls>
          <c:showLegendKey val="0"/>
          <c:showVal val="0"/>
          <c:showCatName val="0"/>
          <c:showSerName val="0"/>
          <c:showPercent val="0"/>
          <c:showBubbleSize val="0"/>
        </c:dLbls>
        <c:gapWidth val="219"/>
        <c:overlap val="-27"/>
        <c:axId val="399111216"/>
        <c:axId val="917869040"/>
      </c:barChart>
      <c:catAx>
        <c:axId val="399111216"/>
        <c:scaling>
          <c:orientation val="minMax"/>
        </c:scaling>
        <c:delete val="1"/>
        <c:axPos val="b"/>
        <c:numFmt formatCode="General" sourceLinked="1"/>
        <c:majorTickMark val="none"/>
        <c:minorTickMark val="none"/>
        <c:tickLblPos val="nextTo"/>
        <c:crossAx val="917869040"/>
        <c:crosses val="autoZero"/>
        <c:auto val="1"/>
        <c:lblAlgn val="ctr"/>
        <c:lblOffset val="100"/>
        <c:noMultiLvlLbl val="0"/>
      </c:catAx>
      <c:valAx>
        <c:axId val="91786904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Wetland scale ER ± SD</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991112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52930409700955"/>
          <c:y val="4.7845698676978354E-2"/>
          <c:w val="0.80245367487243957"/>
          <c:h val="0.63336844834472816"/>
        </c:manualLayout>
      </c:layout>
      <c:lineChart>
        <c:grouping val="standard"/>
        <c:varyColors val="0"/>
        <c:ser>
          <c:idx val="0"/>
          <c:order val="0"/>
          <c:tx>
            <c:strRef>
              <c:f>Gingham!$B$1</c:f>
              <c:strCache>
                <c:ptCount val="1"/>
                <c:pt idx="0">
                  <c:v>418074 - Gingham @ Teralba</c:v>
                </c:pt>
              </c:strCache>
            </c:strRef>
          </c:tx>
          <c:spPr>
            <a:ln>
              <a:solidFill>
                <a:srgbClr val="FF0000"/>
              </a:solidFill>
              <a:prstDash val="sysDash"/>
            </a:ln>
          </c:spPr>
          <c:marker>
            <c:symbol val="none"/>
          </c:marker>
          <c:cat>
            <c:numRef>
              <c:f>Gingham!$A$5:$A$369</c:f>
              <c:numCache>
                <c:formatCode>m/d/yyyy</c:formatCode>
                <c:ptCount val="365"/>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numCache>
            </c:numRef>
          </c:cat>
          <c:val>
            <c:numRef>
              <c:f>Gingham!$B$5:$B$369</c:f>
              <c:numCache>
                <c:formatCode>General</c:formatCode>
                <c:ptCount val="365"/>
                <c:pt idx="0">
                  <c:v>78.697000000000003</c:v>
                </c:pt>
                <c:pt idx="1">
                  <c:v>74.135000000000005</c:v>
                </c:pt>
                <c:pt idx="2">
                  <c:v>74.052999999999997</c:v>
                </c:pt>
                <c:pt idx="3">
                  <c:v>80.790000000000006</c:v>
                </c:pt>
                <c:pt idx="4">
                  <c:v>72.953999999999994</c:v>
                </c:pt>
                <c:pt idx="5">
                  <c:v>47.69</c:v>
                </c:pt>
                <c:pt idx="6">
                  <c:v>47.250999999999998</c:v>
                </c:pt>
                <c:pt idx="7">
                  <c:v>47.890999999999998</c:v>
                </c:pt>
                <c:pt idx="8">
                  <c:v>47.454999999999998</c:v>
                </c:pt>
                <c:pt idx="9">
                  <c:v>47.000999999999998</c:v>
                </c:pt>
                <c:pt idx="10">
                  <c:v>43.734000000000002</c:v>
                </c:pt>
                <c:pt idx="11">
                  <c:v>41.292000000000002</c:v>
                </c:pt>
                <c:pt idx="12">
                  <c:v>40.853000000000002</c:v>
                </c:pt>
                <c:pt idx="13">
                  <c:v>40.573</c:v>
                </c:pt>
                <c:pt idx="14">
                  <c:v>44.465000000000003</c:v>
                </c:pt>
                <c:pt idx="15">
                  <c:v>43.566000000000003</c:v>
                </c:pt>
                <c:pt idx="16">
                  <c:v>41.228000000000002</c:v>
                </c:pt>
                <c:pt idx="17">
                  <c:v>40.462000000000003</c:v>
                </c:pt>
                <c:pt idx="18">
                  <c:v>41.292000000000002</c:v>
                </c:pt>
                <c:pt idx="19">
                  <c:v>39.58</c:v>
                </c:pt>
                <c:pt idx="20">
                  <c:v>24.286000000000001</c:v>
                </c:pt>
                <c:pt idx="21">
                  <c:v>9.4329999999999998</c:v>
                </c:pt>
                <c:pt idx="22">
                  <c:v>3.9460000000000002</c:v>
                </c:pt>
                <c:pt idx="23">
                  <c:v>2.0630000000000002</c:v>
                </c:pt>
                <c:pt idx="24">
                  <c:v>56.475999999999999</c:v>
                </c:pt>
                <c:pt idx="25">
                  <c:v>117.253</c:v>
                </c:pt>
                <c:pt idx="26">
                  <c:v>1859.375</c:v>
                </c:pt>
                <c:pt idx="27">
                  <c:v>982.03399999999999</c:v>
                </c:pt>
                <c:pt idx="28">
                  <c:v>161.09100000000001</c:v>
                </c:pt>
                <c:pt idx="29">
                  <c:v>153.35300000000001</c:v>
                </c:pt>
                <c:pt idx="30">
                  <c:v>269.32100000000003</c:v>
                </c:pt>
                <c:pt idx="31">
                  <c:v>240.833</c:v>
                </c:pt>
                <c:pt idx="32">
                  <c:v>209.846</c:v>
                </c:pt>
                <c:pt idx="33">
                  <c:v>171.2</c:v>
                </c:pt>
                <c:pt idx="34">
                  <c:v>123.688</c:v>
                </c:pt>
                <c:pt idx="35">
                  <c:v>99.409000000000006</c:v>
                </c:pt>
                <c:pt idx="36">
                  <c:v>78.222999999999999</c:v>
                </c:pt>
                <c:pt idx="37">
                  <c:v>63.621000000000002</c:v>
                </c:pt>
                <c:pt idx="38">
                  <c:v>67.147000000000006</c:v>
                </c:pt>
                <c:pt idx="39">
                  <c:v>66.998000000000005</c:v>
                </c:pt>
                <c:pt idx="40">
                  <c:v>61.625999999999998</c:v>
                </c:pt>
                <c:pt idx="41">
                  <c:v>57.494</c:v>
                </c:pt>
                <c:pt idx="42">
                  <c:v>54.338999999999999</c:v>
                </c:pt>
                <c:pt idx="43">
                  <c:v>49.558999999999997</c:v>
                </c:pt>
                <c:pt idx="44">
                  <c:v>40.759</c:v>
                </c:pt>
                <c:pt idx="45">
                  <c:v>36.703000000000003</c:v>
                </c:pt>
                <c:pt idx="46">
                  <c:v>35.122999999999998</c:v>
                </c:pt>
                <c:pt idx="47">
                  <c:v>33.363</c:v>
                </c:pt>
                <c:pt idx="48">
                  <c:v>32.194000000000003</c:v>
                </c:pt>
                <c:pt idx="49">
                  <c:v>51.481999999999999</c:v>
                </c:pt>
                <c:pt idx="50">
                  <c:v>42.664000000000001</c:v>
                </c:pt>
                <c:pt idx="51">
                  <c:v>24.721</c:v>
                </c:pt>
                <c:pt idx="52">
                  <c:v>19.206</c:v>
                </c:pt>
                <c:pt idx="53">
                  <c:v>19.670999999999999</c:v>
                </c:pt>
                <c:pt idx="54">
                  <c:v>24.542000000000002</c:v>
                </c:pt>
                <c:pt idx="55">
                  <c:v>26.742999999999999</c:v>
                </c:pt>
                <c:pt idx="56">
                  <c:v>121.001</c:v>
                </c:pt>
                <c:pt idx="57">
                  <c:v>1825.847</c:v>
                </c:pt>
                <c:pt idx="58">
                  <c:v>277.34199999999998</c:v>
                </c:pt>
                <c:pt idx="59">
                  <c:v>70.093000000000004</c:v>
                </c:pt>
                <c:pt idx="60">
                  <c:v>135.899</c:v>
                </c:pt>
                <c:pt idx="61">
                  <c:v>177.74299999999999</c:v>
                </c:pt>
                <c:pt idx="62">
                  <c:v>268.83999999999997</c:v>
                </c:pt>
                <c:pt idx="63">
                  <c:v>262.346</c:v>
                </c:pt>
                <c:pt idx="64">
                  <c:v>273.7</c:v>
                </c:pt>
                <c:pt idx="65">
                  <c:v>225.672</c:v>
                </c:pt>
                <c:pt idx="66">
                  <c:v>208.608</c:v>
                </c:pt>
                <c:pt idx="67">
                  <c:v>170.63</c:v>
                </c:pt>
                <c:pt idx="68">
                  <c:v>150.82300000000001</c:v>
                </c:pt>
                <c:pt idx="69">
                  <c:v>136.67500000000001</c:v>
                </c:pt>
                <c:pt idx="70">
                  <c:v>140.53100000000001</c:v>
                </c:pt>
                <c:pt idx="71">
                  <c:v>151.005</c:v>
                </c:pt>
                <c:pt idx="72">
                  <c:v>155.822</c:v>
                </c:pt>
                <c:pt idx="73">
                  <c:v>146.37299999999999</c:v>
                </c:pt>
                <c:pt idx="74">
                  <c:v>83.018000000000001</c:v>
                </c:pt>
                <c:pt idx="75">
                  <c:v>120.905</c:v>
                </c:pt>
                <c:pt idx="76">
                  <c:v>133.98500000000001</c:v>
                </c:pt>
                <c:pt idx="77">
                  <c:v>73.721999999999994</c:v>
                </c:pt>
                <c:pt idx="78">
                  <c:v>55.527999999999999</c:v>
                </c:pt>
                <c:pt idx="79">
                  <c:v>48.524999999999999</c:v>
                </c:pt>
                <c:pt idx="80">
                  <c:v>37.630000000000003</c:v>
                </c:pt>
                <c:pt idx="81">
                  <c:v>30.588999999999999</c:v>
                </c:pt>
                <c:pt idx="82">
                  <c:v>37.994</c:v>
                </c:pt>
                <c:pt idx="83">
                  <c:v>41.683</c:v>
                </c:pt>
                <c:pt idx="84">
                  <c:v>41.322000000000003</c:v>
                </c:pt>
                <c:pt idx="85">
                  <c:v>37.996000000000002</c:v>
                </c:pt>
                <c:pt idx="86">
                  <c:v>28.643999999999998</c:v>
                </c:pt>
                <c:pt idx="87">
                  <c:v>23.376000000000001</c:v>
                </c:pt>
                <c:pt idx="88">
                  <c:v>20.154</c:v>
                </c:pt>
                <c:pt idx="89">
                  <c:v>18.782</c:v>
                </c:pt>
                <c:pt idx="90">
                  <c:v>18.472000000000001</c:v>
                </c:pt>
                <c:pt idx="91">
                  <c:v>19.462</c:v>
                </c:pt>
                <c:pt idx="92">
                  <c:v>19.946999999999999</c:v>
                </c:pt>
                <c:pt idx="93">
                  <c:v>18.065000000000001</c:v>
                </c:pt>
                <c:pt idx="94">
                  <c:v>15.766999999999999</c:v>
                </c:pt>
                <c:pt idx="95">
                  <c:v>15.329000000000001</c:v>
                </c:pt>
                <c:pt idx="96">
                  <c:v>15.614000000000001</c:v>
                </c:pt>
                <c:pt idx="97">
                  <c:v>14.577999999999999</c:v>
                </c:pt>
                <c:pt idx="98">
                  <c:v>12.773999999999999</c:v>
                </c:pt>
                <c:pt idx="99">
                  <c:v>13.135</c:v>
                </c:pt>
                <c:pt idx="100">
                  <c:v>17.213999999999999</c:v>
                </c:pt>
                <c:pt idx="101">
                  <c:v>16.933</c:v>
                </c:pt>
                <c:pt idx="102">
                  <c:v>15.757999999999999</c:v>
                </c:pt>
                <c:pt idx="103">
                  <c:v>14.433</c:v>
                </c:pt>
                <c:pt idx="104">
                  <c:v>13.002000000000001</c:v>
                </c:pt>
                <c:pt idx="105">
                  <c:v>11.792999999999999</c:v>
                </c:pt>
                <c:pt idx="106">
                  <c:v>10.769</c:v>
                </c:pt>
                <c:pt idx="107">
                  <c:v>8.3889999999999993</c:v>
                </c:pt>
                <c:pt idx="108">
                  <c:v>6.6870000000000003</c:v>
                </c:pt>
                <c:pt idx="109">
                  <c:v>8.82</c:v>
                </c:pt>
                <c:pt idx="110">
                  <c:v>10.272</c:v>
                </c:pt>
                <c:pt idx="111">
                  <c:v>7.351</c:v>
                </c:pt>
                <c:pt idx="112">
                  <c:v>4.92</c:v>
                </c:pt>
                <c:pt idx="113">
                  <c:v>3.5619999999999998</c:v>
                </c:pt>
                <c:pt idx="114">
                  <c:v>3.1560000000000001</c:v>
                </c:pt>
                <c:pt idx="115">
                  <c:v>2.202</c:v>
                </c:pt>
                <c:pt idx="116">
                  <c:v>1.6240000000000001</c:v>
                </c:pt>
                <c:pt idx="117">
                  <c:v>1.2829999999999999</c:v>
                </c:pt>
                <c:pt idx="118">
                  <c:v>1.5680000000000001</c:v>
                </c:pt>
                <c:pt idx="119">
                  <c:v>2.8239999999999998</c:v>
                </c:pt>
                <c:pt idx="120">
                  <c:v>5.5449999999999999</c:v>
                </c:pt>
                <c:pt idx="121">
                  <c:v>6.0629999999999997</c:v>
                </c:pt>
                <c:pt idx="122">
                  <c:v>7.37</c:v>
                </c:pt>
                <c:pt idx="123">
                  <c:v>8.5150000000000006</c:v>
                </c:pt>
                <c:pt idx="124">
                  <c:v>8.9949999999999992</c:v>
                </c:pt>
                <c:pt idx="125">
                  <c:v>12.486000000000001</c:v>
                </c:pt>
                <c:pt idx="126">
                  <c:v>12.445</c:v>
                </c:pt>
                <c:pt idx="127">
                  <c:v>9.8179999999999996</c:v>
                </c:pt>
                <c:pt idx="128">
                  <c:v>16.977</c:v>
                </c:pt>
                <c:pt idx="129">
                  <c:v>28.591000000000001</c:v>
                </c:pt>
                <c:pt idx="130">
                  <c:v>917.94299999999998</c:v>
                </c:pt>
                <c:pt idx="131">
                  <c:v>206.58099999999999</c:v>
                </c:pt>
                <c:pt idx="132">
                  <c:v>173.244</c:v>
                </c:pt>
                <c:pt idx="133">
                  <c:v>110.48399999999999</c:v>
                </c:pt>
                <c:pt idx="134">
                  <c:v>65.355999999999995</c:v>
                </c:pt>
                <c:pt idx="135">
                  <c:v>134.91999999999999</c:v>
                </c:pt>
                <c:pt idx="136">
                  <c:v>110.449</c:v>
                </c:pt>
                <c:pt idx="137">
                  <c:v>73.896000000000001</c:v>
                </c:pt>
                <c:pt idx="138">
                  <c:v>46.728999999999999</c:v>
                </c:pt>
                <c:pt idx="139">
                  <c:v>20.457000000000001</c:v>
                </c:pt>
                <c:pt idx="140">
                  <c:v>7.9029999999999996</c:v>
                </c:pt>
                <c:pt idx="141">
                  <c:v>6.5119999999999996</c:v>
                </c:pt>
                <c:pt idx="142">
                  <c:v>68.832999999999998</c:v>
                </c:pt>
                <c:pt idx="143">
                  <c:v>91.372</c:v>
                </c:pt>
                <c:pt idx="144">
                  <c:v>53.15</c:v>
                </c:pt>
                <c:pt idx="145">
                  <c:v>30.23</c:v>
                </c:pt>
                <c:pt idx="146">
                  <c:v>20.131</c:v>
                </c:pt>
                <c:pt idx="147">
                  <c:v>15.157</c:v>
                </c:pt>
                <c:pt idx="148">
                  <c:v>11.298999999999999</c:v>
                </c:pt>
                <c:pt idx="149">
                  <c:v>9.3859999999999992</c:v>
                </c:pt>
                <c:pt idx="150">
                  <c:v>7.8780000000000001</c:v>
                </c:pt>
                <c:pt idx="151">
                  <c:v>6.2279999999999998</c:v>
                </c:pt>
                <c:pt idx="152">
                  <c:v>4.944</c:v>
                </c:pt>
                <c:pt idx="153">
                  <c:v>4.1479999999999997</c:v>
                </c:pt>
                <c:pt idx="154">
                  <c:v>3.4340000000000002</c:v>
                </c:pt>
                <c:pt idx="155">
                  <c:v>3.7170000000000001</c:v>
                </c:pt>
                <c:pt idx="156">
                  <c:v>5.4509999999999996</c:v>
                </c:pt>
                <c:pt idx="157">
                  <c:v>5.1459999999999999</c:v>
                </c:pt>
                <c:pt idx="158">
                  <c:v>3.5659999999999998</c:v>
                </c:pt>
                <c:pt idx="159">
                  <c:v>2.2879999999999998</c:v>
                </c:pt>
                <c:pt idx="160">
                  <c:v>1.6</c:v>
                </c:pt>
                <c:pt idx="161">
                  <c:v>24.817</c:v>
                </c:pt>
                <c:pt idx="162">
                  <c:v>20.021999999999998</c:v>
                </c:pt>
                <c:pt idx="163">
                  <c:v>14.131</c:v>
                </c:pt>
                <c:pt idx="164">
                  <c:v>8.1280000000000001</c:v>
                </c:pt>
                <c:pt idx="165">
                  <c:v>3.798</c:v>
                </c:pt>
                <c:pt idx="166">
                  <c:v>15.054</c:v>
                </c:pt>
                <c:pt idx="167">
                  <c:v>24.713999999999999</c:v>
                </c:pt>
                <c:pt idx="168">
                  <c:v>16.43</c:v>
                </c:pt>
                <c:pt idx="169">
                  <c:v>6.8170000000000002</c:v>
                </c:pt>
                <c:pt idx="170">
                  <c:v>12.183</c:v>
                </c:pt>
                <c:pt idx="171">
                  <c:v>9.7729999999999997</c:v>
                </c:pt>
                <c:pt idx="172">
                  <c:v>17.789000000000001</c:v>
                </c:pt>
                <c:pt idx="173">
                  <c:v>21.2</c:v>
                </c:pt>
                <c:pt idx="174">
                  <c:v>5.593</c:v>
                </c:pt>
                <c:pt idx="175">
                  <c:v>2.6040000000000001</c:v>
                </c:pt>
                <c:pt idx="176">
                  <c:v>5.8440000000000003</c:v>
                </c:pt>
                <c:pt idx="177">
                  <c:v>7.7210000000000001</c:v>
                </c:pt>
                <c:pt idx="178">
                  <c:v>8.6370000000000005</c:v>
                </c:pt>
                <c:pt idx="179">
                  <c:v>17.920999999999999</c:v>
                </c:pt>
                <c:pt idx="180">
                  <c:v>18.344999999999999</c:v>
                </c:pt>
                <c:pt idx="181">
                  <c:v>16.687999999999999</c:v>
                </c:pt>
                <c:pt idx="182">
                  <c:v>18.998000000000001</c:v>
                </c:pt>
                <c:pt idx="183">
                  <c:v>54.468000000000004</c:v>
                </c:pt>
                <c:pt idx="184">
                  <c:v>52.142000000000003</c:v>
                </c:pt>
                <c:pt idx="185">
                  <c:v>36.296999999999997</c:v>
                </c:pt>
                <c:pt idx="186">
                  <c:v>29.818000000000001</c:v>
                </c:pt>
                <c:pt idx="187">
                  <c:v>49.076999999999998</c:v>
                </c:pt>
                <c:pt idx="188">
                  <c:v>55.823</c:v>
                </c:pt>
                <c:pt idx="189">
                  <c:v>24.337</c:v>
                </c:pt>
                <c:pt idx="190">
                  <c:v>80.447999999999993</c:v>
                </c:pt>
                <c:pt idx="191">
                  <c:v>1040.6079999999999</c:v>
                </c:pt>
                <c:pt idx="192">
                  <c:v>450.97800000000001</c:v>
                </c:pt>
                <c:pt idx="193">
                  <c:v>154.55500000000001</c:v>
                </c:pt>
                <c:pt idx="194">
                  <c:v>103.104</c:v>
                </c:pt>
                <c:pt idx="195">
                  <c:v>149.464</c:v>
                </c:pt>
                <c:pt idx="196">
                  <c:v>141.096</c:v>
                </c:pt>
                <c:pt idx="197">
                  <c:v>70.933999999999997</c:v>
                </c:pt>
                <c:pt idx="198">
                  <c:v>62.929000000000002</c:v>
                </c:pt>
                <c:pt idx="199">
                  <c:v>21.736000000000001</c:v>
                </c:pt>
                <c:pt idx="200">
                  <c:v>38.070999999999998</c:v>
                </c:pt>
                <c:pt idx="201">
                  <c:v>48.829000000000001</c:v>
                </c:pt>
                <c:pt idx="202">
                  <c:v>24.114999999999998</c:v>
                </c:pt>
                <c:pt idx="203">
                  <c:v>13.4</c:v>
                </c:pt>
                <c:pt idx="204">
                  <c:v>28.754000000000001</c:v>
                </c:pt>
                <c:pt idx="205">
                  <c:v>25.271999999999998</c:v>
                </c:pt>
                <c:pt idx="206">
                  <c:v>20.024000000000001</c:v>
                </c:pt>
                <c:pt idx="207">
                  <c:v>45.38</c:v>
                </c:pt>
                <c:pt idx="208">
                  <c:v>33.29</c:v>
                </c:pt>
                <c:pt idx="209">
                  <c:v>2.2210000000000001</c:v>
                </c:pt>
                <c:pt idx="210">
                  <c:v>0</c:v>
                </c:pt>
                <c:pt idx="211">
                  <c:v>0</c:v>
                </c:pt>
                <c:pt idx="212">
                  <c:v>0</c:v>
                </c:pt>
                <c:pt idx="213">
                  <c:v>0</c:v>
                </c:pt>
                <c:pt idx="214">
                  <c:v>0</c:v>
                </c:pt>
                <c:pt idx="215">
                  <c:v>23.236000000000001</c:v>
                </c:pt>
                <c:pt idx="216">
                  <c:v>103.60899999999999</c:v>
                </c:pt>
                <c:pt idx="217">
                  <c:v>59.106999999999999</c:v>
                </c:pt>
                <c:pt idx="218">
                  <c:v>38.354999999999997</c:v>
                </c:pt>
                <c:pt idx="219">
                  <c:v>36.804000000000002</c:v>
                </c:pt>
                <c:pt idx="220">
                  <c:v>33.048999999999999</c:v>
                </c:pt>
                <c:pt idx="221">
                  <c:v>158.441</c:v>
                </c:pt>
                <c:pt idx="222">
                  <c:v>108.64700000000001</c:v>
                </c:pt>
                <c:pt idx="223">
                  <c:v>41.357999999999997</c:v>
                </c:pt>
                <c:pt idx="224">
                  <c:v>120.611</c:v>
                </c:pt>
                <c:pt idx="225">
                  <c:v>104.327</c:v>
                </c:pt>
                <c:pt idx="226">
                  <c:v>100.16</c:v>
                </c:pt>
                <c:pt idx="227">
                  <c:v>36.500999999999998</c:v>
                </c:pt>
                <c:pt idx="228">
                  <c:v>13.555999999999999</c:v>
                </c:pt>
                <c:pt idx="229">
                  <c:v>8.0909999999999993</c:v>
                </c:pt>
                <c:pt idx="230">
                  <c:v>3.9489999999999998</c:v>
                </c:pt>
                <c:pt idx="231">
                  <c:v>2.21</c:v>
                </c:pt>
                <c:pt idx="232">
                  <c:v>9.4870000000000001</c:v>
                </c:pt>
                <c:pt idx="233">
                  <c:v>22.184000000000001</c:v>
                </c:pt>
                <c:pt idx="234">
                  <c:v>20.483000000000001</c:v>
                </c:pt>
                <c:pt idx="235">
                  <c:v>15.741</c:v>
                </c:pt>
                <c:pt idx="236">
                  <c:v>7.5720000000000001</c:v>
                </c:pt>
                <c:pt idx="237">
                  <c:v>4.0359999999999996</c:v>
                </c:pt>
                <c:pt idx="238">
                  <c:v>1.8959999999999999</c:v>
                </c:pt>
                <c:pt idx="239">
                  <c:v>0.88700000000000001</c:v>
                </c:pt>
                <c:pt idx="240">
                  <c:v>0.378</c:v>
                </c:pt>
                <c:pt idx="241">
                  <c:v>0.17199999999999999</c:v>
                </c:pt>
                <c:pt idx="242">
                  <c:v>2.3119999999999998</c:v>
                </c:pt>
                <c:pt idx="243">
                  <c:v>6.0570000000000004</c:v>
                </c:pt>
                <c:pt idx="244">
                  <c:v>3.2829999999999999</c:v>
                </c:pt>
                <c:pt idx="245">
                  <c:v>1.8460000000000001</c:v>
                </c:pt>
                <c:pt idx="246">
                  <c:v>4.3129999999999997</c:v>
                </c:pt>
                <c:pt idx="247">
                  <c:v>8.0779999999999994</c:v>
                </c:pt>
                <c:pt idx="248">
                  <c:v>5.2779999999999996</c:v>
                </c:pt>
                <c:pt idx="249">
                  <c:v>3.129</c:v>
                </c:pt>
                <c:pt idx="250">
                  <c:v>1.6739999999999999</c:v>
                </c:pt>
                <c:pt idx="251">
                  <c:v>0.84</c:v>
                </c:pt>
                <c:pt idx="252">
                  <c:v>0.34499999999999997</c:v>
                </c:pt>
                <c:pt idx="253">
                  <c:v>0.152</c:v>
                </c:pt>
                <c:pt idx="254">
                  <c:v>4.0000000000000001E-3</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10.73</c:v>
                </c:pt>
                <c:pt idx="307">
                  <c:v>14.401999999999999</c:v>
                </c:pt>
                <c:pt idx="308">
                  <c:v>29.795000000000002</c:v>
                </c:pt>
                <c:pt idx="309">
                  <c:v>35.493000000000002</c:v>
                </c:pt>
                <c:pt idx="310">
                  <c:v>29.143000000000001</c:v>
                </c:pt>
                <c:pt idx="311">
                  <c:v>24.21</c:v>
                </c:pt>
                <c:pt idx="312">
                  <c:v>22.568999999999999</c:v>
                </c:pt>
                <c:pt idx="313">
                  <c:v>20.837</c:v>
                </c:pt>
                <c:pt idx="314">
                  <c:v>23.329000000000001</c:v>
                </c:pt>
                <c:pt idx="315">
                  <c:v>24.864000000000001</c:v>
                </c:pt>
                <c:pt idx="316">
                  <c:v>20.603999999999999</c:v>
                </c:pt>
                <c:pt idx="317">
                  <c:v>16.492999999999999</c:v>
                </c:pt>
                <c:pt idx="318">
                  <c:v>14.824</c:v>
                </c:pt>
                <c:pt idx="319">
                  <c:v>14.071999999999999</c:v>
                </c:pt>
                <c:pt idx="320">
                  <c:v>13.491</c:v>
                </c:pt>
                <c:pt idx="321">
                  <c:v>22.210999999999999</c:v>
                </c:pt>
                <c:pt idx="322">
                  <c:v>26.19</c:v>
                </c:pt>
                <c:pt idx="323">
                  <c:v>27.542999999999999</c:v>
                </c:pt>
                <c:pt idx="324">
                  <c:v>30.783000000000001</c:v>
                </c:pt>
                <c:pt idx="325">
                  <c:v>30.053000000000001</c:v>
                </c:pt>
                <c:pt idx="326">
                  <c:v>27.687999999999999</c:v>
                </c:pt>
                <c:pt idx="327">
                  <c:v>26.163</c:v>
                </c:pt>
                <c:pt idx="328">
                  <c:v>24.605</c:v>
                </c:pt>
                <c:pt idx="329">
                  <c:v>22.442</c:v>
                </c:pt>
                <c:pt idx="330">
                  <c:v>14.433</c:v>
                </c:pt>
                <c:pt idx="331">
                  <c:v>6.9029999999999996</c:v>
                </c:pt>
                <c:pt idx="332">
                  <c:v>3.5059999999999998</c:v>
                </c:pt>
                <c:pt idx="333">
                  <c:v>1.706</c:v>
                </c:pt>
                <c:pt idx="334">
                  <c:v>0.86799999999999999</c:v>
                </c:pt>
                <c:pt idx="335">
                  <c:v>0.41299999999999998</c:v>
                </c:pt>
                <c:pt idx="336">
                  <c:v>0.20200000000000001</c:v>
                </c:pt>
                <c:pt idx="337">
                  <c:v>8.7999999999999995E-2</c:v>
                </c:pt>
                <c:pt idx="338">
                  <c:v>1.4E-2</c:v>
                </c:pt>
                <c:pt idx="339">
                  <c:v>0.82399999999999995</c:v>
                </c:pt>
                <c:pt idx="340">
                  <c:v>5.218</c:v>
                </c:pt>
                <c:pt idx="341">
                  <c:v>10.065</c:v>
                </c:pt>
                <c:pt idx="342">
                  <c:v>5.5659999999999998</c:v>
                </c:pt>
                <c:pt idx="343">
                  <c:v>3.1880000000000002</c:v>
                </c:pt>
                <c:pt idx="344">
                  <c:v>2.4950000000000001</c:v>
                </c:pt>
                <c:pt idx="345">
                  <c:v>3.2890000000000001</c:v>
                </c:pt>
                <c:pt idx="346">
                  <c:v>6.5279999999999996</c:v>
                </c:pt>
                <c:pt idx="347">
                  <c:v>11.249000000000001</c:v>
                </c:pt>
                <c:pt idx="348">
                  <c:v>15.239000000000001</c:v>
                </c:pt>
                <c:pt idx="349">
                  <c:v>16.434000000000001</c:v>
                </c:pt>
                <c:pt idx="350">
                  <c:v>15.802</c:v>
                </c:pt>
                <c:pt idx="351">
                  <c:v>12.657999999999999</c:v>
                </c:pt>
                <c:pt idx="352">
                  <c:v>11.095000000000001</c:v>
                </c:pt>
                <c:pt idx="353">
                  <c:v>9.2390000000000008</c:v>
                </c:pt>
                <c:pt idx="354">
                  <c:v>8.0960000000000001</c:v>
                </c:pt>
                <c:pt idx="355">
                  <c:v>6.0129999999999999</c:v>
                </c:pt>
                <c:pt idx="356">
                  <c:v>4.2949999999999999</c:v>
                </c:pt>
                <c:pt idx="357">
                  <c:v>3.2069999999999999</c:v>
                </c:pt>
                <c:pt idx="358">
                  <c:v>4.1230000000000002</c:v>
                </c:pt>
                <c:pt idx="359">
                  <c:v>186.405</c:v>
                </c:pt>
                <c:pt idx="360">
                  <c:v>433.24200000000002</c:v>
                </c:pt>
                <c:pt idx="361">
                  <c:v>407.87200000000001</c:v>
                </c:pt>
                <c:pt idx="362">
                  <c:v>216.988</c:v>
                </c:pt>
                <c:pt idx="363">
                  <c:v>232.98599999999999</c:v>
                </c:pt>
                <c:pt idx="364">
                  <c:v>182.71299999999999</c:v>
                </c:pt>
              </c:numCache>
            </c:numRef>
          </c:val>
          <c:smooth val="0"/>
        </c:ser>
        <c:ser>
          <c:idx val="1"/>
          <c:order val="1"/>
          <c:tx>
            <c:strRef>
              <c:f>Gingham!$C$1</c:f>
              <c:strCache>
                <c:ptCount val="1"/>
                <c:pt idx="0">
                  <c:v>418079 - Gingham @ Gingham Bridge</c:v>
                </c:pt>
              </c:strCache>
            </c:strRef>
          </c:tx>
          <c:spPr>
            <a:ln>
              <a:solidFill>
                <a:srgbClr val="0070C0"/>
              </a:solidFill>
            </a:ln>
          </c:spPr>
          <c:marker>
            <c:symbol val="none"/>
          </c:marker>
          <c:cat>
            <c:numRef>
              <c:f>Gingham!$A$5:$A$369</c:f>
              <c:numCache>
                <c:formatCode>m/d/yyyy</c:formatCode>
                <c:ptCount val="365"/>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numCache>
            </c:numRef>
          </c:cat>
          <c:val>
            <c:numRef>
              <c:f>Gingham!$C$5:$C$369</c:f>
              <c:numCache>
                <c:formatCode>General</c:formatCode>
                <c:ptCount val="365"/>
                <c:pt idx="0">
                  <c:v>27.187000000000001</c:v>
                </c:pt>
                <c:pt idx="1">
                  <c:v>77.066000000000003</c:v>
                </c:pt>
                <c:pt idx="2">
                  <c:v>118.935</c:v>
                </c:pt>
                <c:pt idx="3">
                  <c:v>152.38</c:v>
                </c:pt>
                <c:pt idx="4">
                  <c:v>163.82</c:v>
                </c:pt>
                <c:pt idx="5">
                  <c:v>153.77000000000001</c:v>
                </c:pt>
                <c:pt idx="6">
                  <c:v>138.19200000000001</c:v>
                </c:pt>
                <c:pt idx="7">
                  <c:v>122.354</c:v>
                </c:pt>
                <c:pt idx="8">
                  <c:v>108.497</c:v>
                </c:pt>
                <c:pt idx="9">
                  <c:v>96.576999999999998</c:v>
                </c:pt>
                <c:pt idx="10">
                  <c:v>89.59</c:v>
                </c:pt>
                <c:pt idx="11">
                  <c:v>95.9</c:v>
                </c:pt>
                <c:pt idx="12">
                  <c:v>99.664000000000001</c:v>
                </c:pt>
                <c:pt idx="13">
                  <c:v>89.536000000000001</c:v>
                </c:pt>
                <c:pt idx="14">
                  <c:v>81.204999999999998</c:v>
                </c:pt>
                <c:pt idx="15">
                  <c:v>74.236000000000004</c:v>
                </c:pt>
                <c:pt idx="16">
                  <c:v>70.516999999999996</c:v>
                </c:pt>
                <c:pt idx="17">
                  <c:v>64.567999999999998</c:v>
                </c:pt>
                <c:pt idx="18">
                  <c:v>58.347999999999999</c:v>
                </c:pt>
                <c:pt idx="19">
                  <c:v>52.512</c:v>
                </c:pt>
                <c:pt idx="20">
                  <c:v>47.576999999999998</c:v>
                </c:pt>
                <c:pt idx="21">
                  <c:v>42.906999999999996</c:v>
                </c:pt>
                <c:pt idx="22">
                  <c:v>38.350999999999999</c:v>
                </c:pt>
                <c:pt idx="23">
                  <c:v>37.729999999999997</c:v>
                </c:pt>
                <c:pt idx="24">
                  <c:v>39.634</c:v>
                </c:pt>
                <c:pt idx="25">
                  <c:v>47.093000000000004</c:v>
                </c:pt>
                <c:pt idx="26">
                  <c:v>45.112000000000002</c:v>
                </c:pt>
                <c:pt idx="27">
                  <c:v>42.140999999999998</c:v>
                </c:pt>
                <c:pt idx="28">
                  <c:v>39.115000000000002</c:v>
                </c:pt>
                <c:pt idx="29">
                  <c:v>37.843000000000004</c:v>
                </c:pt>
                <c:pt idx="30">
                  <c:v>37.545999999999999</c:v>
                </c:pt>
                <c:pt idx="31">
                  <c:v>36.389000000000003</c:v>
                </c:pt>
                <c:pt idx="32">
                  <c:v>34.447000000000003</c:v>
                </c:pt>
                <c:pt idx="33">
                  <c:v>31.794</c:v>
                </c:pt>
                <c:pt idx="34">
                  <c:v>28.306000000000001</c:v>
                </c:pt>
                <c:pt idx="35">
                  <c:v>26.452999999999999</c:v>
                </c:pt>
                <c:pt idx="36">
                  <c:v>64.234999999999999</c:v>
                </c:pt>
                <c:pt idx="37">
                  <c:v>114.98699999999999</c:v>
                </c:pt>
                <c:pt idx="38">
                  <c:v>133.041</c:v>
                </c:pt>
                <c:pt idx="39">
                  <c:v>141.20500000000001</c:v>
                </c:pt>
                <c:pt idx="40">
                  <c:v>144.642</c:v>
                </c:pt>
                <c:pt idx="41">
                  <c:v>144.42099999999999</c:v>
                </c:pt>
                <c:pt idx="42">
                  <c:v>140.44499999999999</c:v>
                </c:pt>
                <c:pt idx="43">
                  <c:v>134.20599999999999</c:v>
                </c:pt>
                <c:pt idx="44">
                  <c:v>120.512</c:v>
                </c:pt>
                <c:pt idx="45">
                  <c:v>109.91</c:v>
                </c:pt>
                <c:pt idx="46">
                  <c:v>99.963999999999999</c:v>
                </c:pt>
                <c:pt idx="47">
                  <c:v>91.164000000000001</c:v>
                </c:pt>
                <c:pt idx="48">
                  <c:v>82.441000000000003</c:v>
                </c:pt>
                <c:pt idx="49">
                  <c:v>74.64</c:v>
                </c:pt>
                <c:pt idx="50">
                  <c:v>68.012</c:v>
                </c:pt>
                <c:pt idx="51">
                  <c:v>62.411000000000001</c:v>
                </c:pt>
                <c:pt idx="52">
                  <c:v>58.081000000000003</c:v>
                </c:pt>
                <c:pt idx="53">
                  <c:v>54.97</c:v>
                </c:pt>
                <c:pt idx="54">
                  <c:v>51.8</c:v>
                </c:pt>
                <c:pt idx="55">
                  <c:v>49.488</c:v>
                </c:pt>
                <c:pt idx="56">
                  <c:v>47.402999999999999</c:v>
                </c:pt>
                <c:pt idx="57">
                  <c:v>43.445</c:v>
                </c:pt>
                <c:pt idx="58">
                  <c:v>42.95</c:v>
                </c:pt>
                <c:pt idx="59">
                  <c:v>46.430999999999997</c:v>
                </c:pt>
                <c:pt idx="60">
                  <c:v>43.85</c:v>
                </c:pt>
                <c:pt idx="61">
                  <c:v>40.765999999999998</c:v>
                </c:pt>
                <c:pt idx="62">
                  <c:v>37.139000000000003</c:v>
                </c:pt>
                <c:pt idx="63">
                  <c:v>34.363999999999997</c:v>
                </c:pt>
                <c:pt idx="64">
                  <c:v>31.44</c:v>
                </c:pt>
                <c:pt idx="65">
                  <c:v>29.701000000000001</c:v>
                </c:pt>
                <c:pt idx="66">
                  <c:v>28.265999999999998</c:v>
                </c:pt>
                <c:pt idx="67">
                  <c:v>30.623000000000001</c:v>
                </c:pt>
                <c:pt idx="68">
                  <c:v>59.905000000000001</c:v>
                </c:pt>
                <c:pt idx="69">
                  <c:v>92.034000000000006</c:v>
                </c:pt>
                <c:pt idx="70">
                  <c:v>115.468</c:v>
                </c:pt>
                <c:pt idx="71">
                  <c:v>137.018</c:v>
                </c:pt>
                <c:pt idx="72">
                  <c:v>156.791</c:v>
                </c:pt>
                <c:pt idx="73">
                  <c:v>167.804</c:v>
                </c:pt>
                <c:pt idx="74">
                  <c:v>156.131</c:v>
                </c:pt>
                <c:pt idx="75">
                  <c:v>84.275000000000006</c:v>
                </c:pt>
                <c:pt idx="76">
                  <c:v>82.093999999999994</c:v>
                </c:pt>
                <c:pt idx="77">
                  <c:v>73.706999999999994</c:v>
                </c:pt>
                <c:pt idx="78">
                  <c:v>63.753</c:v>
                </c:pt>
                <c:pt idx="79">
                  <c:v>55.844000000000001</c:v>
                </c:pt>
                <c:pt idx="80">
                  <c:v>48.21</c:v>
                </c:pt>
                <c:pt idx="81">
                  <c:v>44.244</c:v>
                </c:pt>
                <c:pt idx="82">
                  <c:v>40.893000000000001</c:v>
                </c:pt>
                <c:pt idx="83">
                  <c:v>37.521000000000001</c:v>
                </c:pt>
                <c:pt idx="84">
                  <c:v>32.908999999999999</c:v>
                </c:pt>
                <c:pt idx="85">
                  <c:v>27.231999999999999</c:v>
                </c:pt>
                <c:pt idx="86">
                  <c:v>23.408999999999999</c:v>
                </c:pt>
                <c:pt idx="87">
                  <c:v>20.518999999999998</c:v>
                </c:pt>
                <c:pt idx="88">
                  <c:v>17.946000000000002</c:v>
                </c:pt>
                <c:pt idx="89">
                  <c:v>15.053000000000001</c:v>
                </c:pt>
                <c:pt idx="90">
                  <c:v>12.207000000000001</c:v>
                </c:pt>
                <c:pt idx="91">
                  <c:v>9.6289999999999996</c:v>
                </c:pt>
                <c:pt idx="92">
                  <c:v>7.75</c:v>
                </c:pt>
                <c:pt idx="93">
                  <c:v>6.2530000000000001</c:v>
                </c:pt>
                <c:pt idx="94">
                  <c:v>4.8659999999999997</c:v>
                </c:pt>
                <c:pt idx="95">
                  <c:v>3.5649999999999999</c:v>
                </c:pt>
                <c:pt idx="96">
                  <c:v>2.4700000000000002</c:v>
                </c:pt>
                <c:pt idx="97">
                  <c:v>1.6759999999999999</c:v>
                </c:pt>
                <c:pt idx="98">
                  <c:v>1.113</c:v>
                </c:pt>
                <c:pt idx="99">
                  <c:v>0.75700000000000001</c:v>
                </c:pt>
                <c:pt idx="100">
                  <c:v>0.57799999999999996</c:v>
                </c:pt>
                <c:pt idx="101">
                  <c:v>0.45100000000000001</c:v>
                </c:pt>
                <c:pt idx="102">
                  <c:v>0.35399999999999998</c:v>
                </c:pt>
                <c:pt idx="103">
                  <c:v>0.27500000000000002</c:v>
                </c:pt>
                <c:pt idx="104">
                  <c:v>0.22</c:v>
                </c:pt>
                <c:pt idx="105">
                  <c:v>0.19600000000000001</c:v>
                </c:pt>
                <c:pt idx="106">
                  <c:v>0.20599999999999999</c:v>
                </c:pt>
                <c:pt idx="107">
                  <c:v>0.22500000000000001</c:v>
                </c:pt>
                <c:pt idx="108">
                  <c:v>0.17899999999999999</c:v>
                </c:pt>
                <c:pt idx="109">
                  <c:v>0.13</c:v>
                </c:pt>
                <c:pt idx="110">
                  <c:v>0.09</c:v>
                </c:pt>
                <c:pt idx="111">
                  <c:v>5.7000000000000002E-2</c:v>
                </c:pt>
                <c:pt idx="112">
                  <c:v>3.1E-2</c:v>
                </c:pt>
                <c:pt idx="113">
                  <c:v>0.01</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0.47</c:v>
                </c:pt>
                <c:pt idx="213">
                  <c:v>8.5000000000000006E-2</c:v>
                </c:pt>
                <c:pt idx="214">
                  <c:v>2.7E-2</c:v>
                </c:pt>
                <c:pt idx="215">
                  <c:v>8.9999999999999993E-3</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numCache>
            </c:numRef>
          </c:val>
          <c:smooth val="0"/>
        </c:ser>
        <c:ser>
          <c:idx val="2"/>
          <c:order val="3"/>
          <c:tx>
            <c:strRef>
              <c:f>Gingham!$I$2</c:f>
              <c:strCache>
                <c:ptCount val="1"/>
                <c:pt idx="0">
                  <c:v>Environmental water</c:v>
                </c:pt>
              </c:strCache>
            </c:strRef>
          </c:tx>
          <c:spPr>
            <a:ln w="57130">
              <a:solidFill>
                <a:srgbClr val="00B050"/>
              </a:solidFill>
            </a:ln>
          </c:spPr>
          <c:marker>
            <c:symbol val="none"/>
          </c:marker>
          <c:cat>
            <c:numRef>
              <c:f>Gingham!$A$5:$A$369</c:f>
              <c:numCache>
                <c:formatCode>m/d/yyyy</c:formatCode>
                <c:ptCount val="365"/>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numCache>
            </c:numRef>
          </c:cat>
          <c:val>
            <c:numRef>
              <c:f>Gingham!$I$5:$I$256</c:f>
              <c:numCache>
                <c:formatCode>General</c:formatCode>
                <c:ptCount val="252"/>
                <c:pt idx="196">
                  <c:v>1900</c:v>
                </c:pt>
                <c:pt idx="197">
                  <c:v>1900</c:v>
                </c:pt>
                <c:pt idx="198">
                  <c:v>1900</c:v>
                </c:pt>
                <c:pt idx="199">
                  <c:v>1900</c:v>
                </c:pt>
                <c:pt idx="200">
                  <c:v>1900</c:v>
                </c:pt>
                <c:pt idx="201">
                  <c:v>1900</c:v>
                </c:pt>
                <c:pt idx="202">
                  <c:v>1900</c:v>
                </c:pt>
                <c:pt idx="203">
                  <c:v>1900</c:v>
                </c:pt>
              </c:numCache>
            </c:numRef>
          </c:val>
          <c:smooth val="0"/>
        </c:ser>
        <c:ser>
          <c:idx val="3"/>
          <c:order val="4"/>
          <c:tx>
            <c:strRef>
              <c:f>Gingham!$J$2</c:f>
              <c:strCache>
                <c:ptCount val="1"/>
                <c:pt idx="0">
                  <c:v>Longitudinal connectivity</c:v>
                </c:pt>
              </c:strCache>
            </c:strRef>
          </c:tx>
          <c:spPr>
            <a:ln w="57130">
              <a:solidFill>
                <a:srgbClr val="660066"/>
              </a:solidFill>
            </a:ln>
          </c:spPr>
          <c:marker>
            <c:symbol val="none"/>
          </c:marker>
          <c:cat>
            <c:numRef>
              <c:f>Gingham!$A$5:$A$369</c:f>
              <c:numCache>
                <c:formatCode>m/d/yyyy</c:formatCode>
                <c:ptCount val="365"/>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numCache>
            </c:numRef>
          </c:cat>
          <c:val>
            <c:numRef>
              <c:f>Gingham!$J$6:$J$267</c:f>
              <c:numCache>
                <c:formatCode>0</c:formatCode>
                <c:ptCount val="262"/>
                <c:pt idx="0">
                  <c:v>1950</c:v>
                </c:pt>
                <c:pt idx="1">
                  <c:v>1950</c:v>
                </c:pt>
                <c:pt idx="2">
                  <c:v>1950</c:v>
                </c:pt>
                <c:pt idx="3">
                  <c:v>1950</c:v>
                </c:pt>
                <c:pt idx="23">
                  <c:v>1950</c:v>
                </c:pt>
                <c:pt idx="24">
                  <c:v>1950</c:v>
                </c:pt>
                <c:pt idx="25">
                  <c:v>1950</c:v>
                </c:pt>
                <c:pt idx="26">
                  <c:v>1950</c:v>
                </c:pt>
                <c:pt idx="27">
                  <c:v>1950</c:v>
                </c:pt>
                <c:pt idx="28">
                  <c:v>1950</c:v>
                </c:pt>
                <c:pt idx="29">
                  <c:v>1950</c:v>
                </c:pt>
                <c:pt idx="30">
                  <c:v>1950</c:v>
                </c:pt>
                <c:pt idx="31">
                  <c:v>1950</c:v>
                </c:pt>
                <c:pt idx="32">
                  <c:v>1950</c:v>
                </c:pt>
                <c:pt idx="33">
                  <c:v>1950</c:v>
                </c:pt>
                <c:pt idx="34">
                  <c:v>1950</c:v>
                </c:pt>
                <c:pt idx="35">
                  <c:v>1950</c:v>
                </c:pt>
                <c:pt idx="36">
                  <c:v>1950</c:v>
                </c:pt>
                <c:pt idx="37">
                  <c:v>1950</c:v>
                </c:pt>
                <c:pt idx="38">
                  <c:v>1950</c:v>
                </c:pt>
                <c:pt idx="39">
                  <c:v>1950</c:v>
                </c:pt>
                <c:pt idx="40">
                  <c:v>1950</c:v>
                </c:pt>
                <c:pt idx="41">
                  <c:v>1950</c:v>
                </c:pt>
                <c:pt idx="48">
                  <c:v>1950</c:v>
                </c:pt>
                <c:pt idx="55">
                  <c:v>1950</c:v>
                </c:pt>
                <c:pt idx="56">
                  <c:v>1950</c:v>
                </c:pt>
                <c:pt idx="57">
                  <c:v>1950</c:v>
                </c:pt>
                <c:pt idx="58">
                  <c:v>1950</c:v>
                </c:pt>
                <c:pt idx="59">
                  <c:v>1950</c:v>
                </c:pt>
                <c:pt idx="60">
                  <c:v>1950</c:v>
                </c:pt>
                <c:pt idx="61">
                  <c:v>1950</c:v>
                </c:pt>
                <c:pt idx="62">
                  <c:v>1950</c:v>
                </c:pt>
                <c:pt idx="63">
                  <c:v>1950</c:v>
                </c:pt>
                <c:pt idx="64">
                  <c:v>1950</c:v>
                </c:pt>
                <c:pt idx="65">
                  <c:v>1950</c:v>
                </c:pt>
                <c:pt idx="66">
                  <c:v>1950</c:v>
                </c:pt>
                <c:pt idx="67">
                  <c:v>1950</c:v>
                </c:pt>
                <c:pt idx="68">
                  <c:v>1950</c:v>
                </c:pt>
                <c:pt idx="69">
                  <c:v>1950</c:v>
                </c:pt>
                <c:pt idx="70">
                  <c:v>1950</c:v>
                </c:pt>
                <c:pt idx="71">
                  <c:v>1950</c:v>
                </c:pt>
                <c:pt idx="72">
                  <c:v>1950</c:v>
                </c:pt>
                <c:pt idx="73">
                  <c:v>1950</c:v>
                </c:pt>
                <c:pt idx="74">
                  <c:v>1950</c:v>
                </c:pt>
                <c:pt idx="75">
                  <c:v>1950</c:v>
                </c:pt>
                <c:pt idx="76">
                  <c:v>1950</c:v>
                </c:pt>
                <c:pt idx="77">
                  <c:v>1950</c:v>
                </c:pt>
              </c:numCache>
            </c:numRef>
          </c:val>
          <c:smooth val="0"/>
        </c:ser>
        <c:dLbls>
          <c:showLegendKey val="0"/>
          <c:showVal val="0"/>
          <c:showCatName val="0"/>
          <c:showSerName val="0"/>
          <c:showPercent val="0"/>
          <c:showBubbleSize val="0"/>
        </c:dLbls>
        <c:marker val="1"/>
        <c:smooth val="0"/>
        <c:axId val="824042232"/>
        <c:axId val="824042624"/>
      </c:lineChart>
      <c:lineChart>
        <c:grouping val="standard"/>
        <c:varyColors val="0"/>
        <c:ser>
          <c:idx val="4"/>
          <c:order val="2"/>
          <c:tx>
            <c:strRef>
              <c:f>Gingham!$L$1</c:f>
              <c:strCache>
                <c:ptCount val="1"/>
                <c:pt idx="0">
                  <c:v>418077 - Gingham @ Gingham waterhole</c:v>
                </c:pt>
              </c:strCache>
            </c:strRef>
          </c:tx>
          <c:spPr>
            <a:ln w="25391">
              <a:solidFill>
                <a:schemeClr val="bg1">
                  <a:lumMod val="50000"/>
                </a:schemeClr>
              </a:solidFill>
              <a:prstDash val="sysDot"/>
            </a:ln>
          </c:spPr>
          <c:marker>
            <c:symbol val="none"/>
          </c:marker>
          <c:val>
            <c:numRef>
              <c:f>Gingham!$L$5:$L$370</c:f>
              <c:numCache>
                <c:formatCode>General</c:formatCode>
                <c:ptCount val="366"/>
                <c:pt idx="0">
                  <c:v>0.89400000000000002</c:v>
                </c:pt>
                <c:pt idx="1">
                  <c:v>0.92200000000000004</c:v>
                </c:pt>
                <c:pt idx="2">
                  <c:v>0.93500000000000005</c:v>
                </c:pt>
                <c:pt idx="3">
                  <c:v>0.93799999999999994</c:v>
                </c:pt>
                <c:pt idx="4">
                  <c:v>0.93200000000000005</c:v>
                </c:pt>
                <c:pt idx="5">
                  <c:v>0.92500000000000004</c:v>
                </c:pt>
                <c:pt idx="6">
                  <c:v>0.91800000000000004</c:v>
                </c:pt>
                <c:pt idx="7">
                  <c:v>0.91</c:v>
                </c:pt>
                <c:pt idx="8">
                  <c:v>0.90300000000000002</c:v>
                </c:pt>
                <c:pt idx="9">
                  <c:v>0.89800000000000002</c:v>
                </c:pt>
                <c:pt idx="10">
                  <c:v>0.89500000000000002</c:v>
                </c:pt>
                <c:pt idx="11">
                  <c:v>0.9</c:v>
                </c:pt>
                <c:pt idx="12">
                  <c:v>0.90100000000000002</c:v>
                </c:pt>
                <c:pt idx="13">
                  <c:v>0.89600000000000002</c:v>
                </c:pt>
                <c:pt idx="14">
                  <c:v>0.89300000000000002</c:v>
                </c:pt>
                <c:pt idx="15">
                  <c:v>0.88800000000000001</c:v>
                </c:pt>
                <c:pt idx="16">
                  <c:v>0.88500000000000001</c:v>
                </c:pt>
                <c:pt idx="17">
                  <c:v>0.88100000000000001</c:v>
                </c:pt>
                <c:pt idx="18">
                  <c:v>0.876</c:v>
                </c:pt>
                <c:pt idx="19">
                  <c:v>0.871</c:v>
                </c:pt>
                <c:pt idx="20">
                  <c:v>0.86699999999999999</c:v>
                </c:pt>
                <c:pt idx="21">
                  <c:v>0.86299999999999999</c:v>
                </c:pt>
                <c:pt idx="22">
                  <c:v>0.86</c:v>
                </c:pt>
                <c:pt idx="23">
                  <c:v>0.86</c:v>
                </c:pt>
                <c:pt idx="24">
                  <c:v>0.86299999999999999</c:v>
                </c:pt>
                <c:pt idx="25">
                  <c:v>0.86699999999999999</c:v>
                </c:pt>
                <c:pt idx="26">
                  <c:v>0.86699999999999999</c:v>
                </c:pt>
                <c:pt idx="27">
                  <c:v>0.86599999999999999</c:v>
                </c:pt>
                <c:pt idx="28">
                  <c:v>0.86399999999999999</c:v>
                </c:pt>
                <c:pt idx="29">
                  <c:v>0.86199999999999999</c:v>
                </c:pt>
                <c:pt idx="30">
                  <c:v>0.85899999999999999</c:v>
                </c:pt>
                <c:pt idx="31">
                  <c:v>0.85599999999999998</c:v>
                </c:pt>
                <c:pt idx="32">
                  <c:v>0.85099999999999998</c:v>
                </c:pt>
                <c:pt idx="33">
                  <c:v>0.84699999999999998</c:v>
                </c:pt>
                <c:pt idx="34">
                  <c:v>0.872</c:v>
                </c:pt>
                <c:pt idx="35">
                  <c:v>0.90600000000000003</c:v>
                </c:pt>
                <c:pt idx="36">
                  <c:v>0.91600000000000004</c:v>
                </c:pt>
                <c:pt idx="37">
                  <c:v>0.92100000000000004</c:v>
                </c:pt>
                <c:pt idx="38">
                  <c:v>0.92400000000000004</c:v>
                </c:pt>
                <c:pt idx="39">
                  <c:v>0.92600000000000005</c:v>
                </c:pt>
                <c:pt idx="40">
                  <c:v>0.92500000000000004</c:v>
                </c:pt>
                <c:pt idx="41">
                  <c:v>0.92300000000000004</c:v>
                </c:pt>
                <c:pt idx="42">
                  <c:v>0.91800000000000004</c:v>
                </c:pt>
                <c:pt idx="43">
                  <c:v>0.91300000000000003</c:v>
                </c:pt>
                <c:pt idx="44">
                  <c:v>0.90600000000000003</c:v>
                </c:pt>
                <c:pt idx="45">
                  <c:v>0.9</c:v>
                </c:pt>
                <c:pt idx="46">
                  <c:v>0.89400000000000002</c:v>
                </c:pt>
                <c:pt idx="47">
                  <c:v>0.88900000000000001</c:v>
                </c:pt>
                <c:pt idx="48">
                  <c:v>0.88400000000000001</c:v>
                </c:pt>
                <c:pt idx="49">
                  <c:v>0.88</c:v>
                </c:pt>
                <c:pt idx="50">
                  <c:v>0.875</c:v>
                </c:pt>
                <c:pt idx="51">
                  <c:v>0.872</c:v>
                </c:pt>
                <c:pt idx="52">
                  <c:v>0.86799999999999999</c:v>
                </c:pt>
                <c:pt idx="53">
                  <c:v>0.86399999999999999</c:v>
                </c:pt>
                <c:pt idx="54">
                  <c:v>0.86</c:v>
                </c:pt>
                <c:pt idx="55">
                  <c:v>0.85899999999999999</c:v>
                </c:pt>
                <c:pt idx="56">
                  <c:v>0.85599999999999998</c:v>
                </c:pt>
                <c:pt idx="57">
                  <c:v>0.85299999999999998</c:v>
                </c:pt>
                <c:pt idx="58">
                  <c:v>0.85499999999999998</c:v>
                </c:pt>
                <c:pt idx="59">
                  <c:v>0.85499999999999998</c:v>
                </c:pt>
                <c:pt idx="60">
                  <c:v>0.85299999999999998</c:v>
                </c:pt>
                <c:pt idx="61">
                  <c:v>0.85199999999999998</c:v>
                </c:pt>
                <c:pt idx="62">
                  <c:v>0.84899999999999998</c:v>
                </c:pt>
                <c:pt idx="63">
                  <c:v>0.84599999999999997</c:v>
                </c:pt>
                <c:pt idx="64">
                  <c:v>0.84399999999999997</c:v>
                </c:pt>
                <c:pt idx="65">
                  <c:v>0.85099999999999998</c:v>
                </c:pt>
                <c:pt idx="66">
                  <c:v>0.88</c:v>
                </c:pt>
                <c:pt idx="67">
                  <c:v>0.89600000000000002</c:v>
                </c:pt>
                <c:pt idx="68">
                  <c:v>0.90300000000000002</c:v>
                </c:pt>
                <c:pt idx="69">
                  <c:v>0.91300000000000003</c:v>
                </c:pt>
                <c:pt idx="70">
                  <c:v>0.92100000000000004</c:v>
                </c:pt>
                <c:pt idx="71">
                  <c:v>0.92700000000000005</c:v>
                </c:pt>
                <c:pt idx="72">
                  <c:v>0.92900000000000005</c:v>
                </c:pt>
                <c:pt idx="73">
                  <c:v>0.92800000000000005</c:v>
                </c:pt>
                <c:pt idx="74">
                  <c:v>0.92700000000000005</c:v>
                </c:pt>
                <c:pt idx="75">
                  <c:v>0.92500000000000004</c:v>
                </c:pt>
                <c:pt idx="76">
                  <c:v>0.92200000000000004</c:v>
                </c:pt>
                <c:pt idx="77">
                  <c:v>0.91800000000000004</c:v>
                </c:pt>
                <c:pt idx="78">
                  <c:v>0.91400000000000003</c:v>
                </c:pt>
                <c:pt idx="79">
                  <c:v>0.91</c:v>
                </c:pt>
                <c:pt idx="80">
                  <c:v>0.90600000000000003</c:v>
                </c:pt>
                <c:pt idx="81">
                  <c:v>0.90300000000000002</c:v>
                </c:pt>
                <c:pt idx="82">
                  <c:v>0.9</c:v>
                </c:pt>
                <c:pt idx="83">
                  <c:v>0.89600000000000002</c:v>
                </c:pt>
                <c:pt idx="84">
                  <c:v>0.89200000000000002</c:v>
                </c:pt>
                <c:pt idx="85">
                  <c:v>0.88500000000000001</c:v>
                </c:pt>
                <c:pt idx="86">
                  <c:v>0.879</c:v>
                </c:pt>
                <c:pt idx="87">
                  <c:v>0.873</c:v>
                </c:pt>
                <c:pt idx="88">
                  <c:v>0.86599999999999999</c:v>
                </c:pt>
                <c:pt idx="89">
                  <c:v>0.86</c:v>
                </c:pt>
                <c:pt idx="90">
                  <c:v>0.85299999999999998</c:v>
                </c:pt>
                <c:pt idx="91">
                  <c:v>0.84499999999999997</c:v>
                </c:pt>
                <c:pt idx="92">
                  <c:v>0.83799999999999997</c:v>
                </c:pt>
                <c:pt idx="93">
                  <c:v>0.83199999999999996</c:v>
                </c:pt>
                <c:pt idx="94">
                  <c:v>0.82499999999999996</c:v>
                </c:pt>
                <c:pt idx="95">
                  <c:v>0.82</c:v>
                </c:pt>
                <c:pt idx="96">
                  <c:v>0.81499999999999995</c:v>
                </c:pt>
                <c:pt idx="97">
                  <c:v>0.81</c:v>
                </c:pt>
                <c:pt idx="98">
                  <c:v>0.80500000000000005</c:v>
                </c:pt>
                <c:pt idx="99">
                  <c:v>0.79800000000000004</c:v>
                </c:pt>
                <c:pt idx="100">
                  <c:v>0.79</c:v>
                </c:pt>
                <c:pt idx="101">
                  <c:v>0.78200000000000003</c:v>
                </c:pt>
                <c:pt idx="102">
                  <c:v>0.77300000000000002</c:v>
                </c:pt>
                <c:pt idx="103">
                  <c:v>0.76400000000000001</c:v>
                </c:pt>
                <c:pt idx="104">
                  <c:v>0.753</c:v>
                </c:pt>
                <c:pt idx="105">
                  <c:v>0.749</c:v>
                </c:pt>
                <c:pt idx="106">
                  <c:v>0.75</c:v>
                </c:pt>
                <c:pt idx="107">
                  <c:v>0.73399999999999999</c:v>
                </c:pt>
                <c:pt idx="108">
                  <c:v>0.72</c:v>
                </c:pt>
                <c:pt idx="109">
                  <c:v>0.70799999999999996</c:v>
                </c:pt>
                <c:pt idx="110">
                  <c:v>0.69699999999999995</c:v>
                </c:pt>
                <c:pt idx="111">
                  <c:v>0.68799999999999994</c:v>
                </c:pt>
                <c:pt idx="112">
                  <c:v>0.67800000000000005</c:v>
                </c:pt>
                <c:pt idx="113">
                  <c:v>0.66800000000000004</c:v>
                </c:pt>
                <c:pt idx="114">
                  <c:v>0.65900000000000003</c:v>
                </c:pt>
                <c:pt idx="115">
                  <c:v>0.64900000000000002</c:v>
                </c:pt>
                <c:pt idx="116">
                  <c:v>0.63700000000000001</c:v>
                </c:pt>
                <c:pt idx="117">
                  <c:v>0.626</c:v>
                </c:pt>
                <c:pt idx="118">
                  <c:v>0.624</c:v>
                </c:pt>
                <c:pt idx="119">
                  <c:v>0.64200000000000002</c:v>
                </c:pt>
                <c:pt idx="120">
                  <c:v>0.63400000000000001</c:v>
                </c:pt>
                <c:pt idx="121">
                  <c:v>0.628</c:v>
                </c:pt>
                <c:pt idx="122">
                  <c:v>0.62</c:v>
                </c:pt>
                <c:pt idx="123">
                  <c:v>0.60899999999999999</c:v>
                </c:pt>
                <c:pt idx="124">
                  <c:v>0.59799999999999998</c:v>
                </c:pt>
                <c:pt idx="125">
                  <c:v>0.58699999999999997</c:v>
                </c:pt>
                <c:pt idx="126">
                  <c:v>0.57499999999999996</c:v>
                </c:pt>
                <c:pt idx="127">
                  <c:v>0.56399999999999995</c:v>
                </c:pt>
                <c:pt idx="128">
                  <c:v>0.55800000000000005</c:v>
                </c:pt>
                <c:pt idx="129">
                  <c:v>0.54900000000000004</c:v>
                </c:pt>
                <c:pt idx="130">
                  <c:v>0.53800000000000003</c:v>
                </c:pt>
                <c:pt idx="131">
                  <c:v>0.52800000000000002</c:v>
                </c:pt>
                <c:pt idx="132">
                  <c:v>0.51700000000000002</c:v>
                </c:pt>
                <c:pt idx="133">
                  <c:v>0.50800000000000001</c:v>
                </c:pt>
                <c:pt idx="134">
                  <c:v>0.498</c:v>
                </c:pt>
                <c:pt idx="135">
                  <c:v>0.48699999999999999</c:v>
                </c:pt>
                <c:pt idx="136">
                  <c:v>0.47899999999999998</c:v>
                </c:pt>
                <c:pt idx="137">
                  <c:v>0.47499999999999998</c:v>
                </c:pt>
                <c:pt idx="138">
                  <c:v>0.46700000000000003</c:v>
                </c:pt>
                <c:pt idx="139">
                  <c:v>0.45900000000000002</c:v>
                </c:pt>
                <c:pt idx="140">
                  <c:v>0.45600000000000002</c:v>
                </c:pt>
                <c:pt idx="141">
                  <c:v>0.45800000000000002</c:v>
                </c:pt>
                <c:pt idx="142">
                  <c:v>0.46200000000000002</c:v>
                </c:pt>
                <c:pt idx="143">
                  <c:v>0.46899999999999997</c:v>
                </c:pt>
                <c:pt idx="144">
                  <c:v>0.47599999999999998</c:v>
                </c:pt>
                <c:pt idx="145">
                  <c:v>0.48499999999999999</c:v>
                </c:pt>
                <c:pt idx="146">
                  <c:v>0.495</c:v>
                </c:pt>
                <c:pt idx="147">
                  <c:v>0.504</c:v>
                </c:pt>
                <c:pt idx="148">
                  <c:v>0.51100000000000001</c:v>
                </c:pt>
                <c:pt idx="149">
                  <c:v>0.51200000000000001</c:v>
                </c:pt>
                <c:pt idx="150">
                  <c:v>0.50600000000000001</c:v>
                </c:pt>
                <c:pt idx="151">
                  <c:v>0.501</c:v>
                </c:pt>
                <c:pt idx="152">
                  <c:v>0.499</c:v>
                </c:pt>
                <c:pt idx="153">
                  <c:v>0.498</c:v>
                </c:pt>
                <c:pt idx="154">
                  <c:v>0.497</c:v>
                </c:pt>
                <c:pt idx="155">
                  <c:v>0.504</c:v>
                </c:pt>
                <c:pt idx="156">
                  <c:v>0.503</c:v>
                </c:pt>
                <c:pt idx="157">
                  <c:v>0.499</c:v>
                </c:pt>
                <c:pt idx="158">
                  <c:v>0.495</c:v>
                </c:pt>
                <c:pt idx="159">
                  <c:v>0.48899999999999999</c:v>
                </c:pt>
                <c:pt idx="160">
                  <c:v>0.47899999999999998</c:v>
                </c:pt>
                <c:pt idx="161">
                  <c:v>0.46800000000000003</c:v>
                </c:pt>
                <c:pt idx="162">
                  <c:v>0.45900000000000002</c:v>
                </c:pt>
                <c:pt idx="163">
                  <c:v>0.45</c:v>
                </c:pt>
                <c:pt idx="164">
                  <c:v>0.438</c:v>
                </c:pt>
                <c:pt idx="165">
                  <c:v>0.42699999999999999</c:v>
                </c:pt>
                <c:pt idx="166">
                  <c:v>0.41799999999999998</c:v>
                </c:pt>
                <c:pt idx="167">
                  <c:v>0.40799999999999997</c:v>
                </c:pt>
                <c:pt idx="168">
                  <c:v>0.39800000000000002</c:v>
                </c:pt>
                <c:pt idx="169">
                  <c:v>0.39200000000000002</c:v>
                </c:pt>
                <c:pt idx="170">
                  <c:v>0.39100000000000001</c:v>
                </c:pt>
                <c:pt idx="171">
                  <c:v>0.38200000000000001</c:v>
                </c:pt>
                <c:pt idx="172">
                  <c:v>0.371</c:v>
                </c:pt>
                <c:pt idx="173">
                  <c:v>0.36099999999999999</c:v>
                </c:pt>
                <c:pt idx="174">
                  <c:v>0.34899999999999998</c:v>
                </c:pt>
                <c:pt idx="175">
                  <c:v>0.34</c:v>
                </c:pt>
                <c:pt idx="176">
                  <c:v>0.33200000000000002</c:v>
                </c:pt>
                <c:pt idx="177">
                  <c:v>0.32200000000000001</c:v>
                </c:pt>
                <c:pt idx="178">
                  <c:v>0.314</c:v>
                </c:pt>
                <c:pt idx="179">
                  <c:v>0.307</c:v>
                </c:pt>
                <c:pt idx="180">
                  <c:v>0.30399999999999999</c:v>
                </c:pt>
                <c:pt idx="181">
                  <c:v>0.29499999999999998</c:v>
                </c:pt>
                <c:pt idx="182">
                  <c:v>0.28399999999999997</c:v>
                </c:pt>
                <c:pt idx="183">
                  <c:v>0.27400000000000002</c:v>
                </c:pt>
                <c:pt idx="184">
                  <c:v>0.26400000000000001</c:v>
                </c:pt>
                <c:pt idx="185">
                  <c:v>0.255</c:v>
                </c:pt>
                <c:pt idx="186">
                  <c:v>0.247</c:v>
                </c:pt>
                <c:pt idx="187">
                  <c:v>0.28799999999999998</c:v>
                </c:pt>
                <c:pt idx="188">
                  <c:v>0.32400000000000001</c:v>
                </c:pt>
                <c:pt idx="189">
                  <c:v>0.32200000000000001</c:v>
                </c:pt>
                <c:pt idx="190">
                  <c:v>0.32800000000000001</c:v>
                </c:pt>
                <c:pt idx="191">
                  <c:v>0.33600000000000002</c:v>
                </c:pt>
                <c:pt idx="192">
                  <c:v>0.34699999999999998</c:v>
                </c:pt>
                <c:pt idx="193">
                  <c:v>0.35899999999999999</c:v>
                </c:pt>
                <c:pt idx="194">
                  <c:v>0.373</c:v>
                </c:pt>
                <c:pt idx="195">
                  <c:v>0.38700000000000001</c:v>
                </c:pt>
                <c:pt idx="196">
                  <c:v>0.40100000000000002</c:v>
                </c:pt>
                <c:pt idx="197">
                  <c:v>0.41699999999999998</c:v>
                </c:pt>
                <c:pt idx="198">
                  <c:v>0.436</c:v>
                </c:pt>
                <c:pt idx="199">
                  <c:v>0.45</c:v>
                </c:pt>
                <c:pt idx="200">
                  <c:v>0.46899999999999997</c:v>
                </c:pt>
                <c:pt idx="201">
                  <c:v>0.49199999999999999</c:v>
                </c:pt>
                <c:pt idx="202">
                  <c:v>0.51300000000000001</c:v>
                </c:pt>
                <c:pt idx="203">
                  <c:v>0.53200000000000003</c:v>
                </c:pt>
                <c:pt idx="204">
                  <c:v>0.55000000000000004</c:v>
                </c:pt>
                <c:pt idx="205">
                  <c:v>0.56699999999999995</c:v>
                </c:pt>
                <c:pt idx="206">
                  <c:v>0.58299999999999996</c:v>
                </c:pt>
                <c:pt idx="207">
                  <c:v>0.6</c:v>
                </c:pt>
                <c:pt idx="208">
                  <c:v>0.61199999999999999</c:v>
                </c:pt>
                <c:pt idx="209">
                  <c:v>0.622</c:v>
                </c:pt>
                <c:pt idx="210">
                  <c:v>0.63100000000000001</c:v>
                </c:pt>
                <c:pt idx="211">
                  <c:v>0.65300000000000002</c:v>
                </c:pt>
                <c:pt idx="212">
                  <c:v>0.73099999999999998</c:v>
                </c:pt>
                <c:pt idx="213">
                  <c:v>0.72599999999999998</c:v>
                </c:pt>
                <c:pt idx="214">
                  <c:v>0.72599999999999998</c:v>
                </c:pt>
                <c:pt idx="215">
                  <c:v>0.71799999999999997</c:v>
                </c:pt>
                <c:pt idx="216">
                  <c:v>0.71599999999999997</c:v>
                </c:pt>
                <c:pt idx="217">
                  <c:v>0.71599999999999997</c:v>
                </c:pt>
                <c:pt idx="218">
                  <c:v>0.72099999999999997</c:v>
                </c:pt>
                <c:pt idx="219">
                  <c:v>0.72699999999999998</c:v>
                </c:pt>
                <c:pt idx="220">
                  <c:v>0.72599999999999998</c:v>
                </c:pt>
                <c:pt idx="221">
                  <c:v>0.72599999999999998</c:v>
                </c:pt>
                <c:pt idx="222">
                  <c:v>0.72899999999999998</c:v>
                </c:pt>
                <c:pt idx="223">
                  <c:v>0.72799999999999998</c:v>
                </c:pt>
                <c:pt idx="224">
                  <c:v>0.72599999999999998</c:v>
                </c:pt>
                <c:pt idx="225">
                  <c:v>0.72399999999999998</c:v>
                </c:pt>
                <c:pt idx="226">
                  <c:v>0.72299999999999998</c:v>
                </c:pt>
                <c:pt idx="227">
                  <c:v>0.72399999999999998</c:v>
                </c:pt>
                <c:pt idx="228">
                  <c:v>0.72199999999999998</c:v>
                </c:pt>
                <c:pt idx="229">
                  <c:v>0.71899999999999997</c:v>
                </c:pt>
                <c:pt idx="230">
                  <c:v>0.71699999999999997</c:v>
                </c:pt>
                <c:pt idx="231">
                  <c:v>0.71399999999999997</c:v>
                </c:pt>
                <c:pt idx="232">
                  <c:v>0.70899999999999996</c:v>
                </c:pt>
                <c:pt idx="233">
                  <c:v>0.70699999999999996</c:v>
                </c:pt>
                <c:pt idx="234">
                  <c:v>0.70699999999999996</c:v>
                </c:pt>
                <c:pt idx="235">
                  <c:v>0.70699999999999996</c:v>
                </c:pt>
                <c:pt idx="236">
                  <c:v>0.70699999999999996</c:v>
                </c:pt>
                <c:pt idx="237">
                  <c:v>0.70799999999999996</c:v>
                </c:pt>
                <c:pt idx="238">
                  <c:v>0.70899999999999996</c:v>
                </c:pt>
                <c:pt idx="239">
                  <c:v>0.70899999999999996</c:v>
                </c:pt>
                <c:pt idx="240">
                  <c:v>0.70799999999999996</c:v>
                </c:pt>
                <c:pt idx="241">
                  <c:v>0.70399999999999996</c:v>
                </c:pt>
                <c:pt idx="242">
                  <c:v>0.69499999999999995</c:v>
                </c:pt>
                <c:pt idx="243">
                  <c:v>0.68400000000000005</c:v>
                </c:pt>
                <c:pt idx="244">
                  <c:v>0.67100000000000004</c:v>
                </c:pt>
                <c:pt idx="245">
                  <c:v>0.65800000000000003</c:v>
                </c:pt>
                <c:pt idx="246">
                  <c:v>0.64500000000000002</c:v>
                </c:pt>
                <c:pt idx="247">
                  <c:v>0.63200000000000001</c:v>
                </c:pt>
                <c:pt idx="248">
                  <c:v>0.61899999999999999</c:v>
                </c:pt>
                <c:pt idx="249">
                  <c:v>0.60599999999999998</c:v>
                </c:pt>
                <c:pt idx="250">
                  <c:v>0.59299999999999997</c:v>
                </c:pt>
                <c:pt idx="251">
                  <c:v>0.58099999999999996</c:v>
                </c:pt>
                <c:pt idx="252">
                  <c:v>0.56999999999999995</c:v>
                </c:pt>
                <c:pt idx="253">
                  <c:v>0.55900000000000005</c:v>
                </c:pt>
                <c:pt idx="254">
                  <c:v>0.54900000000000004</c:v>
                </c:pt>
                <c:pt idx="255">
                  <c:v>0.54100000000000004</c:v>
                </c:pt>
                <c:pt idx="256">
                  <c:v>0.53300000000000003</c:v>
                </c:pt>
                <c:pt idx="257">
                  <c:v>0.52400000000000002</c:v>
                </c:pt>
                <c:pt idx="258">
                  <c:v>0.51500000000000001</c:v>
                </c:pt>
                <c:pt idx="259">
                  <c:v>0.50700000000000001</c:v>
                </c:pt>
                <c:pt idx="260">
                  <c:v>0.499</c:v>
                </c:pt>
                <c:pt idx="261">
                  <c:v>0.49299999999999999</c:v>
                </c:pt>
                <c:pt idx="262">
                  <c:v>0.48699999999999999</c:v>
                </c:pt>
                <c:pt idx="263">
                  <c:v>0.48099999999999998</c:v>
                </c:pt>
                <c:pt idx="264">
                  <c:v>0.47199999999999998</c:v>
                </c:pt>
                <c:pt idx="265">
                  <c:v>0.46500000000000002</c:v>
                </c:pt>
                <c:pt idx="266">
                  <c:v>0.45700000000000002</c:v>
                </c:pt>
                <c:pt idx="267">
                  <c:v>0.45</c:v>
                </c:pt>
                <c:pt idx="268">
                  <c:v>0.443</c:v>
                </c:pt>
                <c:pt idx="269">
                  <c:v>0.436</c:v>
                </c:pt>
                <c:pt idx="270">
                  <c:v>0.42899999999999999</c:v>
                </c:pt>
                <c:pt idx="271">
                  <c:v>0.42199999999999999</c:v>
                </c:pt>
                <c:pt idx="272">
                  <c:v>0.41399999999999998</c:v>
                </c:pt>
                <c:pt idx="273">
                  <c:v>0.40699999999999997</c:v>
                </c:pt>
                <c:pt idx="274">
                  <c:v>0.4</c:v>
                </c:pt>
                <c:pt idx="275">
                  <c:v>0.39500000000000002</c:v>
                </c:pt>
                <c:pt idx="276">
                  <c:v>0.38800000000000001</c:v>
                </c:pt>
                <c:pt idx="277">
                  <c:v>0.38100000000000001</c:v>
                </c:pt>
                <c:pt idx="278">
                  <c:v>0.375</c:v>
                </c:pt>
                <c:pt idx="279">
                  <c:v>0.36799999999999999</c:v>
                </c:pt>
                <c:pt idx="280">
                  <c:v>0.36</c:v>
                </c:pt>
                <c:pt idx="281">
                  <c:v>0.35199999999999998</c:v>
                </c:pt>
                <c:pt idx="282">
                  <c:v>0.34599999999999997</c:v>
                </c:pt>
                <c:pt idx="283">
                  <c:v>0.33900000000000002</c:v>
                </c:pt>
                <c:pt idx="284">
                  <c:v>0.33400000000000002</c:v>
                </c:pt>
                <c:pt idx="285">
                  <c:v>0.33</c:v>
                </c:pt>
                <c:pt idx="286">
                  <c:v>0.32600000000000001</c:v>
                </c:pt>
                <c:pt idx="287">
                  <c:v>0.32100000000000001</c:v>
                </c:pt>
                <c:pt idx="288">
                  <c:v>0.315</c:v>
                </c:pt>
                <c:pt idx="289">
                  <c:v>0.308</c:v>
                </c:pt>
                <c:pt idx="290">
                  <c:v>0.30199999999999999</c:v>
                </c:pt>
                <c:pt idx="291">
                  <c:v>0.29599999999999999</c:v>
                </c:pt>
                <c:pt idx="292">
                  <c:v>0.29099999999999998</c:v>
                </c:pt>
                <c:pt idx="293">
                  <c:v>0.28499999999999998</c:v>
                </c:pt>
                <c:pt idx="294">
                  <c:v>0.28000000000000003</c:v>
                </c:pt>
                <c:pt idx="295">
                  <c:v>0.27400000000000002</c:v>
                </c:pt>
                <c:pt idx="296">
                  <c:v>0.26900000000000002</c:v>
                </c:pt>
                <c:pt idx="297">
                  <c:v>0.26400000000000001</c:v>
                </c:pt>
                <c:pt idx="298">
                  <c:v>0.25800000000000001</c:v>
                </c:pt>
                <c:pt idx="299">
                  <c:v>0.251</c:v>
                </c:pt>
                <c:pt idx="300">
                  <c:v>0.245</c:v>
                </c:pt>
                <c:pt idx="301">
                  <c:v>0.23899999999999999</c:v>
                </c:pt>
                <c:pt idx="302">
                  <c:v>0.23400000000000001</c:v>
                </c:pt>
                <c:pt idx="303">
                  <c:v>0.22800000000000001</c:v>
                </c:pt>
                <c:pt idx="304">
                  <c:v>0.222</c:v>
                </c:pt>
                <c:pt idx="305">
                  <c:v>0.218</c:v>
                </c:pt>
                <c:pt idx="306">
                  <c:v>0.215</c:v>
                </c:pt>
                <c:pt idx="307">
                  <c:v>0.221</c:v>
                </c:pt>
                <c:pt idx="308">
                  <c:v>0.23599999999999999</c:v>
                </c:pt>
                <c:pt idx="309">
                  <c:v>0.23200000000000001</c:v>
                </c:pt>
                <c:pt idx="310">
                  <c:v>0.22700000000000001</c:v>
                </c:pt>
                <c:pt idx="311">
                  <c:v>0.223</c:v>
                </c:pt>
                <c:pt idx="312">
                  <c:v>0.219</c:v>
                </c:pt>
                <c:pt idx="313">
                  <c:v>0.214</c:v>
                </c:pt>
                <c:pt idx="314">
                  <c:v>0.21</c:v>
                </c:pt>
                <c:pt idx="315">
                  <c:v>0.20799999999999999</c:v>
                </c:pt>
                <c:pt idx="316">
                  <c:v>0.20300000000000001</c:v>
                </c:pt>
                <c:pt idx="317">
                  <c:v>0.19800000000000001</c:v>
                </c:pt>
                <c:pt idx="318">
                  <c:v>0.19400000000000001</c:v>
                </c:pt>
                <c:pt idx="319">
                  <c:v>0.19</c:v>
                </c:pt>
                <c:pt idx="320">
                  <c:v>0.186</c:v>
                </c:pt>
                <c:pt idx="321">
                  <c:v>0.182</c:v>
                </c:pt>
                <c:pt idx="322">
                  <c:v>0.17799999999999999</c:v>
                </c:pt>
                <c:pt idx="323">
                  <c:v>0.17399999999999999</c:v>
                </c:pt>
                <c:pt idx="324">
                  <c:v>0.17</c:v>
                </c:pt>
                <c:pt idx="325">
                  <c:v>0.16500000000000001</c:v>
                </c:pt>
                <c:pt idx="326">
                  <c:v>0.161</c:v>
                </c:pt>
                <c:pt idx="327">
                  <c:v>0.158</c:v>
                </c:pt>
                <c:pt idx="328">
                  <c:v>0.154</c:v>
                </c:pt>
                <c:pt idx="329">
                  <c:v>0.14799999999999999</c:v>
                </c:pt>
                <c:pt idx="330">
                  <c:v>0.14399999999999999</c:v>
                </c:pt>
                <c:pt idx="331">
                  <c:v>0.14099999999999999</c:v>
                </c:pt>
                <c:pt idx="332">
                  <c:v>0.14299999999999999</c:v>
                </c:pt>
                <c:pt idx="333">
                  <c:v>0.13800000000000001</c:v>
                </c:pt>
                <c:pt idx="334">
                  <c:v>0.13400000000000001</c:v>
                </c:pt>
                <c:pt idx="335">
                  <c:v>0.13100000000000001</c:v>
                </c:pt>
                <c:pt idx="336">
                  <c:v>0.13300000000000001</c:v>
                </c:pt>
                <c:pt idx="337">
                  <c:v>0.13800000000000001</c:v>
                </c:pt>
                <c:pt idx="338">
                  <c:v>0.13900000000000001</c:v>
                </c:pt>
                <c:pt idx="339">
                  <c:v>0.14000000000000001</c:v>
                </c:pt>
                <c:pt idx="340">
                  <c:v>0.184</c:v>
                </c:pt>
                <c:pt idx="341">
                  <c:v>0.187</c:v>
                </c:pt>
                <c:pt idx="342">
                  <c:v>0.185</c:v>
                </c:pt>
                <c:pt idx="343">
                  <c:v>0.182</c:v>
                </c:pt>
                <c:pt idx="344">
                  <c:v>0.17899999999999999</c:v>
                </c:pt>
                <c:pt idx="345">
                  <c:v>0.17599999999999999</c:v>
                </c:pt>
                <c:pt idx="346">
                  <c:v>0.17199999999999999</c:v>
                </c:pt>
                <c:pt idx="347">
                  <c:v>0.16900000000000001</c:v>
                </c:pt>
                <c:pt idx="348">
                  <c:v>0.16600000000000001</c:v>
                </c:pt>
                <c:pt idx="349">
                  <c:v>0.16200000000000001</c:v>
                </c:pt>
                <c:pt idx="350">
                  <c:v>0.159</c:v>
                </c:pt>
                <c:pt idx="351">
                  <c:v>0.156</c:v>
                </c:pt>
                <c:pt idx="352">
                  <c:v>0.153</c:v>
                </c:pt>
                <c:pt idx="353">
                  <c:v>0.15</c:v>
                </c:pt>
                <c:pt idx="354">
                  <c:v>0.15</c:v>
                </c:pt>
                <c:pt idx="355">
                  <c:v>0.17</c:v>
                </c:pt>
                <c:pt idx="356">
                  <c:v>0.19500000000000001</c:v>
                </c:pt>
                <c:pt idx="357">
                  <c:v>0.216</c:v>
                </c:pt>
                <c:pt idx="358">
                  <c:v>0.24399999999999999</c:v>
                </c:pt>
                <c:pt idx="359">
                  <c:v>0.27900000000000003</c:v>
                </c:pt>
                <c:pt idx="360">
                  <c:v>0.32100000000000001</c:v>
                </c:pt>
                <c:pt idx="361">
                  <c:v>0.35699999999999998</c:v>
                </c:pt>
                <c:pt idx="362">
                  <c:v>0.39400000000000002</c:v>
                </c:pt>
                <c:pt idx="363">
                  <c:v>0.433</c:v>
                </c:pt>
                <c:pt idx="364">
                  <c:v>0.47</c:v>
                </c:pt>
                <c:pt idx="365">
                  <c:v>0.504</c:v>
                </c:pt>
              </c:numCache>
            </c:numRef>
          </c:val>
          <c:smooth val="0"/>
        </c:ser>
        <c:dLbls>
          <c:showLegendKey val="0"/>
          <c:showVal val="0"/>
          <c:showCatName val="0"/>
          <c:showSerName val="0"/>
          <c:showPercent val="0"/>
          <c:showBubbleSize val="0"/>
        </c:dLbls>
        <c:marker val="1"/>
        <c:smooth val="0"/>
        <c:axId val="824043016"/>
        <c:axId val="824043408"/>
      </c:lineChart>
      <c:dateAx>
        <c:axId val="824042232"/>
        <c:scaling>
          <c:orientation val="minMax"/>
          <c:max val="42552"/>
        </c:scaling>
        <c:delete val="0"/>
        <c:axPos val="b"/>
        <c:numFmt formatCode="m/d/yyyy" sourceLinked="0"/>
        <c:majorTickMark val="out"/>
        <c:minorTickMark val="none"/>
        <c:tickLblPos val="nextTo"/>
        <c:txPr>
          <a:bodyPr/>
          <a:lstStyle/>
          <a:p>
            <a:pPr>
              <a:defRPr sz="1000"/>
            </a:pPr>
            <a:endParaRPr lang="en-US"/>
          </a:p>
        </c:txPr>
        <c:crossAx val="824042624"/>
        <c:crosses val="autoZero"/>
        <c:auto val="1"/>
        <c:lblOffset val="100"/>
        <c:baseTimeUnit val="days"/>
      </c:dateAx>
      <c:valAx>
        <c:axId val="824042624"/>
        <c:scaling>
          <c:orientation val="minMax"/>
          <c:max val="2000"/>
        </c:scaling>
        <c:delete val="0"/>
        <c:axPos val="l"/>
        <c:title>
          <c:tx>
            <c:rich>
              <a:bodyPr/>
              <a:lstStyle/>
              <a:p>
                <a:pPr>
                  <a:defRPr sz="1000" b="0" i="0" u="none" strike="noStrike" baseline="0">
                    <a:solidFill>
                      <a:srgbClr val="000000"/>
                    </a:solidFill>
                    <a:latin typeface="Arial"/>
                    <a:ea typeface="Arial"/>
                    <a:cs typeface="Arial"/>
                  </a:defRPr>
                </a:pPr>
                <a:r>
                  <a:rPr lang="en-AU"/>
                  <a:t>Flow (ML/d)</a:t>
                </a:r>
              </a:p>
            </c:rich>
          </c:tx>
          <c:layout/>
          <c:overlay val="0"/>
        </c:title>
        <c:numFmt formatCode="#,##0" sourceLinked="0"/>
        <c:majorTickMark val="out"/>
        <c:minorTickMark val="none"/>
        <c:tickLblPos val="nextTo"/>
        <c:crossAx val="824042232"/>
        <c:crosses val="autoZero"/>
        <c:crossBetween val="between"/>
        <c:majorUnit val="500"/>
      </c:valAx>
      <c:catAx>
        <c:axId val="824043016"/>
        <c:scaling>
          <c:orientation val="minMax"/>
        </c:scaling>
        <c:delete val="1"/>
        <c:axPos val="b"/>
        <c:majorTickMark val="out"/>
        <c:minorTickMark val="none"/>
        <c:tickLblPos val="nextTo"/>
        <c:crossAx val="824043408"/>
        <c:crosses val="autoZero"/>
        <c:auto val="1"/>
        <c:lblAlgn val="ctr"/>
        <c:lblOffset val="100"/>
        <c:noMultiLvlLbl val="0"/>
      </c:catAx>
      <c:valAx>
        <c:axId val="824043408"/>
        <c:scaling>
          <c:orientation val="minMax"/>
          <c:max val="2"/>
        </c:scaling>
        <c:delete val="0"/>
        <c:axPos val="r"/>
        <c:title>
          <c:tx>
            <c:rich>
              <a:bodyPr/>
              <a:lstStyle/>
              <a:p>
                <a:pPr>
                  <a:defRPr sz="1000" b="0"/>
                </a:pPr>
                <a:r>
                  <a:rPr lang="en-US" sz="1000" b="0"/>
                  <a:t>Water height (m)</a:t>
                </a:r>
              </a:p>
            </c:rich>
          </c:tx>
          <c:layout/>
          <c:overlay val="0"/>
        </c:title>
        <c:numFmt formatCode="General" sourceLinked="1"/>
        <c:majorTickMark val="out"/>
        <c:minorTickMark val="none"/>
        <c:tickLblPos val="nextTo"/>
        <c:crossAx val="824043016"/>
        <c:crosses val="max"/>
        <c:crossBetween val="between"/>
        <c:majorUnit val="0.5"/>
      </c:valAx>
      <c:spPr>
        <a:noFill/>
        <a:ln w="25391">
          <a:noFill/>
        </a:ln>
      </c:spPr>
    </c:plotArea>
    <c:legend>
      <c:legendPos val="r"/>
      <c:layout>
        <c:manualLayout>
          <c:xMode val="edge"/>
          <c:yMode val="edge"/>
          <c:x val="3.4456727391834641E-2"/>
          <c:y val="0.84835805547085663"/>
          <c:w val="0.96338974869520633"/>
          <c:h val="0.15164194452914337"/>
        </c:manualLayout>
      </c:layout>
      <c:overlay val="0"/>
      <c:txPr>
        <a:bodyPr/>
        <a:lstStyle/>
        <a:p>
          <a:pPr>
            <a:defRPr sz="900"/>
          </a:pPr>
          <a:endParaRPr lang="en-US"/>
        </a:p>
      </c:txPr>
    </c:legend>
    <c:plotVisOnly val="1"/>
    <c:dispBlanksAs val="gap"/>
    <c:showDLblsOverMax val="0"/>
  </c:chart>
  <c:spPr>
    <a:noFill/>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baseline="0">
                <a:solidFill>
                  <a:schemeClr val="bg1"/>
                </a:solidFill>
                <a:latin typeface="Arial" panose="020B0604020202020204" pitchFamily="34" charset="0"/>
                <a:ea typeface="+mn-ea"/>
                <a:cs typeface="Arial" panose="020B0604020202020204" pitchFamily="34" charset="0"/>
              </a:defRPr>
            </a:pPr>
            <a:r>
              <a:rPr lang="en-AU">
                <a:solidFill>
                  <a:schemeClr val="bg1"/>
                </a:solidFill>
              </a:rPr>
              <a:t>(a) Benthic</a:t>
            </a:r>
          </a:p>
        </c:rich>
      </c:tx>
      <c:layout>
        <c:manualLayout>
          <c:xMode val="edge"/>
          <c:yMode val="edge"/>
          <c:x val="0.24492150853175593"/>
          <c:y val="3.3939663492159454E-2"/>
        </c:manualLayout>
      </c:layout>
      <c:overlay val="1"/>
      <c:spPr>
        <a:noFill/>
        <a:ln>
          <a:noFill/>
        </a:ln>
        <a:effectLst/>
      </c:spPr>
      <c:txPr>
        <a:bodyPr rot="0" spcFirstLastPara="1" vertOverflow="ellipsis" vert="horz" wrap="square" anchor="ctr" anchorCtr="1"/>
        <a:lstStyle/>
        <a:p>
          <a:pPr>
            <a:defRPr sz="108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2009100310947299"/>
          <c:y val="5.1966081065598531E-2"/>
          <c:w val="0.73764897771572935"/>
          <c:h val="0.85792763583717835"/>
        </c:manualLayout>
      </c:layout>
      <c:barChart>
        <c:barDir val="col"/>
        <c:grouping val="clustered"/>
        <c:varyColors val="0"/>
        <c:ser>
          <c:idx val="0"/>
          <c:order val="0"/>
          <c:tx>
            <c:strRef>
              <c:f>'Pivot fig'!$G$29</c:f>
              <c:strCache>
                <c:ptCount val="1"/>
                <c:pt idx="0">
                  <c:v>T1</c:v>
                </c:pt>
              </c:strCache>
            </c:strRef>
          </c:tx>
          <c:spPr>
            <a:solidFill>
              <a:schemeClr val="accent1">
                <a:tint val="58000"/>
              </a:schemeClr>
            </a:solidFill>
            <a:ln>
              <a:noFill/>
            </a:ln>
            <a:effectLst/>
          </c:spPr>
          <c:invertIfNegative val="0"/>
          <c:errBars>
            <c:errBarType val="plus"/>
            <c:errValType val="cust"/>
            <c:noEndCap val="0"/>
            <c:plus>
              <c:numRef>
                <c:f>'Pivot fig'!$G$39:$G$42</c:f>
                <c:numCache>
                  <c:formatCode>General</c:formatCode>
                  <c:ptCount val="4"/>
                  <c:pt idx="0">
                    <c:v>1476.4389591175113</c:v>
                  </c:pt>
                  <c:pt idx="1">
                    <c:v>432.03124886980106</c:v>
                  </c:pt>
                  <c:pt idx="2">
                    <c:v>3264.1209127931115</c:v>
                  </c:pt>
                  <c:pt idx="3">
                    <c:v>617.31461454701696</c:v>
                  </c:pt>
                </c:numCache>
              </c:numRef>
            </c:plus>
            <c:minus>
              <c:numRef>
                <c:f>'Pivot fig'!$G$39:$G$42</c:f>
                <c:numCache>
                  <c:formatCode>General</c:formatCode>
                  <c:ptCount val="4"/>
                  <c:pt idx="0">
                    <c:v>1476.4389591175113</c:v>
                  </c:pt>
                  <c:pt idx="1">
                    <c:v>432.03124886980106</c:v>
                  </c:pt>
                  <c:pt idx="2">
                    <c:v>3264.1209127931115</c:v>
                  </c:pt>
                  <c:pt idx="3">
                    <c:v>617.31461454701696</c:v>
                  </c:pt>
                </c:numCache>
              </c:numRef>
            </c:minus>
            <c:spPr>
              <a:noFill/>
              <a:ln w="9525" cap="flat" cmpd="sng" algn="ctr">
                <a:solidFill>
                  <a:schemeClr val="tx1">
                    <a:lumMod val="65000"/>
                    <a:lumOff val="35000"/>
                  </a:schemeClr>
                </a:solidFill>
                <a:prstDash val="solid"/>
                <a:round/>
              </a:ln>
              <a:effectLst/>
            </c:spPr>
          </c:errBars>
          <c:cat>
            <c:strRef>
              <c:f>'Pivot fig'!$B$30:$B$33</c:f>
              <c:strCache>
                <c:ptCount val="4"/>
                <c:pt idx="0">
                  <c:v>GIN</c:v>
                </c:pt>
                <c:pt idx="1">
                  <c:v>GW</c:v>
                </c:pt>
                <c:pt idx="2">
                  <c:v>ME</c:v>
                </c:pt>
                <c:pt idx="3">
                  <c:v>MO</c:v>
                </c:pt>
              </c:strCache>
            </c:strRef>
          </c:cat>
          <c:val>
            <c:numRef>
              <c:f>'Pivot fig'!$G$30:$G$33</c:f>
              <c:numCache>
                <c:formatCode>General</c:formatCode>
                <c:ptCount val="4"/>
                <c:pt idx="0">
                  <c:v>1276</c:v>
                </c:pt>
                <c:pt idx="1">
                  <c:v>1325</c:v>
                </c:pt>
                <c:pt idx="2">
                  <c:v>4834.666666666667</c:v>
                </c:pt>
                <c:pt idx="3">
                  <c:v>4258.666666666667</c:v>
                </c:pt>
              </c:numCache>
            </c:numRef>
          </c:val>
        </c:ser>
        <c:ser>
          <c:idx val="1"/>
          <c:order val="1"/>
          <c:tx>
            <c:strRef>
              <c:f>'Pivot fig'!$H$29</c:f>
              <c:strCache>
                <c:ptCount val="1"/>
                <c:pt idx="0">
                  <c:v>T2</c:v>
                </c:pt>
              </c:strCache>
            </c:strRef>
          </c:tx>
          <c:spPr>
            <a:solidFill>
              <a:schemeClr val="accent1">
                <a:tint val="86000"/>
              </a:schemeClr>
            </a:solidFill>
            <a:ln>
              <a:noFill/>
            </a:ln>
            <a:effectLst/>
          </c:spPr>
          <c:invertIfNegative val="0"/>
          <c:errBars>
            <c:errBarType val="plus"/>
            <c:errValType val="cust"/>
            <c:noEndCap val="0"/>
            <c:plus>
              <c:numRef>
                <c:f>'Pivot fig'!$H$39:$H$42</c:f>
                <c:numCache>
                  <c:formatCode>General</c:formatCode>
                  <c:ptCount val="4"/>
                  <c:pt idx="0">
                    <c:v>425.67828227430164</c:v>
                  </c:pt>
                  <c:pt idx="1">
                    <c:v>6036.0584269317114</c:v>
                  </c:pt>
                  <c:pt idx="2">
                    <c:v>266.84327485123737</c:v>
                  </c:pt>
                  <c:pt idx="3">
                    <c:v>2116.9991339944695</c:v>
                  </c:pt>
                </c:numCache>
              </c:numRef>
            </c:plus>
            <c:minus>
              <c:numRef>
                <c:f>'Pivot fig'!$H$39:$H$42</c:f>
                <c:numCache>
                  <c:formatCode>General</c:formatCode>
                  <c:ptCount val="4"/>
                  <c:pt idx="0">
                    <c:v>425.67828227430164</c:v>
                  </c:pt>
                  <c:pt idx="1">
                    <c:v>6036.0584269317114</c:v>
                  </c:pt>
                  <c:pt idx="2">
                    <c:v>266.84327485123737</c:v>
                  </c:pt>
                  <c:pt idx="3">
                    <c:v>2116.9991339944695</c:v>
                  </c:pt>
                </c:numCache>
              </c:numRef>
            </c:minus>
            <c:spPr>
              <a:noFill/>
              <a:ln w="9525" cap="flat" cmpd="sng" algn="ctr">
                <a:solidFill>
                  <a:schemeClr val="tx1">
                    <a:lumMod val="65000"/>
                    <a:lumOff val="35000"/>
                  </a:schemeClr>
                </a:solidFill>
                <a:prstDash val="solid"/>
                <a:round/>
              </a:ln>
              <a:effectLst/>
            </c:spPr>
          </c:errBars>
          <c:cat>
            <c:strRef>
              <c:f>'Pivot fig'!$B$30:$B$33</c:f>
              <c:strCache>
                <c:ptCount val="4"/>
                <c:pt idx="0">
                  <c:v>GIN</c:v>
                </c:pt>
                <c:pt idx="1">
                  <c:v>GW</c:v>
                </c:pt>
                <c:pt idx="2">
                  <c:v>ME</c:v>
                </c:pt>
                <c:pt idx="3">
                  <c:v>MO</c:v>
                </c:pt>
              </c:strCache>
            </c:strRef>
          </c:cat>
          <c:val>
            <c:numRef>
              <c:f>'Pivot fig'!$H$30:$H$33</c:f>
              <c:numCache>
                <c:formatCode>General</c:formatCode>
                <c:ptCount val="4"/>
                <c:pt idx="0">
                  <c:v>3071</c:v>
                </c:pt>
                <c:pt idx="1">
                  <c:v>4401.333333333333</c:v>
                </c:pt>
                <c:pt idx="2">
                  <c:v>2038.6666666666667</c:v>
                </c:pt>
                <c:pt idx="3">
                  <c:v>2261.3333333333335</c:v>
                </c:pt>
              </c:numCache>
            </c:numRef>
          </c:val>
        </c:ser>
        <c:ser>
          <c:idx val="2"/>
          <c:order val="2"/>
          <c:tx>
            <c:strRef>
              <c:f>'Pivot fig'!$I$29</c:f>
              <c:strCache>
                <c:ptCount val="1"/>
                <c:pt idx="0">
                  <c:v>T3</c:v>
                </c:pt>
              </c:strCache>
            </c:strRef>
          </c:tx>
          <c:spPr>
            <a:solidFill>
              <a:schemeClr val="accent1">
                <a:shade val="86000"/>
              </a:schemeClr>
            </a:solidFill>
            <a:ln>
              <a:noFill/>
            </a:ln>
            <a:effectLst/>
          </c:spPr>
          <c:invertIfNegative val="0"/>
          <c:errBars>
            <c:errBarType val="plus"/>
            <c:errValType val="cust"/>
            <c:noEndCap val="0"/>
            <c:plus>
              <c:numRef>
                <c:f>'Pivot fig'!$I$39:$I$42</c:f>
                <c:numCache>
                  <c:formatCode>General</c:formatCode>
                  <c:ptCount val="4"/>
                  <c:pt idx="0">
                    <c:v>8937.8297141979601</c:v>
                  </c:pt>
                  <c:pt idx="1">
                    <c:v>5181.8051230563788</c:v>
                  </c:pt>
                  <c:pt idx="2">
                    <c:v>5820.973572636568</c:v>
                  </c:pt>
                  <c:pt idx="3">
                    <c:v>2586.6065285105378</c:v>
                  </c:pt>
                </c:numCache>
              </c:numRef>
            </c:plus>
            <c:minus>
              <c:numRef>
                <c:f>'Pivot fig'!$I$39:$I$42</c:f>
                <c:numCache>
                  <c:formatCode>General</c:formatCode>
                  <c:ptCount val="4"/>
                  <c:pt idx="0">
                    <c:v>8937.8297141979601</c:v>
                  </c:pt>
                  <c:pt idx="1">
                    <c:v>5181.8051230563788</c:v>
                  </c:pt>
                  <c:pt idx="2">
                    <c:v>5820.973572636568</c:v>
                  </c:pt>
                  <c:pt idx="3">
                    <c:v>2586.6065285105378</c:v>
                  </c:pt>
                </c:numCache>
              </c:numRef>
            </c:minus>
            <c:spPr>
              <a:noFill/>
              <a:ln w="9525" cap="flat" cmpd="sng" algn="ctr">
                <a:solidFill>
                  <a:schemeClr val="tx1">
                    <a:lumMod val="65000"/>
                    <a:lumOff val="35000"/>
                  </a:schemeClr>
                </a:solidFill>
                <a:prstDash val="solid"/>
                <a:round/>
              </a:ln>
              <a:effectLst/>
            </c:spPr>
          </c:errBars>
          <c:cat>
            <c:strRef>
              <c:f>'Pivot fig'!$B$30:$B$33</c:f>
              <c:strCache>
                <c:ptCount val="4"/>
                <c:pt idx="0">
                  <c:v>GIN</c:v>
                </c:pt>
                <c:pt idx="1">
                  <c:v>GW</c:v>
                </c:pt>
                <c:pt idx="2">
                  <c:v>ME</c:v>
                </c:pt>
                <c:pt idx="3">
                  <c:v>MO</c:v>
                </c:pt>
              </c:strCache>
            </c:strRef>
          </c:cat>
          <c:val>
            <c:numRef>
              <c:f>'Pivot fig'!$I$30:$I$33</c:f>
              <c:numCache>
                <c:formatCode>General</c:formatCode>
                <c:ptCount val="4"/>
                <c:pt idx="0">
                  <c:v>7696</c:v>
                </c:pt>
                <c:pt idx="1">
                  <c:v>6764.333333333333</c:v>
                </c:pt>
                <c:pt idx="2">
                  <c:v>8746.6666666666661</c:v>
                </c:pt>
                <c:pt idx="3">
                  <c:v>6006.666666666667</c:v>
                </c:pt>
              </c:numCache>
            </c:numRef>
          </c:val>
        </c:ser>
        <c:ser>
          <c:idx val="3"/>
          <c:order val="3"/>
          <c:tx>
            <c:strRef>
              <c:f>'Pivot fig'!$J$29</c:f>
              <c:strCache>
                <c:ptCount val="1"/>
                <c:pt idx="0">
                  <c:v>T4</c:v>
                </c:pt>
              </c:strCache>
            </c:strRef>
          </c:tx>
          <c:spPr>
            <a:solidFill>
              <a:schemeClr val="accent1">
                <a:shade val="58000"/>
              </a:schemeClr>
            </a:solidFill>
            <a:ln>
              <a:noFill/>
            </a:ln>
            <a:effectLst/>
          </c:spPr>
          <c:invertIfNegative val="0"/>
          <c:errBars>
            <c:errBarType val="plus"/>
            <c:errValType val="cust"/>
            <c:noEndCap val="0"/>
            <c:plus>
              <c:numRef>
                <c:f>'Pivot fig'!$J$39:$J$42</c:f>
                <c:numCache>
                  <c:formatCode>General</c:formatCode>
                  <c:ptCount val="4"/>
                  <c:pt idx="0">
                    <c:v>0</c:v>
                  </c:pt>
                  <c:pt idx="1">
                    <c:v>962.12074779277782</c:v>
                  </c:pt>
                  <c:pt idx="2">
                    <c:v>22103.305936744699</c:v>
                  </c:pt>
                  <c:pt idx="3">
                    <c:v>4943.5970709595658</c:v>
                  </c:pt>
                </c:numCache>
              </c:numRef>
            </c:plus>
            <c:minus>
              <c:numRef>
                <c:f>'Pivot fig'!$J$39:$J$42</c:f>
                <c:numCache>
                  <c:formatCode>General</c:formatCode>
                  <c:ptCount val="4"/>
                  <c:pt idx="0">
                    <c:v>0</c:v>
                  </c:pt>
                  <c:pt idx="1">
                    <c:v>962.12074779277782</c:v>
                  </c:pt>
                  <c:pt idx="2">
                    <c:v>22103.305936744699</c:v>
                  </c:pt>
                  <c:pt idx="3">
                    <c:v>4943.5970709595658</c:v>
                  </c:pt>
                </c:numCache>
              </c:numRef>
            </c:minus>
            <c:spPr>
              <a:noFill/>
              <a:ln w="9525" cap="flat" cmpd="sng" algn="ctr">
                <a:solidFill>
                  <a:schemeClr val="tx1">
                    <a:lumMod val="65000"/>
                    <a:lumOff val="35000"/>
                  </a:schemeClr>
                </a:solidFill>
                <a:prstDash val="solid"/>
                <a:round/>
              </a:ln>
              <a:effectLst/>
            </c:spPr>
          </c:errBars>
          <c:cat>
            <c:strRef>
              <c:f>'Pivot fig'!$B$30:$B$33</c:f>
              <c:strCache>
                <c:ptCount val="4"/>
                <c:pt idx="0">
                  <c:v>GIN</c:v>
                </c:pt>
                <c:pt idx="1">
                  <c:v>GW</c:v>
                </c:pt>
                <c:pt idx="2">
                  <c:v>ME</c:v>
                </c:pt>
                <c:pt idx="3">
                  <c:v>MO</c:v>
                </c:pt>
              </c:strCache>
            </c:strRef>
          </c:cat>
          <c:val>
            <c:numRef>
              <c:f>'Pivot fig'!$J$30:$J$33</c:f>
              <c:numCache>
                <c:formatCode>General</c:formatCode>
                <c:ptCount val="4"/>
                <c:pt idx="0">
                  <c:v>12884</c:v>
                </c:pt>
                <c:pt idx="1">
                  <c:v>2979.6666666666665</c:v>
                </c:pt>
                <c:pt idx="2">
                  <c:v>20993.333333333332</c:v>
                </c:pt>
                <c:pt idx="3">
                  <c:v>9292</c:v>
                </c:pt>
              </c:numCache>
            </c:numRef>
          </c:val>
        </c:ser>
        <c:dLbls>
          <c:showLegendKey val="0"/>
          <c:showVal val="0"/>
          <c:showCatName val="0"/>
          <c:showSerName val="0"/>
          <c:showPercent val="0"/>
          <c:showBubbleSize val="0"/>
        </c:dLbls>
        <c:gapWidth val="219"/>
        <c:overlap val="-27"/>
        <c:axId val="399109256"/>
        <c:axId val="399109648"/>
      </c:barChart>
      <c:catAx>
        <c:axId val="399109256"/>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99109648"/>
        <c:crosses val="autoZero"/>
        <c:auto val="1"/>
        <c:lblAlgn val="ctr"/>
        <c:lblOffset val="100"/>
        <c:noMultiLvlLbl val="0"/>
      </c:catAx>
      <c:valAx>
        <c:axId val="399109648"/>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Density ± SD</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6350" cap="flat" cmpd="sng" algn="ctr">
            <a:solidFill>
              <a:schemeClr val="bg1">
                <a:lumMod val="50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99109256"/>
        <c:crosses val="autoZero"/>
        <c:crossBetween val="between"/>
      </c:valAx>
      <c:spPr>
        <a:noFill/>
        <a:ln>
          <a:noFill/>
        </a:ln>
        <a:effectLst/>
      </c:spPr>
    </c:plotArea>
    <c:legend>
      <c:legendPos val="b"/>
      <c:layout>
        <c:manualLayout>
          <c:xMode val="edge"/>
          <c:yMode val="edge"/>
          <c:x val="0.53429657755780757"/>
          <c:y val="4.1579560553689887E-2"/>
          <c:w val="0.38704062891946667"/>
          <c:h val="0.1016291156993001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sz="900" b="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baseline="0">
                <a:solidFill>
                  <a:schemeClr val="bg1"/>
                </a:solidFill>
                <a:latin typeface="Arial" panose="020B0604020202020204" pitchFamily="34" charset="0"/>
                <a:ea typeface="+mn-ea"/>
                <a:cs typeface="Arial" panose="020B0604020202020204" pitchFamily="34" charset="0"/>
              </a:defRPr>
            </a:pPr>
            <a:r>
              <a:rPr lang="en-AU">
                <a:solidFill>
                  <a:schemeClr val="bg1"/>
                </a:solidFill>
              </a:rPr>
              <a:t>(b) Pelagic</a:t>
            </a:r>
          </a:p>
        </c:rich>
      </c:tx>
      <c:layout>
        <c:manualLayout>
          <c:xMode val="edge"/>
          <c:yMode val="edge"/>
          <c:x val="0.21998462313422942"/>
          <c:y val="2.6238085370907582E-3"/>
        </c:manualLayout>
      </c:layout>
      <c:overlay val="1"/>
      <c:spPr>
        <a:noFill/>
        <a:ln>
          <a:noFill/>
        </a:ln>
        <a:effectLst/>
      </c:spPr>
      <c:txPr>
        <a:bodyPr rot="0" spcFirstLastPara="1" vertOverflow="ellipsis" vert="horz" wrap="square" anchor="ctr" anchorCtr="1"/>
        <a:lstStyle/>
        <a:p>
          <a:pPr>
            <a:defRPr sz="108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9764314923706044"/>
          <c:y val="5.1966081065598531E-2"/>
          <c:w val="0.76009674054518095"/>
          <c:h val="0.85792763583717835"/>
        </c:manualLayout>
      </c:layout>
      <c:barChart>
        <c:barDir val="col"/>
        <c:grouping val="clustered"/>
        <c:varyColors val="0"/>
        <c:ser>
          <c:idx val="0"/>
          <c:order val="0"/>
          <c:tx>
            <c:strRef>
              <c:f>'Pivot fig'!$G$29</c:f>
              <c:strCache>
                <c:ptCount val="1"/>
                <c:pt idx="0">
                  <c:v>T1</c:v>
                </c:pt>
              </c:strCache>
            </c:strRef>
          </c:tx>
          <c:spPr>
            <a:solidFill>
              <a:schemeClr val="accent1">
                <a:tint val="58000"/>
              </a:schemeClr>
            </a:solidFill>
            <a:ln>
              <a:noFill/>
            </a:ln>
            <a:effectLst/>
          </c:spPr>
          <c:invertIfNegative val="0"/>
          <c:errBars>
            <c:errBarType val="plus"/>
            <c:errValType val="cust"/>
            <c:noEndCap val="0"/>
            <c:plus>
              <c:numRef>
                <c:f>'Pivot fig'!$G$63:$G$66</c:f>
                <c:numCache>
                  <c:formatCode>General</c:formatCode>
                  <c:ptCount val="4"/>
                  <c:pt idx="0">
                    <c:v>5.6568542494923806</c:v>
                  </c:pt>
                  <c:pt idx="1">
                    <c:v>6.0827625302982193</c:v>
                  </c:pt>
                  <c:pt idx="2">
                    <c:v>208.19782259508222</c:v>
                  </c:pt>
                  <c:pt idx="3">
                    <c:v>166.96207154121365</c:v>
                  </c:pt>
                </c:numCache>
              </c:numRef>
            </c:plus>
            <c:minus>
              <c:numRef>
                <c:f>'Pivot fig'!$G$63:$G$66</c:f>
                <c:numCache>
                  <c:formatCode>General</c:formatCode>
                  <c:ptCount val="4"/>
                  <c:pt idx="0">
                    <c:v>5.6568542494923806</c:v>
                  </c:pt>
                  <c:pt idx="1">
                    <c:v>6.0827625302982193</c:v>
                  </c:pt>
                  <c:pt idx="2">
                    <c:v>208.19782259508222</c:v>
                  </c:pt>
                  <c:pt idx="3">
                    <c:v>166.96207154121365</c:v>
                  </c:pt>
                </c:numCache>
              </c:numRef>
            </c:minus>
            <c:spPr>
              <a:noFill/>
              <a:ln w="9525" cap="flat" cmpd="sng" algn="ctr">
                <a:solidFill>
                  <a:schemeClr val="tx1">
                    <a:lumMod val="65000"/>
                    <a:lumOff val="35000"/>
                  </a:schemeClr>
                </a:solidFill>
                <a:prstDash val="solid"/>
                <a:round/>
              </a:ln>
              <a:effectLst/>
            </c:spPr>
          </c:errBars>
          <c:cat>
            <c:strRef>
              <c:f>'Pivot fig'!$B$52:$B$55</c:f>
              <c:strCache>
                <c:ptCount val="4"/>
                <c:pt idx="0">
                  <c:v>GIN</c:v>
                </c:pt>
                <c:pt idx="1">
                  <c:v>GW</c:v>
                </c:pt>
                <c:pt idx="2">
                  <c:v>ME</c:v>
                </c:pt>
                <c:pt idx="3">
                  <c:v>MO</c:v>
                </c:pt>
              </c:strCache>
            </c:strRef>
          </c:cat>
          <c:val>
            <c:numRef>
              <c:f>'Pivot fig'!$G$52:$G$55</c:f>
              <c:numCache>
                <c:formatCode>General</c:formatCode>
                <c:ptCount val="4"/>
                <c:pt idx="0">
                  <c:v>34</c:v>
                </c:pt>
                <c:pt idx="1">
                  <c:v>13</c:v>
                </c:pt>
                <c:pt idx="2">
                  <c:v>259.66666666666669</c:v>
                </c:pt>
                <c:pt idx="3">
                  <c:v>392.66666666666669</c:v>
                </c:pt>
              </c:numCache>
            </c:numRef>
          </c:val>
        </c:ser>
        <c:ser>
          <c:idx val="1"/>
          <c:order val="1"/>
          <c:tx>
            <c:strRef>
              <c:f>'Pivot fig'!$H$29</c:f>
              <c:strCache>
                <c:ptCount val="1"/>
                <c:pt idx="0">
                  <c:v>T2</c:v>
                </c:pt>
              </c:strCache>
            </c:strRef>
          </c:tx>
          <c:spPr>
            <a:solidFill>
              <a:schemeClr val="accent1">
                <a:tint val="86000"/>
              </a:schemeClr>
            </a:solidFill>
            <a:ln>
              <a:noFill/>
            </a:ln>
            <a:effectLst/>
          </c:spPr>
          <c:invertIfNegative val="0"/>
          <c:errBars>
            <c:errBarType val="plus"/>
            <c:errValType val="cust"/>
            <c:noEndCap val="0"/>
            <c:plus>
              <c:numRef>
                <c:f>'Pivot fig'!$H$63:$H$66</c:f>
                <c:numCache>
                  <c:formatCode>General</c:formatCode>
                  <c:ptCount val="4"/>
                  <c:pt idx="0">
                    <c:v>207.88939366884497</c:v>
                  </c:pt>
                  <c:pt idx="1">
                    <c:v>7</c:v>
                  </c:pt>
                  <c:pt idx="2">
                    <c:v>46.776062254106002</c:v>
                  </c:pt>
                  <c:pt idx="3">
                    <c:v>15.716233645501712</c:v>
                  </c:pt>
                </c:numCache>
              </c:numRef>
            </c:plus>
            <c:minus>
              <c:numRef>
                <c:f>'Pivot fig'!$H$63:$H$66</c:f>
                <c:numCache>
                  <c:formatCode>General</c:formatCode>
                  <c:ptCount val="4"/>
                  <c:pt idx="0">
                    <c:v>207.88939366884497</c:v>
                  </c:pt>
                  <c:pt idx="1">
                    <c:v>7</c:v>
                  </c:pt>
                  <c:pt idx="2">
                    <c:v>46.776062254106002</c:v>
                  </c:pt>
                  <c:pt idx="3">
                    <c:v>15.716233645501712</c:v>
                  </c:pt>
                </c:numCache>
              </c:numRef>
            </c:minus>
            <c:spPr>
              <a:noFill/>
              <a:ln w="9525" cap="flat" cmpd="sng" algn="ctr">
                <a:solidFill>
                  <a:schemeClr val="tx1">
                    <a:lumMod val="65000"/>
                    <a:lumOff val="35000"/>
                  </a:schemeClr>
                </a:solidFill>
                <a:prstDash val="solid"/>
                <a:round/>
              </a:ln>
              <a:effectLst/>
            </c:spPr>
          </c:errBars>
          <c:cat>
            <c:strRef>
              <c:f>'Pivot fig'!$B$52:$B$55</c:f>
              <c:strCache>
                <c:ptCount val="4"/>
                <c:pt idx="0">
                  <c:v>GIN</c:v>
                </c:pt>
                <c:pt idx="1">
                  <c:v>GW</c:v>
                </c:pt>
                <c:pt idx="2">
                  <c:v>ME</c:v>
                </c:pt>
                <c:pt idx="3">
                  <c:v>MO</c:v>
                </c:pt>
              </c:strCache>
            </c:strRef>
          </c:cat>
          <c:val>
            <c:numRef>
              <c:f>'Pivot fig'!$H$52:$H$55</c:f>
              <c:numCache>
                <c:formatCode>General</c:formatCode>
                <c:ptCount val="4"/>
                <c:pt idx="0">
                  <c:v>204</c:v>
                </c:pt>
                <c:pt idx="1">
                  <c:v>21</c:v>
                </c:pt>
                <c:pt idx="2">
                  <c:v>48</c:v>
                </c:pt>
                <c:pt idx="3">
                  <c:v>80</c:v>
                </c:pt>
              </c:numCache>
            </c:numRef>
          </c:val>
        </c:ser>
        <c:ser>
          <c:idx val="2"/>
          <c:order val="2"/>
          <c:tx>
            <c:strRef>
              <c:f>'Pivot fig'!$I$29</c:f>
              <c:strCache>
                <c:ptCount val="1"/>
                <c:pt idx="0">
                  <c:v>T3</c:v>
                </c:pt>
              </c:strCache>
            </c:strRef>
          </c:tx>
          <c:spPr>
            <a:solidFill>
              <a:schemeClr val="accent1">
                <a:shade val="86000"/>
              </a:schemeClr>
            </a:solidFill>
            <a:ln>
              <a:noFill/>
            </a:ln>
            <a:effectLst/>
          </c:spPr>
          <c:invertIfNegative val="0"/>
          <c:errBars>
            <c:errBarType val="plus"/>
            <c:errValType val="cust"/>
            <c:noEndCap val="0"/>
            <c:plus>
              <c:numRef>
                <c:f>'Pivot fig'!$I$63:$I$66</c:f>
                <c:numCache>
                  <c:formatCode>General</c:formatCode>
                  <c:ptCount val="4"/>
                  <c:pt idx="0">
                    <c:v>1040.1540751254115</c:v>
                  </c:pt>
                  <c:pt idx="1">
                    <c:v>171.24349136049915</c:v>
                  </c:pt>
                  <c:pt idx="2">
                    <c:v>247.1699819961963</c:v>
                  </c:pt>
                  <c:pt idx="3">
                    <c:v>288.16835357131083</c:v>
                  </c:pt>
                </c:numCache>
              </c:numRef>
            </c:plus>
            <c:minus>
              <c:numRef>
                <c:f>'Pivot fig'!$I$63:$I$66</c:f>
                <c:numCache>
                  <c:formatCode>General</c:formatCode>
                  <c:ptCount val="4"/>
                  <c:pt idx="0">
                    <c:v>1040.1540751254115</c:v>
                  </c:pt>
                  <c:pt idx="1">
                    <c:v>171.24349136049915</c:v>
                  </c:pt>
                  <c:pt idx="2">
                    <c:v>247.1699819961963</c:v>
                  </c:pt>
                  <c:pt idx="3">
                    <c:v>288.16835357131083</c:v>
                  </c:pt>
                </c:numCache>
              </c:numRef>
            </c:minus>
            <c:spPr>
              <a:noFill/>
              <a:ln w="9525" cap="flat" cmpd="sng" algn="ctr">
                <a:solidFill>
                  <a:schemeClr val="tx1">
                    <a:lumMod val="65000"/>
                    <a:lumOff val="35000"/>
                  </a:schemeClr>
                </a:solidFill>
                <a:prstDash val="solid"/>
                <a:round/>
              </a:ln>
              <a:effectLst/>
            </c:spPr>
          </c:errBars>
          <c:cat>
            <c:strRef>
              <c:f>'Pivot fig'!$B$52:$B$55</c:f>
              <c:strCache>
                <c:ptCount val="4"/>
                <c:pt idx="0">
                  <c:v>GIN</c:v>
                </c:pt>
                <c:pt idx="1">
                  <c:v>GW</c:v>
                </c:pt>
                <c:pt idx="2">
                  <c:v>ME</c:v>
                </c:pt>
                <c:pt idx="3">
                  <c:v>MO</c:v>
                </c:pt>
              </c:strCache>
            </c:strRef>
          </c:cat>
          <c:val>
            <c:numRef>
              <c:f>'Pivot fig'!$I$52:$I$55</c:f>
              <c:numCache>
                <c:formatCode>General</c:formatCode>
                <c:ptCount val="4"/>
                <c:pt idx="0">
                  <c:v>2440.5</c:v>
                </c:pt>
                <c:pt idx="1">
                  <c:v>408.66666666666669</c:v>
                </c:pt>
                <c:pt idx="2">
                  <c:v>575</c:v>
                </c:pt>
                <c:pt idx="3">
                  <c:v>296</c:v>
                </c:pt>
              </c:numCache>
            </c:numRef>
          </c:val>
        </c:ser>
        <c:ser>
          <c:idx val="3"/>
          <c:order val="3"/>
          <c:tx>
            <c:strRef>
              <c:f>'Pivot fig'!$J$29</c:f>
              <c:strCache>
                <c:ptCount val="1"/>
                <c:pt idx="0">
                  <c:v>T4</c:v>
                </c:pt>
              </c:strCache>
            </c:strRef>
          </c:tx>
          <c:spPr>
            <a:solidFill>
              <a:schemeClr val="accent1">
                <a:shade val="58000"/>
              </a:schemeClr>
            </a:solidFill>
            <a:ln>
              <a:noFill/>
            </a:ln>
            <a:effectLst/>
          </c:spPr>
          <c:invertIfNegative val="0"/>
          <c:errBars>
            <c:errBarType val="plus"/>
            <c:errValType val="cust"/>
            <c:noEndCap val="0"/>
            <c:plus>
              <c:numRef>
                <c:f>'Pivot fig'!$J$63:$J$66</c:f>
                <c:numCache>
                  <c:formatCode>General</c:formatCode>
                  <c:ptCount val="4"/>
                  <c:pt idx="0">
                    <c:v>0</c:v>
                  </c:pt>
                  <c:pt idx="1">
                    <c:v>376.53994918644861</c:v>
                  </c:pt>
                  <c:pt idx="2">
                    <c:v>312.25843997133728</c:v>
                  </c:pt>
                  <c:pt idx="3">
                    <c:v>103.61627928724972</c:v>
                  </c:pt>
                </c:numCache>
              </c:numRef>
            </c:plus>
            <c:minus>
              <c:numRef>
                <c:f>'Pivot fig'!$J$63:$J$66</c:f>
                <c:numCache>
                  <c:formatCode>General</c:formatCode>
                  <c:ptCount val="4"/>
                  <c:pt idx="0">
                    <c:v>0</c:v>
                  </c:pt>
                  <c:pt idx="1">
                    <c:v>376.53994918644861</c:v>
                  </c:pt>
                  <c:pt idx="2">
                    <c:v>312.25843997133728</c:v>
                  </c:pt>
                  <c:pt idx="3">
                    <c:v>103.61627928724972</c:v>
                  </c:pt>
                </c:numCache>
              </c:numRef>
            </c:minus>
            <c:spPr>
              <a:noFill/>
              <a:ln w="9525" cap="flat" cmpd="sng" algn="ctr">
                <a:solidFill>
                  <a:schemeClr val="tx1">
                    <a:lumMod val="65000"/>
                    <a:lumOff val="35000"/>
                  </a:schemeClr>
                </a:solidFill>
                <a:prstDash val="solid"/>
                <a:round/>
              </a:ln>
              <a:effectLst/>
            </c:spPr>
          </c:errBars>
          <c:cat>
            <c:strRef>
              <c:f>'Pivot fig'!$B$52:$B$55</c:f>
              <c:strCache>
                <c:ptCount val="4"/>
                <c:pt idx="0">
                  <c:v>GIN</c:v>
                </c:pt>
                <c:pt idx="1">
                  <c:v>GW</c:v>
                </c:pt>
                <c:pt idx="2">
                  <c:v>ME</c:v>
                </c:pt>
                <c:pt idx="3">
                  <c:v>MO</c:v>
                </c:pt>
              </c:strCache>
            </c:strRef>
          </c:cat>
          <c:val>
            <c:numRef>
              <c:f>'Pivot fig'!$J$52:$J$55</c:f>
              <c:numCache>
                <c:formatCode>General</c:formatCode>
                <c:ptCount val="4"/>
                <c:pt idx="0">
                  <c:v>3504</c:v>
                </c:pt>
                <c:pt idx="1">
                  <c:v>431.33333333333331</c:v>
                </c:pt>
                <c:pt idx="2">
                  <c:v>891.33333333333337</c:v>
                </c:pt>
                <c:pt idx="3">
                  <c:v>183.33333333333334</c:v>
                </c:pt>
              </c:numCache>
            </c:numRef>
          </c:val>
        </c:ser>
        <c:dLbls>
          <c:showLegendKey val="0"/>
          <c:showVal val="0"/>
          <c:showCatName val="0"/>
          <c:showSerName val="0"/>
          <c:showPercent val="0"/>
          <c:showBubbleSize val="0"/>
        </c:dLbls>
        <c:gapWidth val="219"/>
        <c:overlap val="-27"/>
        <c:axId val="481299320"/>
        <c:axId val="399107688"/>
      </c:barChart>
      <c:catAx>
        <c:axId val="481299320"/>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99107688"/>
        <c:crosses val="autoZero"/>
        <c:auto val="1"/>
        <c:lblAlgn val="ctr"/>
        <c:lblOffset val="100"/>
        <c:noMultiLvlLbl val="0"/>
      </c:catAx>
      <c:valAx>
        <c:axId val="399107688"/>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Density ± SD</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6350" cap="flat" cmpd="sng" algn="ctr">
            <a:solidFill>
              <a:schemeClr val="bg1">
                <a:lumMod val="50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81299320"/>
        <c:crosses val="autoZero"/>
        <c:crossBetween val="between"/>
      </c:valAx>
      <c:spPr>
        <a:noFill/>
        <a:ln>
          <a:noFill/>
        </a:ln>
        <a:effectLst/>
      </c:spPr>
    </c:plotArea>
    <c:legend>
      <c:legendPos val="b"/>
      <c:layout>
        <c:manualLayout>
          <c:xMode val="edge"/>
          <c:yMode val="edge"/>
          <c:x val="0.50097682103922236"/>
          <c:y val="4.1579560553689887E-2"/>
          <c:w val="0.42036056161209628"/>
          <c:h val="8.520309832587671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sz="900" b="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vert="horz"/>
          <a:lstStyle/>
          <a:p>
            <a:pPr>
              <a:defRPr sz="1000"/>
            </a:pPr>
            <a:r>
              <a:rPr lang="en-AU" sz="1000"/>
              <a:t>(a) Benthic</a:t>
            </a:r>
          </a:p>
        </c:rich>
      </c:tx>
      <c:layout>
        <c:manualLayout>
          <c:xMode val="edge"/>
          <c:yMode val="edge"/>
          <c:x val="2.5582335619536427E-2"/>
          <c:y val="1.8002068359497239E-3"/>
        </c:manualLayout>
      </c:layout>
      <c:overlay val="1"/>
      <c:spPr>
        <a:noFill/>
        <a:ln>
          <a:noFill/>
        </a:ln>
        <a:effectLst/>
      </c:spPr>
    </c:title>
    <c:autoTitleDeleted val="0"/>
    <c:plotArea>
      <c:layout>
        <c:manualLayout>
          <c:layoutTarget val="inner"/>
          <c:xMode val="edge"/>
          <c:yMode val="edge"/>
          <c:x val="0.16137197930263616"/>
          <c:y val="0.13888219696357257"/>
          <c:w val="0.79636812993177009"/>
          <c:h val="0.76131909974292233"/>
        </c:manualLayout>
      </c:layout>
      <c:barChart>
        <c:barDir val="col"/>
        <c:grouping val="clustered"/>
        <c:varyColors val="0"/>
        <c:ser>
          <c:idx val="0"/>
          <c:order val="0"/>
          <c:tx>
            <c:strRef>
              <c:f>'Pivot fig'!$C$29</c:f>
              <c:strCache>
                <c:ptCount val="1"/>
                <c:pt idx="0">
                  <c:v>T1</c:v>
                </c:pt>
              </c:strCache>
            </c:strRef>
          </c:tx>
          <c:spPr>
            <a:solidFill>
              <a:schemeClr val="accent1">
                <a:tint val="58000"/>
              </a:schemeClr>
            </a:solidFill>
            <a:ln>
              <a:noFill/>
            </a:ln>
            <a:effectLst/>
          </c:spPr>
          <c:invertIfNegative val="0"/>
          <c:errBars>
            <c:errBarType val="plus"/>
            <c:errValType val="cust"/>
            <c:noEndCap val="0"/>
            <c:plus>
              <c:numRef>
                <c:f>'Pivot fig'!$C$39:$C$42</c:f>
                <c:numCache>
                  <c:formatCode>General</c:formatCode>
                  <c:ptCount val="4"/>
                  <c:pt idx="0">
                    <c:v>1.4142135623730951</c:v>
                  </c:pt>
                  <c:pt idx="1">
                    <c:v>3.5118845842842474</c:v>
                  </c:pt>
                  <c:pt idx="2">
                    <c:v>3.6055512754639891</c:v>
                  </c:pt>
                  <c:pt idx="3">
                    <c:v>4.0414518843273779</c:v>
                  </c:pt>
                </c:numCache>
              </c:numRef>
            </c:plus>
            <c:minus>
              <c:numRef>
                <c:f>'Pivot fig'!$C$39:$C$42</c:f>
                <c:numCache>
                  <c:formatCode>General</c:formatCode>
                  <c:ptCount val="4"/>
                  <c:pt idx="0">
                    <c:v>1.4142135623730951</c:v>
                  </c:pt>
                  <c:pt idx="1">
                    <c:v>3.5118845842842474</c:v>
                  </c:pt>
                  <c:pt idx="2">
                    <c:v>3.6055512754639891</c:v>
                  </c:pt>
                  <c:pt idx="3">
                    <c:v>4.0414518843273779</c:v>
                  </c:pt>
                </c:numCache>
              </c:numRef>
            </c:minus>
            <c:spPr>
              <a:noFill/>
              <a:ln w="9525" cap="flat" cmpd="sng" algn="ctr">
                <a:solidFill>
                  <a:schemeClr val="tx1">
                    <a:lumMod val="65000"/>
                    <a:lumOff val="35000"/>
                  </a:schemeClr>
                </a:solidFill>
                <a:round/>
              </a:ln>
              <a:effectLst/>
            </c:spPr>
          </c:errBars>
          <c:cat>
            <c:strRef>
              <c:f>'Pivot fig'!$B$30:$B$33</c:f>
              <c:strCache>
                <c:ptCount val="4"/>
                <c:pt idx="0">
                  <c:v>GIN</c:v>
                </c:pt>
                <c:pt idx="1">
                  <c:v>GW</c:v>
                </c:pt>
                <c:pt idx="2">
                  <c:v>ME</c:v>
                </c:pt>
                <c:pt idx="3">
                  <c:v>MO</c:v>
                </c:pt>
              </c:strCache>
            </c:strRef>
          </c:cat>
          <c:val>
            <c:numRef>
              <c:f>'Pivot fig'!$C$30:$C$33</c:f>
              <c:numCache>
                <c:formatCode>General</c:formatCode>
                <c:ptCount val="4"/>
                <c:pt idx="0">
                  <c:v>4</c:v>
                </c:pt>
                <c:pt idx="1">
                  <c:v>9.3333333333333339</c:v>
                </c:pt>
                <c:pt idx="2">
                  <c:v>14</c:v>
                </c:pt>
                <c:pt idx="3">
                  <c:v>15.333333333333334</c:v>
                </c:pt>
              </c:numCache>
            </c:numRef>
          </c:val>
        </c:ser>
        <c:ser>
          <c:idx val="1"/>
          <c:order val="1"/>
          <c:tx>
            <c:strRef>
              <c:f>'Pivot fig'!$D$29</c:f>
              <c:strCache>
                <c:ptCount val="1"/>
                <c:pt idx="0">
                  <c:v>T2</c:v>
                </c:pt>
              </c:strCache>
            </c:strRef>
          </c:tx>
          <c:spPr>
            <a:solidFill>
              <a:schemeClr val="accent1">
                <a:tint val="86000"/>
              </a:schemeClr>
            </a:solidFill>
            <a:ln>
              <a:noFill/>
            </a:ln>
            <a:effectLst/>
          </c:spPr>
          <c:invertIfNegative val="0"/>
          <c:errBars>
            <c:errBarType val="plus"/>
            <c:errValType val="cust"/>
            <c:noEndCap val="0"/>
            <c:plus>
              <c:numRef>
                <c:f>'Pivot fig'!$D$39:$D$42</c:f>
                <c:numCache>
                  <c:formatCode>General</c:formatCode>
                  <c:ptCount val="4"/>
                  <c:pt idx="0">
                    <c:v>2.1213203435596424</c:v>
                  </c:pt>
                  <c:pt idx="1">
                    <c:v>6.0277137733417065</c:v>
                  </c:pt>
                  <c:pt idx="2">
                    <c:v>4.5825756949558398</c:v>
                  </c:pt>
                  <c:pt idx="3">
                    <c:v>3.0550504633038904</c:v>
                  </c:pt>
                </c:numCache>
              </c:numRef>
            </c:plus>
            <c:minus>
              <c:numRef>
                <c:f>'Pivot fig'!$D$39:$D$42</c:f>
                <c:numCache>
                  <c:formatCode>General</c:formatCode>
                  <c:ptCount val="4"/>
                  <c:pt idx="0">
                    <c:v>2.1213203435596424</c:v>
                  </c:pt>
                  <c:pt idx="1">
                    <c:v>6.0277137733417065</c:v>
                  </c:pt>
                  <c:pt idx="2">
                    <c:v>4.5825756949558398</c:v>
                  </c:pt>
                  <c:pt idx="3">
                    <c:v>3.0550504633038904</c:v>
                  </c:pt>
                </c:numCache>
              </c:numRef>
            </c:minus>
            <c:spPr>
              <a:noFill/>
              <a:ln w="9525" cap="flat" cmpd="sng" algn="ctr">
                <a:solidFill>
                  <a:schemeClr val="tx1">
                    <a:lumMod val="65000"/>
                    <a:lumOff val="35000"/>
                  </a:schemeClr>
                </a:solidFill>
                <a:round/>
              </a:ln>
              <a:effectLst/>
            </c:spPr>
          </c:errBars>
          <c:cat>
            <c:strRef>
              <c:f>'Pivot fig'!$B$30:$B$33</c:f>
              <c:strCache>
                <c:ptCount val="4"/>
                <c:pt idx="0">
                  <c:v>GIN</c:v>
                </c:pt>
                <c:pt idx="1">
                  <c:v>GW</c:v>
                </c:pt>
                <c:pt idx="2">
                  <c:v>ME</c:v>
                </c:pt>
                <c:pt idx="3">
                  <c:v>MO</c:v>
                </c:pt>
              </c:strCache>
            </c:strRef>
          </c:cat>
          <c:val>
            <c:numRef>
              <c:f>'Pivot fig'!$D$30:$D$33</c:f>
              <c:numCache>
                <c:formatCode>General</c:formatCode>
                <c:ptCount val="4"/>
                <c:pt idx="0">
                  <c:v>10.5</c:v>
                </c:pt>
                <c:pt idx="1">
                  <c:v>14.333333333333334</c:v>
                </c:pt>
                <c:pt idx="2">
                  <c:v>14</c:v>
                </c:pt>
                <c:pt idx="3">
                  <c:v>14.333333333333334</c:v>
                </c:pt>
              </c:numCache>
            </c:numRef>
          </c:val>
        </c:ser>
        <c:ser>
          <c:idx val="2"/>
          <c:order val="2"/>
          <c:tx>
            <c:strRef>
              <c:f>'Pivot fig'!$E$29</c:f>
              <c:strCache>
                <c:ptCount val="1"/>
                <c:pt idx="0">
                  <c:v>T3</c:v>
                </c:pt>
              </c:strCache>
            </c:strRef>
          </c:tx>
          <c:spPr>
            <a:solidFill>
              <a:schemeClr val="accent1">
                <a:shade val="86000"/>
              </a:schemeClr>
            </a:solidFill>
            <a:ln>
              <a:noFill/>
            </a:ln>
            <a:effectLst/>
          </c:spPr>
          <c:invertIfNegative val="0"/>
          <c:errBars>
            <c:errBarType val="plus"/>
            <c:errValType val="cust"/>
            <c:noEndCap val="0"/>
            <c:plus>
              <c:numRef>
                <c:f>'Pivot fig'!$E$39:$E$42</c:f>
                <c:numCache>
                  <c:formatCode>General</c:formatCode>
                  <c:ptCount val="4"/>
                  <c:pt idx="0">
                    <c:v>2.1213203435596424</c:v>
                  </c:pt>
                  <c:pt idx="1">
                    <c:v>1.1547005383792432</c:v>
                  </c:pt>
                  <c:pt idx="2">
                    <c:v>4.5825756949558398</c:v>
                  </c:pt>
                  <c:pt idx="3">
                    <c:v>2.3094010767584989</c:v>
                  </c:pt>
                </c:numCache>
              </c:numRef>
            </c:plus>
            <c:minus>
              <c:numRef>
                <c:f>'Pivot fig'!$E$39:$E$42</c:f>
                <c:numCache>
                  <c:formatCode>General</c:formatCode>
                  <c:ptCount val="4"/>
                  <c:pt idx="0">
                    <c:v>2.1213203435596424</c:v>
                  </c:pt>
                  <c:pt idx="1">
                    <c:v>1.1547005383792432</c:v>
                  </c:pt>
                  <c:pt idx="2">
                    <c:v>4.5825756949558398</c:v>
                  </c:pt>
                  <c:pt idx="3">
                    <c:v>2.3094010767584989</c:v>
                  </c:pt>
                </c:numCache>
              </c:numRef>
            </c:minus>
            <c:spPr>
              <a:noFill/>
              <a:ln w="9525" cap="flat" cmpd="sng" algn="ctr">
                <a:solidFill>
                  <a:schemeClr val="tx1">
                    <a:lumMod val="65000"/>
                    <a:lumOff val="35000"/>
                  </a:schemeClr>
                </a:solidFill>
                <a:round/>
              </a:ln>
              <a:effectLst/>
            </c:spPr>
          </c:errBars>
          <c:cat>
            <c:strRef>
              <c:f>'Pivot fig'!$B$30:$B$33</c:f>
              <c:strCache>
                <c:ptCount val="4"/>
                <c:pt idx="0">
                  <c:v>GIN</c:v>
                </c:pt>
                <c:pt idx="1">
                  <c:v>GW</c:v>
                </c:pt>
                <c:pt idx="2">
                  <c:v>ME</c:v>
                </c:pt>
                <c:pt idx="3">
                  <c:v>MO</c:v>
                </c:pt>
              </c:strCache>
            </c:strRef>
          </c:cat>
          <c:val>
            <c:numRef>
              <c:f>'Pivot fig'!$E$30:$E$33</c:f>
              <c:numCache>
                <c:formatCode>General</c:formatCode>
                <c:ptCount val="4"/>
                <c:pt idx="0">
                  <c:v>13.5</c:v>
                </c:pt>
                <c:pt idx="1">
                  <c:v>16.333333333333332</c:v>
                </c:pt>
                <c:pt idx="2">
                  <c:v>17</c:v>
                </c:pt>
                <c:pt idx="3">
                  <c:v>15.333333333333334</c:v>
                </c:pt>
              </c:numCache>
            </c:numRef>
          </c:val>
        </c:ser>
        <c:ser>
          <c:idx val="3"/>
          <c:order val="3"/>
          <c:tx>
            <c:strRef>
              <c:f>'Pivot fig'!$F$29</c:f>
              <c:strCache>
                <c:ptCount val="1"/>
                <c:pt idx="0">
                  <c:v>T4</c:v>
                </c:pt>
              </c:strCache>
            </c:strRef>
          </c:tx>
          <c:spPr>
            <a:solidFill>
              <a:schemeClr val="accent1">
                <a:shade val="58000"/>
              </a:schemeClr>
            </a:solidFill>
            <a:ln>
              <a:noFill/>
            </a:ln>
            <a:effectLst/>
          </c:spPr>
          <c:invertIfNegative val="0"/>
          <c:errBars>
            <c:errBarType val="plus"/>
            <c:errValType val="cust"/>
            <c:noEndCap val="0"/>
            <c:plus>
              <c:numRef>
                <c:f>'Pivot fig'!$F$39:$F$42</c:f>
                <c:numCache>
                  <c:formatCode>General</c:formatCode>
                  <c:ptCount val="4"/>
                  <c:pt idx="0">
                    <c:v>0</c:v>
                  </c:pt>
                  <c:pt idx="1">
                    <c:v>2.5166114784235796</c:v>
                  </c:pt>
                  <c:pt idx="2">
                    <c:v>1</c:v>
                  </c:pt>
                  <c:pt idx="3">
                    <c:v>4.9328828623162453</c:v>
                  </c:pt>
                </c:numCache>
              </c:numRef>
            </c:plus>
            <c:minus>
              <c:numRef>
                <c:f>'Pivot fig'!$F$39:$F$42</c:f>
                <c:numCache>
                  <c:formatCode>General</c:formatCode>
                  <c:ptCount val="4"/>
                  <c:pt idx="0">
                    <c:v>0</c:v>
                  </c:pt>
                  <c:pt idx="1">
                    <c:v>2.5166114784235796</c:v>
                  </c:pt>
                  <c:pt idx="2">
                    <c:v>1</c:v>
                  </c:pt>
                  <c:pt idx="3">
                    <c:v>4.9328828623162453</c:v>
                  </c:pt>
                </c:numCache>
              </c:numRef>
            </c:minus>
            <c:spPr>
              <a:noFill/>
              <a:ln w="9525" cap="flat" cmpd="sng" algn="ctr">
                <a:solidFill>
                  <a:schemeClr val="tx1">
                    <a:lumMod val="65000"/>
                    <a:lumOff val="35000"/>
                  </a:schemeClr>
                </a:solidFill>
                <a:round/>
              </a:ln>
              <a:effectLst/>
            </c:spPr>
          </c:errBars>
          <c:cat>
            <c:strRef>
              <c:f>'Pivot fig'!$B$30:$B$33</c:f>
              <c:strCache>
                <c:ptCount val="4"/>
                <c:pt idx="0">
                  <c:v>GIN</c:v>
                </c:pt>
                <c:pt idx="1">
                  <c:v>GW</c:v>
                </c:pt>
                <c:pt idx="2">
                  <c:v>ME</c:v>
                </c:pt>
                <c:pt idx="3">
                  <c:v>MO</c:v>
                </c:pt>
              </c:strCache>
            </c:strRef>
          </c:cat>
          <c:val>
            <c:numRef>
              <c:f>'Pivot fig'!$F$30:$F$33</c:f>
              <c:numCache>
                <c:formatCode>General</c:formatCode>
                <c:ptCount val="4"/>
                <c:pt idx="0">
                  <c:v>17</c:v>
                </c:pt>
                <c:pt idx="1">
                  <c:v>16.333333333333332</c:v>
                </c:pt>
                <c:pt idx="2">
                  <c:v>15</c:v>
                </c:pt>
                <c:pt idx="3">
                  <c:v>14.666666666666666</c:v>
                </c:pt>
              </c:numCache>
            </c:numRef>
          </c:val>
        </c:ser>
        <c:dLbls>
          <c:showLegendKey val="0"/>
          <c:showVal val="0"/>
          <c:showCatName val="0"/>
          <c:showSerName val="0"/>
          <c:showPercent val="0"/>
          <c:showBubbleSize val="0"/>
        </c:dLbls>
        <c:gapWidth val="219"/>
        <c:overlap val="-27"/>
        <c:axId val="200604688"/>
        <c:axId val="481297752"/>
      </c:barChart>
      <c:catAx>
        <c:axId val="200604688"/>
        <c:scaling>
          <c:orientation val="minMax"/>
        </c:scaling>
        <c:delete val="0"/>
        <c:axPos val="b"/>
        <c:numFmt formatCode="General" sourceLinked="1"/>
        <c:majorTickMark val="out"/>
        <c:minorTickMark val="none"/>
        <c:tickLblPos val="nextTo"/>
        <c:spPr>
          <a:noFill/>
          <a:ln w="9525" cap="flat" cmpd="sng" algn="ctr">
            <a:solidFill>
              <a:sysClr val="window" lastClr="FFFFFF">
                <a:lumMod val="50000"/>
              </a:sysClr>
            </a:solidFill>
            <a:round/>
          </a:ln>
          <a:effectLst/>
        </c:spPr>
        <c:txPr>
          <a:bodyPr rot="-60000000" vert="horz"/>
          <a:lstStyle/>
          <a:p>
            <a:pPr>
              <a:defRPr/>
            </a:pPr>
            <a:endParaRPr lang="en-US"/>
          </a:p>
        </c:txPr>
        <c:crossAx val="481297752"/>
        <c:crosses val="autoZero"/>
        <c:auto val="1"/>
        <c:lblAlgn val="ctr"/>
        <c:lblOffset val="100"/>
        <c:noMultiLvlLbl val="0"/>
      </c:catAx>
      <c:valAx>
        <c:axId val="481297752"/>
        <c:scaling>
          <c:orientation val="minMax"/>
        </c:scaling>
        <c:delete val="0"/>
        <c:axPos val="l"/>
        <c:title>
          <c:tx>
            <c:rich>
              <a:bodyPr rot="-5400000" vert="horz"/>
              <a:lstStyle/>
              <a:p>
                <a:pPr>
                  <a:defRPr/>
                </a:pPr>
                <a:r>
                  <a:rPr lang="en-AU"/>
                  <a:t>Richness ± SD</a:t>
                </a:r>
              </a:p>
            </c:rich>
          </c:tx>
          <c:layout/>
          <c:overlay val="0"/>
          <c:spPr>
            <a:noFill/>
            <a:ln>
              <a:noFill/>
            </a:ln>
            <a:effectLst/>
          </c:spPr>
        </c:title>
        <c:numFmt formatCode="0" sourceLinked="0"/>
        <c:majorTickMark val="out"/>
        <c:minorTickMark val="none"/>
        <c:tickLblPos val="nextTo"/>
        <c:spPr>
          <a:noFill/>
          <a:ln>
            <a:solidFill>
              <a:sysClr val="window" lastClr="FFFFFF">
                <a:lumMod val="50000"/>
              </a:sysClr>
            </a:solidFill>
          </a:ln>
          <a:effectLst/>
        </c:spPr>
        <c:txPr>
          <a:bodyPr rot="-60000000" vert="horz"/>
          <a:lstStyle/>
          <a:p>
            <a:pPr>
              <a:defRPr/>
            </a:pPr>
            <a:endParaRPr lang="en-US"/>
          </a:p>
        </c:txPr>
        <c:crossAx val="200604688"/>
        <c:crosses val="autoZero"/>
        <c:crossBetween val="between"/>
      </c:valAx>
      <c:spPr>
        <a:noFill/>
        <a:ln>
          <a:noFill/>
        </a:ln>
        <a:effectLst/>
      </c:spPr>
    </c:plotArea>
    <c:legend>
      <c:legendPos val="b"/>
      <c:layout>
        <c:manualLayout>
          <c:xMode val="edge"/>
          <c:yMode val="edge"/>
          <c:x val="0.56583618724095597"/>
          <c:y val="4.1579560553689887E-2"/>
          <c:w val="0.41084195659598821"/>
          <c:h val="9.242437049444456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b="0">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vert="horz"/>
          <a:lstStyle/>
          <a:p>
            <a:pPr>
              <a:defRPr sz="1000"/>
            </a:pPr>
            <a:r>
              <a:rPr lang="en-AU" sz="1000"/>
              <a:t>(b) Pelagic</a:t>
            </a:r>
          </a:p>
        </c:rich>
      </c:tx>
      <c:layout>
        <c:manualLayout>
          <c:xMode val="edge"/>
          <c:yMode val="edge"/>
          <c:x val="4.0539088534214569E-2"/>
          <c:y val="4.4491655011274804E-3"/>
        </c:manualLayout>
      </c:layout>
      <c:overlay val="1"/>
      <c:spPr>
        <a:noFill/>
        <a:ln>
          <a:noFill/>
        </a:ln>
        <a:effectLst/>
      </c:spPr>
    </c:title>
    <c:autoTitleDeleted val="0"/>
    <c:plotArea>
      <c:layout>
        <c:manualLayout>
          <c:layoutTarget val="inner"/>
          <c:xMode val="edge"/>
          <c:yMode val="edge"/>
          <c:x val="0.16137197930263616"/>
          <c:y val="0.14356520427178607"/>
          <c:w val="0.79636812993177009"/>
          <c:h val="0.75953302315719085"/>
        </c:manualLayout>
      </c:layout>
      <c:barChart>
        <c:barDir val="col"/>
        <c:grouping val="clustered"/>
        <c:varyColors val="0"/>
        <c:ser>
          <c:idx val="0"/>
          <c:order val="0"/>
          <c:tx>
            <c:strRef>
              <c:f>'Pivot fig'!$C$29</c:f>
              <c:strCache>
                <c:ptCount val="1"/>
                <c:pt idx="0">
                  <c:v>T1</c:v>
                </c:pt>
              </c:strCache>
            </c:strRef>
          </c:tx>
          <c:spPr>
            <a:solidFill>
              <a:schemeClr val="accent1">
                <a:tint val="58000"/>
              </a:schemeClr>
            </a:solidFill>
            <a:ln>
              <a:noFill/>
            </a:ln>
            <a:effectLst/>
          </c:spPr>
          <c:invertIfNegative val="0"/>
          <c:errBars>
            <c:errBarType val="plus"/>
            <c:errValType val="cust"/>
            <c:noEndCap val="0"/>
            <c:plus>
              <c:numRef>
                <c:f>'Pivot fig'!$C$63:$C$66</c:f>
                <c:numCache>
                  <c:formatCode>General</c:formatCode>
                  <c:ptCount val="4"/>
                  <c:pt idx="0">
                    <c:v>6.3639610306789276</c:v>
                  </c:pt>
                  <c:pt idx="1">
                    <c:v>3.4641016151377544</c:v>
                  </c:pt>
                  <c:pt idx="2">
                    <c:v>2</c:v>
                  </c:pt>
                  <c:pt idx="3">
                    <c:v>1.7320508075688772</c:v>
                  </c:pt>
                </c:numCache>
              </c:numRef>
            </c:plus>
            <c:minus>
              <c:numRef>
                <c:f>'Pivot fig'!$C$63:$C$66</c:f>
                <c:numCache>
                  <c:formatCode>General</c:formatCode>
                  <c:ptCount val="4"/>
                  <c:pt idx="0">
                    <c:v>6.3639610306789276</c:v>
                  </c:pt>
                  <c:pt idx="1">
                    <c:v>3.4641016151377544</c:v>
                  </c:pt>
                  <c:pt idx="2">
                    <c:v>2</c:v>
                  </c:pt>
                  <c:pt idx="3">
                    <c:v>1.7320508075688772</c:v>
                  </c:pt>
                </c:numCache>
              </c:numRef>
            </c:minus>
            <c:spPr>
              <a:noFill/>
              <a:ln w="9525" cap="flat" cmpd="sng" algn="ctr">
                <a:solidFill>
                  <a:schemeClr val="tx1">
                    <a:lumMod val="65000"/>
                    <a:lumOff val="35000"/>
                  </a:schemeClr>
                </a:solidFill>
                <a:round/>
              </a:ln>
              <a:effectLst/>
            </c:spPr>
          </c:errBars>
          <c:cat>
            <c:strRef>
              <c:f>'Pivot fig'!$B$52:$B$55</c:f>
              <c:strCache>
                <c:ptCount val="4"/>
                <c:pt idx="0">
                  <c:v>GIN</c:v>
                </c:pt>
                <c:pt idx="1">
                  <c:v>GW</c:v>
                </c:pt>
                <c:pt idx="2">
                  <c:v>ME</c:v>
                </c:pt>
                <c:pt idx="3">
                  <c:v>MO</c:v>
                </c:pt>
              </c:strCache>
            </c:strRef>
          </c:cat>
          <c:val>
            <c:numRef>
              <c:f>'Pivot fig'!$C$52:$C$55</c:f>
              <c:numCache>
                <c:formatCode>General</c:formatCode>
                <c:ptCount val="4"/>
                <c:pt idx="0">
                  <c:v>8.5</c:v>
                </c:pt>
                <c:pt idx="1">
                  <c:v>11</c:v>
                </c:pt>
                <c:pt idx="2">
                  <c:v>12</c:v>
                </c:pt>
                <c:pt idx="3">
                  <c:v>11</c:v>
                </c:pt>
              </c:numCache>
            </c:numRef>
          </c:val>
        </c:ser>
        <c:ser>
          <c:idx val="1"/>
          <c:order val="1"/>
          <c:tx>
            <c:strRef>
              <c:f>'Pivot fig'!$D$29</c:f>
              <c:strCache>
                <c:ptCount val="1"/>
                <c:pt idx="0">
                  <c:v>T2</c:v>
                </c:pt>
              </c:strCache>
            </c:strRef>
          </c:tx>
          <c:spPr>
            <a:solidFill>
              <a:schemeClr val="accent1">
                <a:tint val="86000"/>
              </a:schemeClr>
            </a:solidFill>
            <a:ln>
              <a:noFill/>
            </a:ln>
            <a:effectLst/>
          </c:spPr>
          <c:invertIfNegative val="0"/>
          <c:errBars>
            <c:errBarType val="plus"/>
            <c:errValType val="cust"/>
            <c:noEndCap val="0"/>
            <c:plus>
              <c:numRef>
                <c:f>'Pivot fig'!$D$63:$D$66</c:f>
                <c:numCache>
                  <c:formatCode>General</c:formatCode>
                  <c:ptCount val="4"/>
                  <c:pt idx="0">
                    <c:v>2.1213203435596424</c:v>
                  </c:pt>
                  <c:pt idx="1">
                    <c:v>3.7859388972001797</c:v>
                  </c:pt>
                  <c:pt idx="2">
                    <c:v>2</c:v>
                  </c:pt>
                  <c:pt idx="3">
                    <c:v>1.7320508075688772</c:v>
                  </c:pt>
                </c:numCache>
              </c:numRef>
            </c:plus>
            <c:minus>
              <c:numRef>
                <c:f>'Pivot fig'!$D$63:$D$66</c:f>
                <c:numCache>
                  <c:formatCode>General</c:formatCode>
                  <c:ptCount val="4"/>
                  <c:pt idx="0">
                    <c:v>2.1213203435596424</c:v>
                  </c:pt>
                  <c:pt idx="1">
                    <c:v>3.7859388972001797</c:v>
                  </c:pt>
                  <c:pt idx="2">
                    <c:v>2</c:v>
                  </c:pt>
                  <c:pt idx="3">
                    <c:v>1.7320508075688772</c:v>
                  </c:pt>
                </c:numCache>
              </c:numRef>
            </c:minus>
            <c:spPr>
              <a:noFill/>
              <a:ln w="9525" cap="flat" cmpd="sng" algn="ctr">
                <a:solidFill>
                  <a:schemeClr val="tx1">
                    <a:lumMod val="65000"/>
                    <a:lumOff val="35000"/>
                  </a:schemeClr>
                </a:solidFill>
                <a:round/>
              </a:ln>
              <a:effectLst/>
            </c:spPr>
          </c:errBars>
          <c:cat>
            <c:strRef>
              <c:f>'Pivot fig'!$B$52:$B$55</c:f>
              <c:strCache>
                <c:ptCount val="4"/>
                <c:pt idx="0">
                  <c:v>GIN</c:v>
                </c:pt>
                <c:pt idx="1">
                  <c:v>GW</c:v>
                </c:pt>
                <c:pt idx="2">
                  <c:v>ME</c:v>
                </c:pt>
                <c:pt idx="3">
                  <c:v>MO</c:v>
                </c:pt>
              </c:strCache>
            </c:strRef>
          </c:cat>
          <c:val>
            <c:numRef>
              <c:f>'Pivot fig'!$D$52:$D$55</c:f>
              <c:numCache>
                <c:formatCode>General</c:formatCode>
                <c:ptCount val="4"/>
                <c:pt idx="0">
                  <c:v>13.5</c:v>
                </c:pt>
                <c:pt idx="1">
                  <c:v>14.666666666666666</c:v>
                </c:pt>
                <c:pt idx="2">
                  <c:v>19</c:v>
                </c:pt>
                <c:pt idx="3">
                  <c:v>15</c:v>
                </c:pt>
              </c:numCache>
            </c:numRef>
          </c:val>
        </c:ser>
        <c:ser>
          <c:idx val="2"/>
          <c:order val="2"/>
          <c:tx>
            <c:strRef>
              <c:f>'Pivot fig'!$E$29</c:f>
              <c:strCache>
                <c:ptCount val="1"/>
                <c:pt idx="0">
                  <c:v>T3</c:v>
                </c:pt>
              </c:strCache>
            </c:strRef>
          </c:tx>
          <c:spPr>
            <a:solidFill>
              <a:schemeClr val="accent1">
                <a:shade val="86000"/>
              </a:schemeClr>
            </a:solidFill>
            <a:ln>
              <a:noFill/>
            </a:ln>
            <a:effectLst/>
          </c:spPr>
          <c:invertIfNegative val="0"/>
          <c:errBars>
            <c:errBarType val="plus"/>
            <c:errValType val="cust"/>
            <c:noEndCap val="0"/>
            <c:plus>
              <c:numRef>
                <c:f>'Pivot fig'!$E$63:$E$66</c:f>
                <c:numCache>
                  <c:formatCode>General</c:formatCode>
                  <c:ptCount val="4"/>
                  <c:pt idx="0">
                    <c:v>2.8284271247461903</c:v>
                  </c:pt>
                  <c:pt idx="1">
                    <c:v>1</c:v>
                  </c:pt>
                  <c:pt idx="2">
                    <c:v>0.5773502691896093</c:v>
                  </c:pt>
                  <c:pt idx="3">
                    <c:v>1.5275252316519405</c:v>
                  </c:pt>
                </c:numCache>
              </c:numRef>
            </c:plus>
            <c:minus>
              <c:numRef>
                <c:f>'Pivot fig'!$E$63:$E$66</c:f>
                <c:numCache>
                  <c:formatCode>General</c:formatCode>
                  <c:ptCount val="4"/>
                  <c:pt idx="0">
                    <c:v>2.8284271247461903</c:v>
                  </c:pt>
                  <c:pt idx="1">
                    <c:v>1</c:v>
                  </c:pt>
                  <c:pt idx="2">
                    <c:v>0.5773502691896093</c:v>
                  </c:pt>
                  <c:pt idx="3">
                    <c:v>1.5275252316519405</c:v>
                  </c:pt>
                </c:numCache>
              </c:numRef>
            </c:minus>
            <c:spPr>
              <a:noFill/>
              <a:ln w="9525" cap="flat" cmpd="sng" algn="ctr">
                <a:solidFill>
                  <a:schemeClr val="tx1">
                    <a:lumMod val="65000"/>
                    <a:lumOff val="35000"/>
                  </a:schemeClr>
                </a:solidFill>
                <a:round/>
              </a:ln>
              <a:effectLst/>
            </c:spPr>
          </c:errBars>
          <c:cat>
            <c:strRef>
              <c:f>'Pivot fig'!$B$52:$B$55</c:f>
              <c:strCache>
                <c:ptCount val="4"/>
                <c:pt idx="0">
                  <c:v>GIN</c:v>
                </c:pt>
                <c:pt idx="1">
                  <c:v>GW</c:v>
                </c:pt>
                <c:pt idx="2">
                  <c:v>ME</c:v>
                </c:pt>
                <c:pt idx="3">
                  <c:v>MO</c:v>
                </c:pt>
              </c:strCache>
            </c:strRef>
          </c:cat>
          <c:val>
            <c:numRef>
              <c:f>'Pivot fig'!$E$52:$E$55</c:f>
              <c:numCache>
                <c:formatCode>General</c:formatCode>
                <c:ptCount val="4"/>
                <c:pt idx="0">
                  <c:v>16</c:v>
                </c:pt>
                <c:pt idx="1">
                  <c:v>15</c:v>
                </c:pt>
                <c:pt idx="2">
                  <c:v>14.333333333333334</c:v>
                </c:pt>
                <c:pt idx="3">
                  <c:v>13.333333333333334</c:v>
                </c:pt>
              </c:numCache>
            </c:numRef>
          </c:val>
        </c:ser>
        <c:ser>
          <c:idx val="3"/>
          <c:order val="3"/>
          <c:tx>
            <c:strRef>
              <c:f>'Pivot fig'!$F$29</c:f>
              <c:strCache>
                <c:ptCount val="1"/>
                <c:pt idx="0">
                  <c:v>T4</c:v>
                </c:pt>
              </c:strCache>
            </c:strRef>
          </c:tx>
          <c:spPr>
            <a:solidFill>
              <a:schemeClr val="accent1">
                <a:shade val="58000"/>
              </a:schemeClr>
            </a:solidFill>
            <a:ln>
              <a:noFill/>
            </a:ln>
            <a:effectLst/>
          </c:spPr>
          <c:invertIfNegative val="0"/>
          <c:errBars>
            <c:errBarType val="plus"/>
            <c:errValType val="cust"/>
            <c:noEndCap val="0"/>
            <c:plus>
              <c:numRef>
                <c:f>'Pivot fig'!$F$63:$F$66</c:f>
                <c:numCache>
                  <c:formatCode>General</c:formatCode>
                  <c:ptCount val="4"/>
                  <c:pt idx="0">
                    <c:v>0</c:v>
                  </c:pt>
                  <c:pt idx="1">
                    <c:v>1.5275252316519405</c:v>
                  </c:pt>
                  <c:pt idx="2">
                    <c:v>5.7735026918962582</c:v>
                  </c:pt>
                  <c:pt idx="3">
                    <c:v>4.0414518843273779</c:v>
                  </c:pt>
                </c:numCache>
              </c:numRef>
            </c:plus>
            <c:minus>
              <c:numRef>
                <c:f>'Pivot fig'!$F$63:$F$66</c:f>
                <c:numCache>
                  <c:formatCode>General</c:formatCode>
                  <c:ptCount val="4"/>
                  <c:pt idx="0">
                    <c:v>0</c:v>
                  </c:pt>
                  <c:pt idx="1">
                    <c:v>1.5275252316519405</c:v>
                  </c:pt>
                  <c:pt idx="2">
                    <c:v>5.7735026918962582</c:v>
                  </c:pt>
                  <c:pt idx="3">
                    <c:v>4.0414518843273779</c:v>
                  </c:pt>
                </c:numCache>
              </c:numRef>
            </c:minus>
            <c:spPr>
              <a:noFill/>
              <a:ln w="9525" cap="flat" cmpd="sng" algn="ctr">
                <a:solidFill>
                  <a:schemeClr val="tx1">
                    <a:lumMod val="65000"/>
                    <a:lumOff val="35000"/>
                  </a:schemeClr>
                </a:solidFill>
                <a:round/>
              </a:ln>
              <a:effectLst/>
            </c:spPr>
          </c:errBars>
          <c:cat>
            <c:strRef>
              <c:f>'Pivot fig'!$B$52:$B$55</c:f>
              <c:strCache>
                <c:ptCount val="4"/>
                <c:pt idx="0">
                  <c:v>GIN</c:v>
                </c:pt>
                <c:pt idx="1">
                  <c:v>GW</c:v>
                </c:pt>
                <c:pt idx="2">
                  <c:v>ME</c:v>
                </c:pt>
                <c:pt idx="3">
                  <c:v>MO</c:v>
                </c:pt>
              </c:strCache>
            </c:strRef>
          </c:cat>
          <c:val>
            <c:numRef>
              <c:f>'Pivot fig'!$F$52:$F$55</c:f>
              <c:numCache>
                <c:formatCode>General</c:formatCode>
                <c:ptCount val="4"/>
                <c:pt idx="0">
                  <c:v>13</c:v>
                </c:pt>
                <c:pt idx="1">
                  <c:v>13.666666666666666</c:v>
                </c:pt>
                <c:pt idx="2">
                  <c:v>10.666666666666666</c:v>
                </c:pt>
                <c:pt idx="3">
                  <c:v>14.666666666666666</c:v>
                </c:pt>
              </c:numCache>
            </c:numRef>
          </c:val>
        </c:ser>
        <c:dLbls>
          <c:showLegendKey val="0"/>
          <c:showVal val="0"/>
          <c:showCatName val="0"/>
          <c:showSerName val="0"/>
          <c:showPercent val="0"/>
          <c:showBubbleSize val="0"/>
        </c:dLbls>
        <c:gapWidth val="219"/>
        <c:overlap val="-27"/>
        <c:axId val="200603120"/>
        <c:axId val="200603512"/>
      </c:barChart>
      <c:catAx>
        <c:axId val="200603120"/>
        <c:scaling>
          <c:orientation val="minMax"/>
        </c:scaling>
        <c:delete val="0"/>
        <c:axPos val="b"/>
        <c:numFmt formatCode="General" sourceLinked="1"/>
        <c:majorTickMark val="out"/>
        <c:minorTickMark val="none"/>
        <c:tickLblPos val="nextTo"/>
        <c:spPr>
          <a:noFill/>
          <a:ln w="9525" cap="flat" cmpd="sng" algn="ctr">
            <a:solidFill>
              <a:sysClr val="window" lastClr="FFFFFF">
                <a:lumMod val="50000"/>
              </a:sysClr>
            </a:solidFill>
            <a:round/>
          </a:ln>
          <a:effectLst/>
        </c:spPr>
        <c:txPr>
          <a:bodyPr rot="-60000000" vert="horz"/>
          <a:lstStyle/>
          <a:p>
            <a:pPr>
              <a:defRPr/>
            </a:pPr>
            <a:endParaRPr lang="en-US"/>
          </a:p>
        </c:txPr>
        <c:crossAx val="200603512"/>
        <c:crosses val="autoZero"/>
        <c:auto val="1"/>
        <c:lblAlgn val="ctr"/>
        <c:lblOffset val="100"/>
        <c:noMultiLvlLbl val="0"/>
      </c:catAx>
      <c:valAx>
        <c:axId val="200603512"/>
        <c:scaling>
          <c:orientation val="minMax"/>
        </c:scaling>
        <c:delete val="0"/>
        <c:axPos val="l"/>
        <c:title>
          <c:tx>
            <c:rich>
              <a:bodyPr rot="-5400000" vert="horz"/>
              <a:lstStyle/>
              <a:p>
                <a:pPr>
                  <a:defRPr/>
                </a:pPr>
                <a:r>
                  <a:rPr lang="en-AU"/>
                  <a:t>Richness ± SD</a:t>
                </a:r>
              </a:p>
            </c:rich>
          </c:tx>
          <c:layout/>
          <c:overlay val="0"/>
          <c:spPr>
            <a:noFill/>
            <a:ln>
              <a:noFill/>
            </a:ln>
            <a:effectLst/>
          </c:spPr>
        </c:title>
        <c:numFmt formatCode="0" sourceLinked="0"/>
        <c:majorTickMark val="out"/>
        <c:minorTickMark val="none"/>
        <c:tickLblPos val="nextTo"/>
        <c:spPr>
          <a:noFill/>
          <a:ln>
            <a:solidFill>
              <a:sysClr val="window" lastClr="FFFFFF">
                <a:lumMod val="50000"/>
              </a:sysClr>
            </a:solidFill>
          </a:ln>
          <a:effectLst/>
        </c:spPr>
        <c:txPr>
          <a:bodyPr rot="-60000000" vert="horz"/>
          <a:lstStyle/>
          <a:p>
            <a:pPr>
              <a:defRPr/>
            </a:pPr>
            <a:endParaRPr lang="en-US"/>
          </a:p>
        </c:txPr>
        <c:crossAx val="200603120"/>
        <c:crosses val="autoZero"/>
        <c:crossBetween val="between"/>
      </c:valAx>
      <c:spPr>
        <a:noFill/>
        <a:ln>
          <a:noFill/>
        </a:ln>
        <a:effectLst/>
      </c:spPr>
    </c:plotArea>
    <c:legend>
      <c:legendPos val="b"/>
      <c:layout>
        <c:manualLayout>
          <c:xMode val="edge"/>
          <c:yMode val="edge"/>
          <c:x val="0.49159815749877689"/>
          <c:y val="4.1579560553689887E-2"/>
          <c:w val="0.42973922515254176"/>
          <c:h val="0.10164865640653765"/>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b="0">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AU" sz="1000"/>
              <a:t>(a) Benthic</a:t>
            </a:r>
          </a:p>
        </c:rich>
      </c:tx>
      <c:layout>
        <c:manualLayout>
          <c:xMode val="edge"/>
          <c:yMode val="edge"/>
          <c:x val="3.1066322189178406E-2"/>
          <c:y val="2.1893475436782522E-2"/>
        </c:manualLayout>
      </c:layout>
      <c:overlay val="1"/>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7441826620987447"/>
          <c:y val="0.13542607477337562"/>
          <c:w val="0.79636826218640477"/>
          <c:h val="0.76363545839353064"/>
        </c:manualLayout>
      </c:layout>
      <c:barChart>
        <c:barDir val="col"/>
        <c:grouping val="clustered"/>
        <c:varyColors val="0"/>
        <c:ser>
          <c:idx val="0"/>
          <c:order val="0"/>
          <c:tx>
            <c:strRef>
              <c:f>'[LTIM Gwydir 2015-16 Micro figures to Mark.xlsx]Pivot micro'!$K$29</c:f>
              <c:strCache>
                <c:ptCount val="1"/>
                <c:pt idx="0">
                  <c:v>T1</c:v>
                </c:pt>
              </c:strCache>
            </c:strRef>
          </c:tx>
          <c:spPr>
            <a:solidFill>
              <a:schemeClr val="accent1">
                <a:tint val="58000"/>
              </a:schemeClr>
            </a:solidFill>
            <a:ln>
              <a:noFill/>
            </a:ln>
            <a:effectLst/>
          </c:spPr>
          <c:invertIfNegative val="0"/>
          <c:errBars>
            <c:errBarType val="plus"/>
            <c:errValType val="cust"/>
            <c:noEndCap val="0"/>
            <c:plus>
              <c:numRef>
                <c:f>'[LTIM Gwydir 2015-16 Micro figures to Mark.xlsx]Pivot micro'!$K$39:$K$42</c:f>
                <c:numCache>
                  <c:formatCode>General</c:formatCode>
                  <c:ptCount val="4"/>
                  <c:pt idx="0">
                    <c:v>0.10534608520940673</c:v>
                  </c:pt>
                  <c:pt idx="1">
                    <c:v>0.43637391325001201</c:v>
                  </c:pt>
                  <c:pt idx="2">
                    <c:v>0.37122213997083542</c:v>
                  </c:pt>
                  <c:pt idx="3">
                    <c:v>0.45719364828406356</c:v>
                  </c:pt>
                </c:numCache>
              </c:numRef>
            </c:plus>
            <c:minus>
              <c:numRef>
                <c:f>'[LTIM Gwydir 2015-16 Micro figures to Mark.xlsx]Pivot micro'!$K$39:$K$42</c:f>
                <c:numCache>
                  <c:formatCode>General</c:formatCode>
                  <c:ptCount val="4"/>
                  <c:pt idx="0">
                    <c:v>0.10534608520940673</c:v>
                  </c:pt>
                  <c:pt idx="1">
                    <c:v>0.43637391325001201</c:v>
                  </c:pt>
                  <c:pt idx="2">
                    <c:v>0.37122213997083542</c:v>
                  </c:pt>
                  <c:pt idx="3">
                    <c:v>0.45719364828406356</c:v>
                  </c:pt>
                </c:numCache>
              </c:numRef>
            </c:minus>
            <c:spPr>
              <a:noFill/>
              <a:ln w="9525" cap="flat" cmpd="sng" algn="ctr">
                <a:solidFill>
                  <a:schemeClr val="tx1">
                    <a:lumMod val="65000"/>
                    <a:lumOff val="35000"/>
                  </a:schemeClr>
                </a:solidFill>
                <a:round/>
              </a:ln>
              <a:effectLst/>
            </c:spPr>
          </c:errBars>
          <c:cat>
            <c:strRef>
              <c:f>'[LTIM Gwydir 2015-16 Micro figures to Mark.xlsx]Pivot micro'!$B$30:$B$33</c:f>
              <c:strCache>
                <c:ptCount val="4"/>
                <c:pt idx="0">
                  <c:v>GIN</c:v>
                </c:pt>
                <c:pt idx="1">
                  <c:v>GW</c:v>
                </c:pt>
                <c:pt idx="2">
                  <c:v>ME</c:v>
                </c:pt>
                <c:pt idx="3">
                  <c:v>MO</c:v>
                </c:pt>
              </c:strCache>
            </c:strRef>
          </c:cat>
          <c:val>
            <c:numRef>
              <c:f>'[LTIM Gwydir 2015-16 Micro figures to Mark.xlsx]Pivot micro'!$K$30:$K$33</c:f>
              <c:numCache>
                <c:formatCode>General</c:formatCode>
                <c:ptCount val="4"/>
                <c:pt idx="0">
                  <c:v>0.44168322700066348</c:v>
                </c:pt>
                <c:pt idx="1">
                  <c:v>1.1515903623750696</c:v>
                </c:pt>
                <c:pt idx="2">
                  <c:v>1.5666583388975763</c:v>
                </c:pt>
                <c:pt idx="3">
                  <c:v>1.7126330185394834</c:v>
                </c:pt>
              </c:numCache>
            </c:numRef>
          </c:val>
        </c:ser>
        <c:ser>
          <c:idx val="1"/>
          <c:order val="1"/>
          <c:tx>
            <c:strRef>
              <c:f>'[LTIM Gwydir 2015-16 Micro figures to Mark.xlsx]Pivot micro'!$L$29</c:f>
              <c:strCache>
                <c:ptCount val="1"/>
                <c:pt idx="0">
                  <c:v>T2</c:v>
                </c:pt>
              </c:strCache>
            </c:strRef>
          </c:tx>
          <c:spPr>
            <a:solidFill>
              <a:schemeClr val="accent1">
                <a:tint val="86000"/>
              </a:schemeClr>
            </a:solidFill>
            <a:ln>
              <a:noFill/>
            </a:ln>
            <a:effectLst/>
          </c:spPr>
          <c:invertIfNegative val="0"/>
          <c:errBars>
            <c:errBarType val="plus"/>
            <c:errValType val="cust"/>
            <c:noEndCap val="0"/>
            <c:plus>
              <c:numRef>
                <c:f>'[LTIM Gwydir 2015-16 Micro figures to Mark.xlsx]Pivot micro'!$L$39:$L$42</c:f>
                <c:numCache>
                  <c:formatCode>General</c:formatCode>
                  <c:ptCount val="4"/>
                  <c:pt idx="0">
                    <c:v>0.28489746657057025</c:v>
                  </c:pt>
                  <c:pt idx="1">
                    <c:v>0.28642033331365924</c:v>
                  </c:pt>
                  <c:pt idx="2">
                    <c:v>0.62720633979377527</c:v>
                  </c:pt>
                  <c:pt idx="3">
                    <c:v>0.19044633142735959</c:v>
                  </c:pt>
                </c:numCache>
              </c:numRef>
            </c:plus>
            <c:minus>
              <c:numRef>
                <c:f>'[LTIM Gwydir 2015-16 Micro figures to Mark.xlsx]Pivot micro'!$L$39:$L$42</c:f>
                <c:numCache>
                  <c:formatCode>General</c:formatCode>
                  <c:ptCount val="4"/>
                  <c:pt idx="0">
                    <c:v>0.28489746657057025</c:v>
                  </c:pt>
                  <c:pt idx="1">
                    <c:v>0.28642033331365924</c:v>
                  </c:pt>
                  <c:pt idx="2">
                    <c:v>0.62720633979377527</c:v>
                  </c:pt>
                  <c:pt idx="3">
                    <c:v>0.19044633142735959</c:v>
                  </c:pt>
                </c:numCache>
              </c:numRef>
            </c:minus>
            <c:spPr>
              <a:noFill/>
              <a:ln w="9525" cap="flat" cmpd="sng" algn="ctr">
                <a:solidFill>
                  <a:schemeClr val="tx1">
                    <a:lumMod val="65000"/>
                    <a:lumOff val="35000"/>
                  </a:schemeClr>
                </a:solidFill>
                <a:round/>
              </a:ln>
              <a:effectLst/>
            </c:spPr>
          </c:errBars>
          <c:cat>
            <c:strRef>
              <c:f>'[LTIM Gwydir 2015-16 Micro figures to Mark.xlsx]Pivot micro'!$B$30:$B$33</c:f>
              <c:strCache>
                <c:ptCount val="4"/>
                <c:pt idx="0">
                  <c:v>GIN</c:v>
                </c:pt>
                <c:pt idx="1">
                  <c:v>GW</c:v>
                </c:pt>
                <c:pt idx="2">
                  <c:v>ME</c:v>
                </c:pt>
                <c:pt idx="3">
                  <c:v>MO</c:v>
                </c:pt>
              </c:strCache>
            </c:strRef>
          </c:cat>
          <c:val>
            <c:numRef>
              <c:f>'[LTIM Gwydir 2015-16 Micro figures to Mark.xlsx]Pivot micro'!$L$30:$L$33</c:f>
              <c:numCache>
                <c:formatCode>General</c:formatCode>
                <c:ptCount val="4"/>
                <c:pt idx="0">
                  <c:v>1.186279059583712</c:v>
                </c:pt>
                <c:pt idx="1">
                  <c:v>1.7945031376115932</c:v>
                </c:pt>
                <c:pt idx="2">
                  <c:v>1.7143016607342567</c:v>
                </c:pt>
                <c:pt idx="3">
                  <c:v>1.7897308869125634</c:v>
                </c:pt>
              </c:numCache>
            </c:numRef>
          </c:val>
        </c:ser>
        <c:ser>
          <c:idx val="2"/>
          <c:order val="2"/>
          <c:tx>
            <c:strRef>
              <c:f>'[LTIM Gwydir 2015-16 Micro figures to Mark.xlsx]Pivot micro'!$M$29</c:f>
              <c:strCache>
                <c:ptCount val="1"/>
                <c:pt idx="0">
                  <c:v>T3</c:v>
                </c:pt>
              </c:strCache>
            </c:strRef>
          </c:tx>
          <c:spPr>
            <a:solidFill>
              <a:schemeClr val="accent1">
                <a:shade val="86000"/>
              </a:schemeClr>
            </a:solidFill>
            <a:ln>
              <a:noFill/>
            </a:ln>
            <a:effectLst/>
          </c:spPr>
          <c:invertIfNegative val="0"/>
          <c:errBars>
            <c:errBarType val="plus"/>
            <c:errValType val="cust"/>
            <c:noEndCap val="0"/>
            <c:plus>
              <c:numRef>
                <c:f>'[LTIM Gwydir 2015-16 Micro figures to Mark.xlsx]Pivot micro'!$M$39:$M$42</c:f>
                <c:numCache>
                  <c:formatCode>General</c:formatCode>
                  <c:ptCount val="4"/>
                  <c:pt idx="0">
                    <c:v>3.9457188608676884E-2</c:v>
                  </c:pt>
                  <c:pt idx="1">
                    <c:v>0.29761971478814886</c:v>
                  </c:pt>
                  <c:pt idx="2">
                    <c:v>0.36171011111704637</c:v>
                  </c:pt>
                  <c:pt idx="3">
                    <c:v>0.22720327151647818</c:v>
                  </c:pt>
                </c:numCache>
              </c:numRef>
            </c:plus>
            <c:minus>
              <c:numRef>
                <c:f>'[LTIM Gwydir 2015-16 Micro figures to Mark.xlsx]Pivot micro'!$M$39:$M$42</c:f>
                <c:numCache>
                  <c:formatCode>General</c:formatCode>
                  <c:ptCount val="4"/>
                  <c:pt idx="0">
                    <c:v>3.9457188608676884E-2</c:v>
                  </c:pt>
                  <c:pt idx="1">
                    <c:v>0.29761971478814886</c:v>
                  </c:pt>
                  <c:pt idx="2">
                    <c:v>0.36171011111704637</c:v>
                  </c:pt>
                  <c:pt idx="3">
                    <c:v>0.22720327151647818</c:v>
                  </c:pt>
                </c:numCache>
              </c:numRef>
            </c:minus>
            <c:spPr>
              <a:noFill/>
              <a:ln w="9525" cap="flat" cmpd="sng" algn="ctr">
                <a:solidFill>
                  <a:schemeClr val="tx1">
                    <a:lumMod val="65000"/>
                    <a:lumOff val="35000"/>
                  </a:schemeClr>
                </a:solidFill>
                <a:round/>
              </a:ln>
              <a:effectLst/>
            </c:spPr>
          </c:errBars>
          <c:cat>
            <c:strRef>
              <c:f>'[LTIM Gwydir 2015-16 Micro figures to Mark.xlsx]Pivot micro'!$B$30:$B$33</c:f>
              <c:strCache>
                <c:ptCount val="4"/>
                <c:pt idx="0">
                  <c:v>GIN</c:v>
                </c:pt>
                <c:pt idx="1">
                  <c:v>GW</c:v>
                </c:pt>
                <c:pt idx="2">
                  <c:v>ME</c:v>
                </c:pt>
                <c:pt idx="3">
                  <c:v>MO</c:v>
                </c:pt>
              </c:strCache>
            </c:strRef>
          </c:cat>
          <c:val>
            <c:numRef>
              <c:f>'[LTIM Gwydir 2015-16 Micro figures to Mark.xlsx]Pivot micro'!$M$30:$M$33</c:f>
              <c:numCache>
                <c:formatCode>General</c:formatCode>
                <c:ptCount val="4"/>
                <c:pt idx="0">
                  <c:v>1.4941830447785249</c:v>
                </c:pt>
                <c:pt idx="1">
                  <c:v>1.8039812878000436</c:v>
                </c:pt>
                <c:pt idx="2">
                  <c:v>1.7966965100896199</c:v>
                </c:pt>
                <c:pt idx="3">
                  <c:v>1.6615745103818567</c:v>
                </c:pt>
              </c:numCache>
            </c:numRef>
          </c:val>
        </c:ser>
        <c:ser>
          <c:idx val="3"/>
          <c:order val="3"/>
          <c:tx>
            <c:strRef>
              <c:f>'[LTIM Gwydir 2015-16 Micro figures to Mark.xlsx]Pivot micro'!$N$29</c:f>
              <c:strCache>
                <c:ptCount val="1"/>
                <c:pt idx="0">
                  <c:v>T4</c:v>
                </c:pt>
              </c:strCache>
            </c:strRef>
          </c:tx>
          <c:spPr>
            <a:solidFill>
              <a:schemeClr val="accent1">
                <a:shade val="58000"/>
              </a:schemeClr>
            </a:solidFill>
            <a:ln>
              <a:noFill/>
            </a:ln>
            <a:effectLst/>
          </c:spPr>
          <c:invertIfNegative val="0"/>
          <c:errBars>
            <c:errBarType val="plus"/>
            <c:errValType val="cust"/>
            <c:noEndCap val="0"/>
            <c:plus>
              <c:numRef>
                <c:f>'[LTIM Gwydir 2015-16 Micro figures to Mark.xlsx]Pivot micro'!$N$39:$N$42</c:f>
                <c:numCache>
                  <c:formatCode>General</c:formatCode>
                  <c:ptCount val="4"/>
                  <c:pt idx="0">
                    <c:v>0</c:v>
                  </c:pt>
                  <c:pt idx="1">
                    <c:v>0.36351171329030152</c:v>
                  </c:pt>
                  <c:pt idx="2">
                    <c:v>0.33308092901400455</c:v>
                  </c:pt>
                  <c:pt idx="3">
                    <c:v>0.46533648316065374</c:v>
                  </c:pt>
                </c:numCache>
              </c:numRef>
            </c:plus>
            <c:minus>
              <c:numRef>
                <c:f>'[LTIM Gwydir 2015-16 Micro figures to Mark.xlsx]Pivot micro'!$N$39:$N$42</c:f>
                <c:numCache>
                  <c:formatCode>General</c:formatCode>
                  <c:ptCount val="4"/>
                  <c:pt idx="0">
                    <c:v>0</c:v>
                  </c:pt>
                  <c:pt idx="1">
                    <c:v>0.36351171329030152</c:v>
                  </c:pt>
                  <c:pt idx="2">
                    <c:v>0.33308092901400455</c:v>
                  </c:pt>
                  <c:pt idx="3">
                    <c:v>0.46533648316065374</c:v>
                  </c:pt>
                </c:numCache>
              </c:numRef>
            </c:minus>
            <c:spPr>
              <a:noFill/>
              <a:ln w="9525" cap="flat" cmpd="sng" algn="ctr">
                <a:solidFill>
                  <a:schemeClr val="tx1">
                    <a:lumMod val="65000"/>
                    <a:lumOff val="35000"/>
                  </a:schemeClr>
                </a:solidFill>
                <a:round/>
              </a:ln>
              <a:effectLst/>
            </c:spPr>
          </c:errBars>
          <c:cat>
            <c:strRef>
              <c:f>'[LTIM Gwydir 2015-16 Micro figures to Mark.xlsx]Pivot micro'!$B$30:$B$33</c:f>
              <c:strCache>
                <c:ptCount val="4"/>
                <c:pt idx="0">
                  <c:v>GIN</c:v>
                </c:pt>
                <c:pt idx="1">
                  <c:v>GW</c:v>
                </c:pt>
                <c:pt idx="2">
                  <c:v>ME</c:v>
                </c:pt>
                <c:pt idx="3">
                  <c:v>MO</c:v>
                </c:pt>
              </c:strCache>
            </c:strRef>
          </c:cat>
          <c:val>
            <c:numRef>
              <c:f>'[LTIM Gwydir 2015-16 Micro figures to Mark.xlsx]Pivot micro'!$N$30:$N$33</c:f>
              <c:numCache>
                <c:formatCode>General</c:formatCode>
                <c:ptCount val="4"/>
                <c:pt idx="0">
                  <c:v>1.69066325219584</c:v>
                </c:pt>
                <c:pt idx="1">
                  <c:v>1.9304599117628534</c:v>
                </c:pt>
                <c:pt idx="2">
                  <c:v>1.5467766278681134</c:v>
                </c:pt>
                <c:pt idx="3">
                  <c:v>1.4956897992282607</c:v>
                </c:pt>
              </c:numCache>
            </c:numRef>
          </c:val>
        </c:ser>
        <c:dLbls>
          <c:showLegendKey val="0"/>
          <c:showVal val="0"/>
          <c:showCatName val="0"/>
          <c:showSerName val="0"/>
          <c:showPercent val="0"/>
          <c:showBubbleSize val="0"/>
        </c:dLbls>
        <c:gapWidth val="219"/>
        <c:overlap val="-27"/>
        <c:axId val="481260888"/>
        <c:axId val="481261280"/>
      </c:barChart>
      <c:catAx>
        <c:axId val="481260888"/>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81261280"/>
        <c:crosses val="autoZero"/>
        <c:auto val="1"/>
        <c:lblAlgn val="ctr"/>
        <c:lblOffset val="100"/>
        <c:noMultiLvlLbl val="0"/>
      </c:catAx>
      <c:valAx>
        <c:axId val="48126128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Diversity ± SD</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81260888"/>
        <c:crosses val="autoZero"/>
        <c:crossBetween val="between"/>
      </c:valAx>
      <c:spPr>
        <a:noFill/>
        <a:ln>
          <a:noFill/>
        </a:ln>
        <a:effectLst/>
      </c:spPr>
    </c:plotArea>
    <c:legend>
      <c:legendPos val="b"/>
      <c:layout>
        <c:manualLayout>
          <c:xMode val="edge"/>
          <c:yMode val="edge"/>
          <c:x val="0.57260187624131953"/>
          <c:y val="3.1198314662881587E-3"/>
          <c:w val="0.3960408889407373"/>
          <c:h val="0.1171692699251754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AU" sz="1000"/>
              <a:t>(b) Pelagic</a:t>
            </a:r>
          </a:p>
        </c:rich>
      </c:tx>
      <c:layout>
        <c:manualLayout>
          <c:xMode val="edge"/>
          <c:yMode val="edge"/>
          <c:x val="2.8501265527976903E-2"/>
          <c:y val="2.1134421134421138E-2"/>
        </c:manualLayout>
      </c:layout>
      <c:overlay val="1"/>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6137197930263616"/>
          <c:y val="0.14651853106821638"/>
          <c:w val="0.79636812993177009"/>
          <c:h val="0.7324678047497265"/>
        </c:manualLayout>
      </c:layout>
      <c:barChart>
        <c:barDir val="col"/>
        <c:grouping val="clustered"/>
        <c:varyColors val="0"/>
        <c:ser>
          <c:idx val="0"/>
          <c:order val="0"/>
          <c:tx>
            <c:strRef>
              <c:f>'[LTIM Gwydir 2015-16 Micro figures to Mark.xlsx]Pivot micro'!$K$29</c:f>
              <c:strCache>
                <c:ptCount val="1"/>
                <c:pt idx="0">
                  <c:v>T1</c:v>
                </c:pt>
              </c:strCache>
            </c:strRef>
          </c:tx>
          <c:spPr>
            <a:solidFill>
              <a:schemeClr val="accent1">
                <a:tint val="58000"/>
              </a:schemeClr>
            </a:solidFill>
            <a:ln>
              <a:noFill/>
            </a:ln>
            <a:effectLst/>
          </c:spPr>
          <c:invertIfNegative val="0"/>
          <c:errBars>
            <c:errBarType val="plus"/>
            <c:errValType val="cust"/>
            <c:noEndCap val="0"/>
            <c:plus>
              <c:numRef>
                <c:f>'[LTIM Gwydir 2015-16 Micro figures to Mark.xlsx]Pivot micro'!$K$63:$K$66</c:f>
                <c:numCache>
                  <c:formatCode>General</c:formatCode>
                  <c:ptCount val="4"/>
                  <c:pt idx="0">
                    <c:v>1.9116253614330505</c:v>
                  </c:pt>
                  <c:pt idx="1">
                    <c:v>0.64948971319034587</c:v>
                  </c:pt>
                  <c:pt idx="2">
                    <c:v>1.0749292205069145</c:v>
                  </c:pt>
                  <c:pt idx="3">
                    <c:v>0.33141823518963215</c:v>
                  </c:pt>
                </c:numCache>
              </c:numRef>
            </c:plus>
            <c:minus>
              <c:numRef>
                <c:f>'[LTIM Gwydir 2015-16 Micro figures to Mark.xlsx]Pivot micro'!$K$63:$K$66</c:f>
                <c:numCache>
                  <c:formatCode>General</c:formatCode>
                  <c:ptCount val="4"/>
                  <c:pt idx="0">
                    <c:v>1.9116253614330505</c:v>
                  </c:pt>
                  <c:pt idx="1">
                    <c:v>0.64948971319034587</c:v>
                  </c:pt>
                  <c:pt idx="2">
                    <c:v>1.0749292205069145</c:v>
                  </c:pt>
                  <c:pt idx="3">
                    <c:v>0.33141823518963215</c:v>
                  </c:pt>
                </c:numCache>
              </c:numRef>
            </c:minus>
            <c:spPr>
              <a:noFill/>
              <a:ln w="9525" cap="flat" cmpd="sng" algn="ctr">
                <a:solidFill>
                  <a:schemeClr val="tx1">
                    <a:lumMod val="65000"/>
                    <a:lumOff val="35000"/>
                  </a:schemeClr>
                </a:solidFill>
                <a:round/>
              </a:ln>
              <a:effectLst/>
            </c:spPr>
          </c:errBars>
          <c:cat>
            <c:strRef>
              <c:f>'[LTIM Gwydir 2015-16 Micro figures to Mark.xlsx]Pivot micro'!$B$52:$B$55</c:f>
              <c:strCache>
                <c:ptCount val="4"/>
                <c:pt idx="0">
                  <c:v>GIN</c:v>
                </c:pt>
                <c:pt idx="1">
                  <c:v>GW</c:v>
                </c:pt>
                <c:pt idx="2">
                  <c:v>ME</c:v>
                </c:pt>
                <c:pt idx="3">
                  <c:v>MO</c:v>
                </c:pt>
              </c:strCache>
            </c:strRef>
          </c:cat>
          <c:val>
            <c:numRef>
              <c:f>'[LTIM Gwydir 2015-16 Micro figures to Mark.xlsx]Pivot micro'!$K$52:$K$55</c:f>
              <c:numCache>
                <c:formatCode>General</c:formatCode>
                <c:ptCount val="4"/>
                <c:pt idx="0">
                  <c:v>2.1764459893849755</c:v>
                </c:pt>
                <c:pt idx="1">
                  <c:v>3.9295425238226804</c:v>
                </c:pt>
                <c:pt idx="2">
                  <c:v>2.4425361837467232</c:v>
                </c:pt>
                <c:pt idx="3">
                  <c:v>1.69908024310702</c:v>
                </c:pt>
              </c:numCache>
            </c:numRef>
          </c:val>
        </c:ser>
        <c:ser>
          <c:idx val="1"/>
          <c:order val="1"/>
          <c:tx>
            <c:strRef>
              <c:f>'[LTIM Gwydir 2015-16 Micro figures to Mark.xlsx]Pivot micro'!$L$29</c:f>
              <c:strCache>
                <c:ptCount val="1"/>
                <c:pt idx="0">
                  <c:v>T2</c:v>
                </c:pt>
              </c:strCache>
            </c:strRef>
          </c:tx>
          <c:spPr>
            <a:solidFill>
              <a:schemeClr val="accent1">
                <a:tint val="86000"/>
              </a:schemeClr>
            </a:solidFill>
            <a:ln>
              <a:noFill/>
            </a:ln>
            <a:effectLst/>
          </c:spPr>
          <c:invertIfNegative val="0"/>
          <c:errBars>
            <c:errBarType val="plus"/>
            <c:errValType val="cust"/>
            <c:noEndCap val="0"/>
            <c:plus>
              <c:numRef>
                <c:f>'[LTIM Gwydir 2015-16 Micro figures to Mark.xlsx]Pivot micro'!$L$63:$L$66</c:f>
                <c:numCache>
                  <c:formatCode>General</c:formatCode>
                  <c:ptCount val="4"/>
                  <c:pt idx="0">
                    <c:v>0.23473075174762098</c:v>
                  </c:pt>
                  <c:pt idx="1">
                    <c:v>0.78305232527350166</c:v>
                  </c:pt>
                  <c:pt idx="2">
                    <c:v>0.84211793668744683</c:v>
                  </c:pt>
                  <c:pt idx="3">
                    <c:v>0.51981879780623264</c:v>
                  </c:pt>
                </c:numCache>
              </c:numRef>
            </c:plus>
            <c:minus>
              <c:numRef>
                <c:f>'[LTIM Gwydir 2015-16 Micro figures to Mark.xlsx]Pivot micro'!$L$63:$L$66</c:f>
                <c:numCache>
                  <c:formatCode>General</c:formatCode>
                  <c:ptCount val="4"/>
                  <c:pt idx="0">
                    <c:v>0.23473075174762098</c:v>
                  </c:pt>
                  <c:pt idx="1">
                    <c:v>0.78305232527350166</c:v>
                  </c:pt>
                  <c:pt idx="2">
                    <c:v>0.84211793668744683</c:v>
                  </c:pt>
                  <c:pt idx="3">
                    <c:v>0.51981879780623264</c:v>
                  </c:pt>
                </c:numCache>
              </c:numRef>
            </c:minus>
            <c:spPr>
              <a:noFill/>
              <a:ln w="9525" cap="flat" cmpd="sng" algn="ctr">
                <a:solidFill>
                  <a:schemeClr val="tx1">
                    <a:lumMod val="65000"/>
                    <a:lumOff val="35000"/>
                  </a:schemeClr>
                </a:solidFill>
                <a:round/>
              </a:ln>
              <a:effectLst/>
            </c:spPr>
          </c:errBars>
          <c:cat>
            <c:strRef>
              <c:f>'[LTIM Gwydir 2015-16 Micro figures to Mark.xlsx]Pivot micro'!$B$52:$B$55</c:f>
              <c:strCache>
                <c:ptCount val="4"/>
                <c:pt idx="0">
                  <c:v>GIN</c:v>
                </c:pt>
                <c:pt idx="1">
                  <c:v>GW</c:v>
                </c:pt>
                <c:pt idx="2">
                  <c:v>ME</c:v>
                </c:pt>
                <c:pt idx="3">
                  <c:v>MO</c:v>
                </c:pt>
              </c:strCache>
            </c:strRef>
          </c:cat>
          <c:val>
            <c:numRef>
              <c:f>'[LTIM Gwydir 2015-16 Micro figures to Mark.xlsx]Pivot micro'!$L$52:$L$55</c:f>
              <c:numCache>
                <c:formatCode>General</c:formatCode>
                <c:ptCount val="4"/>
                <c:pt idx="0">
                  <c:v>2.5547377101368149</c:v>
                </c:pt>
                <c:pt idx="1">
                  <c:v>4.4931198734202269</c:v>
                </c:pt>
                <c:pt idx="2">
                  <c:v>5.1697148688832799</c:v>
                </c:pt>
                <c:pt idx="3">
                  <c:v>3.2188523882924236</c:v>
                </c:pt>
              </c:numCache>
            </c:numRef>
          </c:val>
        </c:ser>
        <c:ser>
          <c:idx val="2"/>
          <c:order val="2"/>
          <c:tx>
            <c:strRef>
              <c:f>'[LTIM Gwydir 2015-16 Micro figures to Mark.xlsx]Pivot micro'!$M$29</c:f>
              <c:strCache>
                <c:ptCount val="1"/>
                <c:pt idx="0">
                  <c:v>T3</c:v>
                </c:pt>
              </c:strCache>
            </c:strRef>
          </c:tx>
          <c:spPr>
            <a:solidFill>
              <a:schemeClr val="accent1">
                <a:shade val="86000"/>
              </a:schemeClr>
            </a:solidFill>
            <a:ln>
              <a:noFill/>
            </a:ln>
            <a:effectLst/>
          </c:spPr>
          <c:invertIfNegative val="0"/>
          <c:errBars>
            <c:errBarType val="plus"/>
            <c:errValType val="cust"/>
            <c:noEndCap val="0"/>
            <c:plus>
              <c:numRef>
                <c:f>'[LTIM Gwydir 2015-16 Micro figures to Mark.xlsx]Pivot micro'!$M$63:$M$66</c:f>
                <c:numCache>
                  <c:formatCode>General</c:formatCode>
                  <c:ptCount val="4"/>
                  <c:pt idx="0">
                    <c:v>0.47539724343041639</c:v>
                  </c:pt>
                  <c:pt idx="1">
                    <c:v>0.10200622796478635</c:v>
                  </c:pt>
                  <c:pt idx="2">
                    <c:v>0.25950517754476593</c:v>
                  </c:pt>
                  <c:pt idx="3">
                    <c:v>0.87329296391987976</c:v>
                  </c:pt>
                </c:numCache>
              </c:numRef>
            </c:plus>
            <c:minus>
              <c:numRef>
                <c:f>'[LTIM Gwydir 2015-16 Micro figures to Mark.xlsx]Pivot micro'!$M$63:$M$66</c:f>
                <c:numCache>
                  <c:formatCode>General</c:formatCode>
                  <c:ptCount val="4"/>
                  <c:pt idx="0">
                    <c:v>0.47539724343041639</c:v>
                  </c:pt>
                  <c:pt idx="1">
                    <c:v>0.10200622796478635</c:v>
                  </c:pt>
                  <c:pt idx="2">
                    <c:v>0.25950517754476593</c:v>
                  </c:pt>
                  <c:pt idx="3">
                    <c:v>0.87329296391987976</c:v>
                  </c:pt>
                </c:numCache>
              </c:numRef>
            </c:minus>
            <c:spPr>
              <a:noFill/>
              <a:ln w="9525" cap="flat" cmpd="sng" algn="ctr">
                <a:solidFill>
                  <a:schemeClr val="tx1">
                    <a:lumMod val="65000"/>
                    <a:lumOff val="35000"/>
                  </a:schemeClr>
                </a:solidFill>
                <a:round/>
              </a:ln>
              <a:effectLst/>
            </c:spPr>
          </c:errBars>
          <c:cat>
            <c:strRef>
              <c:f>'[LTIM Gwydir 2015-16 Micro figures to Mark.xlsx]Pivot micro'!$B$52:$B$55</c:f>
              <c:strCache>
                <c:ptCount val="4"/>
                <c:pt idx="0">
                  <c:v>GIN</c:v>
                </c:pt>
                <c:pt idx="1">
                  <c:v>GW</c:v>
                </c:pt>
                <c:pt idx="2">
                  <c:v>ME</c:v>
                </c:pt>
                <c:pt idx="3">
                  <c:v>MO</c:v>
                </c:pt>
              </c:strCache>
            </c:strRef>
          </c:cat>
          <c:val>
            <c:numRef>
              <c:f>'[LTIM Gwydir 2015-16 Micro figures to Mark.xlsx]Pivot micro'!$M$52:$M$55</c:f>
              <c:numCache>
                <c:formatCode>General</c:formatCode>
                <c:ptCount val="4"/>
                <c:pt idx="0">
                  <c:v>1.9483841805506801</c:v>
                </c:pt>
                <c:pt idx="1">
                  <c:v>2.3615339821444032</c:v>
                </c:pt>
                <c:pt idx="2">
                  <c:v>2.1349475389720034</c:v>
                </c:pt>
                <c:pt idx="3">
                  <c:v>2.4597063513681801</c:v>
                </c:pt>
              </c:numCache>
            </c:numRef>
          </c:val>
        </c:ser>
        <c:ser>
          <c:idx val="3"/>
          <c:order val="3"/>
          <c:tx>
            <c:strRef>
              <c:f>'[LTIM Gwydir 2015-16 Micro figures to Mark.xlsx]Pivot micro'!$N$29</c:f>
              <c:strCache>
                <c:ptCount val="1"/>
                <c:pt idx="0">
                  <c:v>T4</c:v>
                </c:pt>
              </c:strCache>
            </c:strRef>
          </c:tx>
          <c:spPr>
            <a:solidFill>
              <a:schemeClr val="accent1">
                <a:shade val="58000"/>
              </a:schemeClr>
            </a:solidFill>
            <a:ln>
              <a:noFill/>
            </a:ln>
            <a:effectLst/>
          </c:spPr>
          <c:invertIfNegative val="0"/>
          <c:errBars>
            <c:errBarType val="plus"/>
            <c:errValType val="cust"/>
            <c:noEndCap val="0"/>
            <c:plus>
              <c:numRef>
                <c:f>'[LTIM Gwydir 2015-16 Micro figures to Mark.xlsx]Pivot micro'!$N$63:$N$66</c:f>
                <c:numCache>
                  <c:formatCode>General</c:formatCode>
                  <c:ptCount val="4"/>
                  <c:pt idx="0">
                    <c:v>0</c:v>
                  </c:pt>
                  <c:pt idx="1">
                    <c:v>0.51872731448603404</c:v>
                  </c:pt>
                  <c:pt idx="2">
                    <c:v>0.89767554873979027</c:v>
                  </c:pt>
                  <c:pt idx="3">
                    <c:v>0.65370716047650934</c:v>
                  </c:pt>
                </c:numCache>
              </c:numRef>
            </c:plus>
            <c:minus>
              <c:numRef>
                <c:f>'[LTIM Gwydir 2015-16 Micro figures to Mark.xlsx]Pivot micro'!$N$63:$N$66</c:f>
                <c:numCache>
                  <c:formatCode>General</c:formatCode>
                  <c:ptCount val="4"/>
                  <c:pt idx="0">
                    <c:v>0</c:v>
                  </c:pt>
                  <c:pt idx="1">
                    <c:v>0.51872731448603404</c:v>
                  </c:pt>
                  <c:pt idx="2">
                    <c:v>0.89767554873979027</c:v>
                  </c:pt>
                  <c:pt idx="3">
                    <c:v>0.65370716047650934</c:v>
                  </c:pt>
                </c:numCache>
              </c:numRef>
            </c:minus>
            <c:spPr>
              <a:noFill/>
              <a:ln w="9525" cap="flat" cmpd="sng" algn="ctr">
                <a:solidFill>
                  <a:schemeClr val="tx1">
                    <a:lumMod val="65000"/>
                    <a:lumOff val="35000"/>
                  </a:schemeClr>
                </a:solidFill>
                <a:round/>
              </a:ln>
              <a:effectLst/>
            </c:spPr>
          </c:errBars>
          <c:cat>
            <c:strRef>
              <c:f>'[LTIM Gwydir 2015-16 Micro figures to Mark.xlsx]Pivot micro'!$B$52:$B$55</c:f>
              <c:strCache>
                <c:ptCount val="4"/>
                <c:pt idx="0">
                  <c:v>GIN</c:v>
                </c:pt>
                <c:pt idx="1">
                  <c:v>GW</c:v>
                </c:pt>
                <c:pt idx="2">
                  <c:v>ME</c:v>
                </c:pt>
                <c:pt idx="3">
                  <c:v>MO</c:v>
                </c:pt>
              </c:strCache>
            </c:strRef>
          </c:cat>
          <c:val>
            <c:numRef>
              <c:f>'[LTIM Gwydir 2015-16 Micro figures to Mark.xlsx]Pivot micro'!$N$52:$N$55</c:f>
              <c:numCache>
                <c:formatCode>General</c:formatCode>
                <c:ptCount val="4"/>
                <c:pt idx="0">
                  <c:v>1.4702890509218201</c:v>
                </c:pt>
                <c:pt idx="1">
                  <c:v>2.2192218308069731</c:v>
                </c:pt>
                <c:pt idx="2">
                  <c:v>1.457835301506055</c:v>
                </c:pt>
                <c:pt idx="3">
                  <c:v>2.6791337595146465</c:v>
                </c:pt>
              </c:numCache>
            </c:numRef>
          </c:val>
        </c:ser>
        <c:dLbls>
          <c:showLegendKey val="0"/>
          <c:showVal val="0"/>
          <c:showCatName val="0"/>
          <c:showSerName val="0"/>
          <c:showPercent val="0"/>
          <c:showBubbleSize val="0"/>
        </c:dLbls>
        <c:gapWidth val="219"/>
        <c:overlap val="-27"/>
        <c:axId val="401190312"/>
        <c:axId val="401190704"/>
      </c:barChart>
      <c:catAx>
        <c:axId val="401190312"/>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01190704"/>
        <c:crosses val="autoZero"/>
        <c:auto val="1"/>
        <c:lblAlgn val="ctr"/>
        <c:lblOffset val="100"/>
        <c:noMultiLvlLbl val="0"/>
      </c:catAx>
      <c:valAx>
        <c:axId val="40119070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Diversity ± SD</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01190312"/>
        <c:crosses val="autoZero"/>
        <c:crossBetween val="between"/>
      </c:valAx>
      <c:spPr>
        <a:noFill/>
        <a:ln>
          <a:noFill/>
        </a:ln>
        <a:effectLst/>
      </c:spPr>
    </c:plotArea>
    <c:legend>
      <c:legendPos val="b"/>
      <c:layout>
        <c:manualLayout>
          <c:xMode val="edge"/>
          <c:yMode val="edge"/>
          <c:x val="0.53941528839995478"/>
          <c:y val="3.1266626713107749E-3"/>
          <c:w val="0.42971781637343182"/>
          <c:h val="0.1013470052840131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595521608845216"/>
          <c:y val="5.6737577130816869E-2"/>
          <c:w val="0.81408111452008558"/>
          <c:h val="0.82940874733420711"/>
        </c:manualLayout>
      </c:layout>
      <c:barChart>
        <c:barDir val="col"/>
        <c:grouping val="clustered"/>
        <c:varyColors val="0"/>
        <c:ser>
          <c:idx val="0"/>
          <c:order val="0"/>
          <c:tx>
            <c:strRef>
              <c:f>'pivot fig'!$G$6</c:f>
              <c:strCache>
                <c:ptCount val="1"/>
                <c:pt idx="0">
                  <c:v>T1</c:v>
                </c:pt>
              </c:strCache>
            </c:strRef>
          </c:tx>
          <c:spPr>
            <a:solidFill>
              <a:schemeClr val="accent1">
                <a:tint val="58000"/>
              </a:schemeClr>
            </a:solidFill>
            <a:ln>
              <a:noFill/>
            </a:ln>
            <a:effectLst/>
          </c:spPr>
          <c:invertIfNegative val="0"/>
          <c:errBars>
            <c:errBarType val="plus"/>
            <c:errValType val="cust"/>
            <c:noEndCap val="0"/>
            <c:plus>
              <c:numRef>
                <c:f>'pivot fig'!$G$16:$G$20</c:f>
                <c:numCache>
                  <c:formatCode>General</c:formatCode>
                  <c:ptCount val="5"/>
                  <c:pt idx="0">
                    <c:v>300.86043275911175</c:v>
                  </c:pt>
                  <c:pt idx="1">
                    <c:v>395.50444582414832</c:v>
                  </c:pt>
                  <c:pt idx="3">
                    <c:v>147.39855268398443</c:v>
                  </c:pt>
                  <c:pt idx="4">
                    <c:v>125.82660026136499</c:v>
                  </c:pt>
                </c:numCache>
                <c:extLst/>
              </c:numRef>
            </c:plus>
            <c:minus>
              <c:numRef>
                <c:f>'pivot fig'!$G$16:$G$20</c:f>
                <c:numCache>
                  <c:formatCode>General</c:formatCode>
                  <c:ptCount val="5"/>
                  <c:pt idx="0">
                    <c:v>300.86043275911175</c:v>
                  </c:pt>
                  <c:pt idx="1">
                    <c:v>395.50444582414832</c:v>
                  </c:pt>
                  <c:pt idx="3">
                    <c:v>147.39855268398443</c:v>
                  </c:pt>
                  <c:pt idx="4">
                    <c:v>125.82660026136499</c:v>
                  </c:pt>
                </c:numCache>
                <c:extLst/>
              </c:numRef>
            </c:minus>
            <c:spPr>
              <a:noFill/>
              <a:ln w="9525" cap="flat" cmpd="sng" algn="ctr">
                <a:solidFill>
                  <a:schemeClr val="tx1">
                    <a:lumMod val="65000"/>
                    <a:lumOff val="35000"/>
                  </a:schemeClr>
                </a:solidFill>
                <a:round/>
              </a:ln>
              <a:effectLst/>
            </c:spPr>
          </c:errBars>
          <c:cat>
            <c:strRef>
              <c:f>'pivot fig'!$A$22:$A$26</c:f>
              <c:strCache>
                <c:ptCount val="5"/>
                <c:pt idx="0">
                  <c:v>Gingham </c:v>
                </c:pt>
                <c:pt idx="1">
                  <c:v>Gwydir</c:v>
                </c:pt>
                <c:pt idx="2">
                  <c:v>Mallowa</c:v>
                </c:pt>
                <c:pt idx="3">
                  <c:v>Mehi</c:v>
                </c:pt>
                <c:pt idx="4">
                  <c:v>Moomin</c:v>
                </c:pt>
              </c:strCache>
              <c:extLst/>
            </c:strRef>
          </c:cat>
          <c:val>
            <c:numRef>
              <c:f>'pivot fig'!$G$7:$G$11</c:f>
              <c:numCache>
                <c:formatCode>0.00</c:formatCode>
                <c:ptCount val="5"/>
                <c:pt idx="0">
                  <c:v>239</c:v>
                </c:pt>
                <c:pt idx="1">
                  <c:v>305.16666666666669</c:v>
                </c:pt>
                <c:pt idx="3">
                  <c:v>148.66666666666666</c:v>
                </c:pt>
                <c:pt idx="4">
                  <c:v>179.66666666666666</c:v>
                </c:pt>
              </c:numCache>
              <c:extLst/>
            </c:numRef>
          </c:val>
        </c:ser>
        <c:ser>
          <c:idx val="1"/>
          <c:order val="1"/>
          <c:tx>
            <c:strRef>
              <c:f>'pivot fig'!$H$6</c:f>
              <c:strCache>
                <c:ptCount val="1"/>
                <c:pt idx="0">
                  <c:v>T2</c:v>
                </c:pt>
              </c:strCache>
            </c:strRef>
          </c:tx>
          <c:spPr>
            <a:solidFill>
              <a:schemeClr val="accent1">
                <a:tint val="86000"/>
              </a:schemeClr>
            </a:solidFill>
            <a:ln>
              <a:noFill/>
            </a:ln>
            <a:effectLst/>
          </c:spPr>
          <c:invertIfNegative val="0"/>
          <c:errBars>
            <c:errBarType val="plus"/>
            <c:errValType val="cust"/>
            <c:noEndCap val="0"/>
            <c:plus>
              <c:numRef>
                <c:f>'pivot fig'!$H$16:$H$20</c:f>
                <c:numCache>
                  <c:formatCode>General</c:formatCode>
                  <c:ptCount val="5"/>
                  <c:pt idx="0">
                    <c:v>52.538874496255964</c:v>
                  </c:pt>
                  <c:pt idx="1">
                    <c:v>72.939472623996053</c:v>
                  </c:pt>
                  <c:pt idx="2">
                    <c:v>28.711205710198467</c:v>
                  </c:pt>
                  <c:pt idx="3">
                    <c:v>105.88830593287125</c:v>
                  </c:pt>
                  <c:pt idx="4">
                    <c:v>54.63820397243429</c:v>
                  </c:pt>
                </c:numCache>
                <c:extLst/>
              </c:numRef>
            </c:plus>
            <c:minus>
              <c:numRef>
                <c:f>'pivot fig'!$H$16:$H$20</c:f>
                <c:numCache>
                  <c:formatCode>General</c:formatCode>
                  <c:ptCount val="5"/>
                  <c:pt idx="0">
                    <c:v>52.538874496255964</c:v>
                  </c:pt>
                  <c:pt idx="1">
                    <c:v>72.939472623996053</c:v>
                  </c:pt>
                  <c:pt idx="2">
                    <c:v>28.711205710198467</c:v>
                  </c:pt>
                  <c:pt idx="3">
                    <c:v>105.88830593287125</c:v>
                  </c:pt>
                  <c:pt idx="4">
                    <c:v>54.63820397243429</c:v>
                  </c:pt>
                </c:numCache>
                <c:extLst/>
              </c:numRef>
            </c:minus>
            <c:spPr>
              <a:noFill/>
              <a:ln w="9525" cap="flat" cmpd="sng" algn="ctr">
                <a:solidFill>
                  <a:schemeClr val="tx1">
                    <a:lumMod val="65000"/>
                    <a:lumOff val="35000"/>
                  </a:schemeClr>
                </a:solidFill>
                <a:round/>
              </a:ln>
              <a:effectLst/>
            </c:spPr>
          </c:errBars>
          <c:cat>
            <c:strRef>
              <c:f>'pivot fig'!$A$22:$A$26</c:f>
              <c:strCache>
                <c:ptCount val="5"/>
                <c:pt idx="0">
                  <c:v>Gingham </c:v>
                </c:pt>
                <c:pt idx="1">
                  <c:v>Gwydir</c:v>
                </c:pt>
                <c:pt idx="2">
                  <c:v>Mallowa</c:v>
                </c:pt>
                <c:pt idx="3">
                  <c:v>Mehi</c:v>
                </c:pt>
                <c:pt idx="4">
                  <c:v>Moomin</c:v>
                </c:pt>
              </c:strCache>
              <c:extLst/>
            </c:strRef>
          </c:cat>
          <c:val>
            <c:numRef>
              <c:f>'pivot fig'!$H$7:$H$11</c:f>
              <c:numCache>
                <c:formatCode>0.00</c:formatCode>
                <c:ptCount val="5"/>
                <c:pt idx="0">
                  <c:v>181.66666666666666</c:v>
                </c:pt>
                <c:pt idx="1">
                  <c:v>158.83333333333334</c:v>
                </c:pt>
                <c:pt idx="2">
                  <c:v>59.333333333333336</c:v>
                </c:pt>
                <c:pt idx="3">
                  <c:v>199.66666666666666</c:v>
                </c:pt>
                <c:pt idx="4">
                  <c:v>75.333333333333329</c:v>
                </c:pt>
              </c:numCache>
              <c:extLst/>
            </c:numRef>
          </c:val>
        </c:ser>
        <c:ser>
          <c:idx val="2"/>
          <c:order val="2"/>
          <c:tx>
            <c:strRef>
              <c:f>'pivot fig'!$I$6</c:f>
              <c:strCache>
                <c:ptCount val="1"/>
                <c:pt idx="0">
                  <c:v>T3</c:v>
                </c:pt>
              </c:strCache>
            </c:strRef>
          </c:tx>
          <c:spPr>
            <a:solidFill>
              <a:schemeClr val="accent1">
                <a:shade val="86000"/>
              </a:schemeClr>
            </a:solidFill>
            <a:ln>
              <a:noFill/>
            </a:ln>
            <a:effectLst/>
          </c:spPr>
          <c:invertIfNegative val="0"/>
          <c:errBars>
            <c:errBarType val="plus"/>
            <c:errValType val="cust"/>
            <c:noEndCap val="0"/>
            <c:plus>
              <c:numRef>
                <c:f>'pivot fig'!$I$16:$I$20</c:f>
                <c:numCache>
                  <c:formatCode>General</c:formatCode>
                  <c:ptCount val="5"/>
                  <c:pt idx="0">
                    <c:v>105.8741391149573</c:v>
                  </c:pt>
                  <c:pt idx="1">
                    <c:v>178.2239228236958</c:v>
                  </c:pt>
                  <c:pt idx="3">
                    <c:v>142.99067568668011</c:v>
                  </c:pt>
                  <c:pt idx="4">
                    <c:v>60.368313984517854</c:v>
                  </c:pt>
                </c:numCache>
                <c:extLst/>
              </c:numRef>
            </c:plus>
            <c:minus>
              <c:numRef>
                <c:f>'pivot fig'!$I$16:$I$20</c:f>
                <c:numCache>
                  <c:formatCode>General</c:formatCode>
                  <c:ptCount val="5"/>
                  <c:pt idx="0">
                    <c:v>105.8741391149573</c:v>
                  </c:pt>
                  <c:pt idx="1">
                    <c:v>178.2239228236958</c:v>
                  </c:pt>
                  <c:pt idx="3">
                    <c:v>142.99067568668011</c:v>
                  </c:pt>
                  <c:pt idx="4">
                    <c:v>60.368313984517854</c:v>
                  </c:pt>
                </c:numCache>
                <c:extLst/>
              </c:numRef>
            </c:minus>
            <c:spPr>
              <a:noFill/>
              <a:ln w="9525" cap="flat" cmpd="sng" algn="ctr">
                <a:solidFill>
                  <a:schemeClr val="tx1">
                    <a:lumMod val="65000"/>
                    <a:lumOff val="35000"/>
                  </a:schemeClr>
                </a:solidFill>
                <a:round/>
              </a:ln>
              <a:effectLst/>
            </c:spPr>
          </c:errBars>
          <c:cat>
            <c:strRef>
              <c:f>'pivot fig'!$A$22:$A$26</c:f>
              <c:strCache>
                <c:ptCount val="5"/>
                <c:pt idx="0">
                  <c:v>Gingham </c:v>
                </c:pt>
                <c:pt idx="1">
                  <c:v>Gwydir</c:v>
                </c:pt>
                <c:pt idx="2">
                  <c:v>Mallowa</c:v>
                </c:pt>
                <c:pt idx="3">
                  <c:v>Mehi</c:v>
                </c:pt>
                <c:pt idx="4">
                  <c:v>Moomin</c:v>
                </c:pt>
              </c:strCache>
              <c:extLst/>
            </c:strRef>
          </c:cat>
          <c:val>
            <c:numRef>
              <c:f>'pivot fig'!$I$7:$I$11</c:f>
              <c:numCache>
                <c:formatCode>0.00</c:formatCode>
                <c:ptCount val="5"/>
                <c:pt idx="0">
                  <c:v>117.33333333333333</c:v>
                </c:pt>
                <c:pt idx="1">
                  <c:v>352.16666666666669</c:v>
                </c:pt>
                <c:pt idx="3">
                  <c:v>233.33333333333334</c:v>
                </c:pt>
                <c:pt idx="4">
                  <c:v>81.333333333333329</c:v>
                </c:pt>
              </c:numCache>
              <c:extLst/>
            </c:numRef>
          </c:val>
        </c:ser>
        <c:ser>
          <c:idx val="3"/>
          <c:order val="3"/>
          <c:tx>
            <c:strRef>
              <c:f>'pivot fig'!$J$6</c:f>
              <c:strCache>
                <c:ptCount val="1"/>
                <c:pt idx="0">
                  <c:v>T4</c:v>
                </c:pt>
              </c:strCache>
            </c:strRef>
          </c:tx>
          <c:spPr>
            <a:solidFill>
              <a:schemeClr val="accent1">
                <a:shade val="58000"/>
              </a:schemeClr>
            </a:solidFill>
            <a:ln>
              <a:noFill/>
            </a:ln>
            <a:effectLst/>
          </c:spPr>
          <c:invertIfNegative val="0"/>
          <c:errBars>
            <c:errBarType val="plus"/>
            <c:errValType val="cust"/>
            <c:noEndCap val="0"/>
            <c:plus>
              <c:numRef>
                <c:f>'pivot fig'!$J$16:$J$20</c:f>
                <c:numCache>
                  <c:formatCode>General</c:formatCode>
                  <c:ptCount val="5"/>
                  <c:pt idx="0">
                    <c:v>1584.626296639053</c:v>
                  </c:pt>
                  <c:pt idx="1">
                    <c:v>569.54038487187188</c:v>
                  </c:pt>
                  <c:pt idx="3">
                    <c:v>70.632853545641211</c:v>
                  </c:pt>
                  <c:pt idx="4">
                    <c:v>45.181116999619825</c:v>
                  </c:pt>
                </c:numCache>
                <c:extLst/>
              </c:numRef>
            </c:plus>
            <c:minus>
              <c:numRef>
                <c:f>'pivot fig'!$J$16:$J$20</c:f>
                <c:numCache>
                  <c:formatCode>General</c:formatCode>
                  <c:ptCount val="5"/>
                  <c:pt idx="0">
                    <c:v>1584.626296639053</c:v>
                  </c:pt>
                  <c:pt idx="1">
                    <c:v>569.54038487187188</c:v>
                  </c:pt>
                  <c:pt idx="3">
                    <c:v>70.632853545641211</c:v>
                  </c:pt>
                  <c:pt idx="4">
                    <c:v>45.181116999619825</c:v>
                  </c:pt>
                </c:numCache>
                <c:extLst/>
              </c:numRef>
            </c:minus>
            <c:spPr>
              <a:noFill/>
              <a:ln w="9525" cap="flat" cmpd="sng" algn="ctr">
                <a:solidFill>
                  <a:schemeClr val="tx1">
                    <a:lumMod val="65000"/>
                    <a:lumOff val="35000"/>
                  </a:schemeClr>
                </a:solidFill>
                <a:round/>
              </a:ln>
              <a:effectLst/>
            </c:spPr>
          </c:errBars>
          <c:cat>
            <c:strRef>
              <c:f>'pivot fig'!$A$22:$A$26</c:f>
              <c:strCache>
                <c:ptCount val="5"/>
                <c:pt idx="0">
                  <c:v>Gingham </c:v>
                </c:pt>
                <c:pt idx="1">
                  <c:v>Gwydir</c:v>
                </c:pt>
                <c:pt idx="2">
                  <c:v>Mallowa</c:v>
                </c:pt>
                <c:pt idx="3">
                  <c:v>Mehi</c:v>
                </c:pt>
                <c:pt idx="4">
                  <c:v>Moomin</c:v>
                </c:pt>
              </c:strCache>
              <c:extLst/>
            </c:strRef>
          </c:cat>
          <c:val>
            <c:numRef>
              <c:f>'pivot fig'!$J$7:$J$11</c:f>
              <c:numCache>
                <c:formatCode>0.00</c:formatCode>
                <c:ptCount val="5"/>
                <c:pt idx="0">
                  <c:v>1214.5</c:v>
                </c:pt>
                <c:pt idx="1">
                  <c:v>783.25</c:v>
                </c:pt>
                <c:pt idx="3">
                  <c:v>187</c:v>
                </c:pt>
                <c:pt idx="4">
                  <c:v>166.66666666666666</c:v>
                </c:pt>
              </c:numCache>
              <c:extLst/>
            </c:numRef>
          </c:val>
        </c:ser>
        <c:dLbls>
          <c:showLegendKey val="0"/>
          <c:showVal val="0"/>
          <c:showCatName val="0"/>
          <c:showSerName val="0"/>
          <c:showPercent val="0"/>
          <c:showBubbleSize val="0"/>
        </c:dLbls>
        <c:gapWidth val="219"/>
        <c:overlap val="-27"/>
        <c:axId val="673148480"/>
        <c:axId val="673148872"/>
      </c:barChart>
      <c:catAx>
        <c:axId val="673148480"/>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73148872"/>
        <c:crosses val="autoZero"/>
        <c:auto val="1"/>
        <c:lblAlgn val="ctr"/>
        <c:lblOffset val="100"/>
        <c:noMultiLvlLbl val="0"/>
      </c:catAx>
      <c:valAx>
        <c:axId val="673148872"/>
        <c:scaling>
          <c:orientation val="minMax"/>
        </c:scaling>
        <c:delete val="0"/>
        <c:axPos val="l"/>
        <c:title>
          <c:tx>
            <c:rich>
              <a:bodyPr rot="-5400000" spcFirstLastPara="1" vertOverflow="ellipsis" vert="horz" wrap="square" anchor="ctr" anchorCtr="1"/>
              <a:lstStyle/>
              <a:p>
                <a:pPr algn="ctr" rtl="0">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Density ±SD</a:t>
                </a:r>
              </a:p>
            </c:rich>
          </c:tx>
          <c:layout>
            <c:manualLayout>
              <c:xMode val="edge"/>
              <c:yMode val="edge"/>
              <c:x val="1.4801211929045783E-2"/>
              <c:y val="0.3400316306615519"/>
            </c:manualLayout>
          </c:layout>
          <c:overlay val="0"/>
          <c:spPr>
            <a:noFill/>
            <a:ln>
              <a:noFill/>
            </a:ln>
            <a:effectLst/>
          </c:spPr>
          <c:txPr>
            <a:bodyPr rot="-5400000" spcFirstLastPara="1" vertOverflow="ellipsis" vert="horz" wrap="square" anchor="ctr" anchorCtr="1"/>
            <a:lstStyle/>
            <a:p>
              <a:pPr algn="ctr" rtl="0">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73148480"/>
        <c:crosses val="autoZero"/>
        <c:crossBetween val="between"/>
      </c:valAx>
      <c:spPr>
        <a:noFill/>
        <a:ln>
          <a:noFill/>
        </a:ln>
        <a:effectLst/>
      </c:spPr>
    </c:plotArea>
    <c:legend>
      <c:legendPos val="b"/>
      <c:layout>
        <c:manualLayout>
          <c:xMode val="edge"/>
          <c:yMode val="edge"/>
          <c:x val="0.63166062215778285"/>
          <c:y val="6.8706890914798993E-2"/>
          <c:w val="0.32063554615414624"/>
          <c:h val="8.704121048828839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AU" sz="1000"/>
              <a:t>(a)</a:t>
            </a:r>
          </a:p>
        </c:rich>
      </c:tx>
      <c:layout>
        <c:manualLayout>
          <c:xMode val="edge"/>
          <c:yMode val="edge"/>
          <c:x val="2.8364464605814193E-2"/>
          <c:y val="2.3958572722112305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4595521608845216"/>
          <c:y val="0.15890221191230766"/>
          <c:w val="0.81408111452008558"/>
          <c:h val="0.72724365885799536"/>
        </c:manualLayout>
      </c:layout>
      <c:barChart>
        <c:barDir val="col"/>
        <c:grouping val="clustered"/>
        <c:varyColors val="0"/>
        <c:ser>
          <c:idx val="0"/>
          <c:order val="0"/>
          <c:tx>
            <c:strRef>
              <c:f>'pivot fig'!$B$6</c:f>
              <c:strCache>
                <c:ptCount val="1"/>
                <c:pt idx="0">
                  <c:v>T1</c:v>
                </c:pt>
              </c:strCache>
            </c:strRef>
          </c:tx>
          <c:spPr>
            <a:solidFill>
              <a:schemeClr val="accent1">
                <a:tint val="58000"/>
              </a:schemeClr>
            </a:solidFill>
            <a:ln>
              <a:noFill/>
            </a:ln>
            <a:effectLst/>
          </c:spPr>
          <c:invertIfNegative val="0"/>
          <c:errBars>
            <c:errBarType val="plus"/>
            <c:errValType val="cust"/>
            <c:noEndCap val="0"/>
            <c:plus>
              <c:numRef>
                <c:f>'pivot fig'!$B$16:$B$20</c:f>
                <c:numCache>
                  <c:formatCode>General</c:formatCode>
                  <c:ptCount val="5"/>
                  <c:pt idx="0">
                    <c:v>4.0414518843273814</c:v>
                  </c:pt>
                  <c:pt idx="1">
                    <c:v>3.6560452221856714</c:v>
                  </c:pt>
                  <c:pt idx="3">
                    <c:v>4.932882862316248</c:v>
                  </c:pt>
                  <c:pt idx="4">
                    <c:v>6.0827625302982193</c:v>
                  </c:pt>
                </c:numCache>
                <c:extLst/>
              </c:numRef>
            </c:plus>
            <c:minus>
              <c:numRef>
                <c:f>'pivot fig'!$B$16:$B$20</c:f>
                <c:numCache>
                  <c:formatCode>General</c:formatCode>
                  <c:ptCount val="5"/>
                  <c:pt idx="0">
                    <c:v>4.0414518843273814</c:v>
                  </c:pt>
                  <c:pt idx="1">
                    <c:v>3.6560452221856714</c:v>
                  </c:pt>
                  <c:pt idx="3">
                    <c:v>4.932882862316248</c:v>
                  </c:pt>
                  <c:pt idx="4">
                    <c:v>6.0827625302982193</c:v>
                  </c:pt>
                </c:numCache>
                <c:extLst/>
              </c:numRef>
            </c:minus>
            <c:spPr>
              <a:noFill/>
              <a:ln w="9525" cap="flat" cmpd="sng" algn="ctr">
                <a:solidFill>
                  <a:schemeClr val="tx1">
                    <a:lumMod val="65000"/>
                    <a:lumOff val="35000"/>
                  </a:schemeClr>
                </a:solidFill>
                <a:round/>
              </a:ln>
              <a:effectLst/>
            </c:spPr>
          </c:errBars>
          <c:cat>
            <c:strRef>
              <c:f>'pivot fig'!$A$22:$A$26</c:f>
              <c:strCache>
                <c:ptCount val="5"/>
                <c:pt idx="0">
                  <c:v>Gingham </c:v>
                </c:pt>
                <c:pt idx="1">
                  <c:v>Gwydir</c:v>
                </c:pt>
                <c:pt idx="2">
                  <c:v>Mallowa</c:v>
                </c:pt>
                <c:pt idx="3">
                  <c:v>Mehi</c:v>
                </c:pt>
                <c:pt idx="4">
                  <c:v>Moomin</c:v>
                </c:pt>
              </c:strCache>
              <c:extLst/>
            </c:strRef>
          </c:cat>
          <c:val>
            <c:numRef>
              <c:f>'pivot fig'!$B$7:$B$11</c:f>
              <c:numCache>
                <c:formatCode>0.00</c:formatCode>
                <c:ptCount val="5"/>
                <c:pt idx="0">
                  <c:v>12.666666666666666</c:v>
                </c:pt>
                <c:pt idx="1">
                  <c:v>11.166666666666666</c:v>
                </c:pt>
                <c:pt idx="3">
                  <c:v>10.666666666666666</c:v>
                </c:pt>
                <c:pt idx="4">
                  <c:v>10</c:v>
                </c:pt>
              </c:numCache>
              <c:extLst/>
            </c:numRef>
          </c:val>
        </c:ser>
        <c:ser>
          <c:idx val="1"/>
          <c:order val="1"/>
          <c:tx>
            <c:strRef>
              <c:f>'pivot fig'!$C$6</c:f>
              <c:strCache>
                <c:ptCount val="1"/>
                <c:pt idx="0">
                  <c:v>T2</c:v>
                </c:pt>
              </c:strCache>
            </c:strRef>
          </c:tx>
          <c:spPr>
            <a:solidFill>
              <a:schemeClr val="accent1">
                <a:tint val="86000"/>
              </a:schemeClr>
            </a:solidFill>
            <a:ln>
              <a:noFill/>
            </a:ln>
            <a:effectLst/>
          </c:spPr>
          <c:invertIfNegative val="0"/>
          <c:errBars>
            <c:errBarType val="plus"/>
            <c:errValType val="cust"/>
            <c:noEndCap val="0"/>
            <c:plus>
              <c:numRef>
                <c:f>'pivot fig'!$C$16:$C$20</c:f>
                <c:numCache>
                  <c:formatCode>General</c:formatCode>
                  <c:ptCount val="5"/>
                  <c:pt idx="0">
                    <c:v>3.6055512754639891</c:v>
                  </c:pt>
                  <c:pt idx="1">
                    <c:v>1.5491933384829668</c:v>
                  </c:pt>
                  <c:pt idx="2">
                    <c:v>2.6457513110645907</c:v>
                  </c:pt>
                  <c:pt idx="3">
                    <c:v>1.7320508075688772</c:v>
                  </c:pt>
                  <c:pt idx="4">
                    <c:v>2.0816659994661348</c:v>
                  </c:pt>
                </c:numCache>
                <c:extLst/>
              </c:numRef>
            </c:plus>
            <c:minus>
              <c:numRef>
                <c:f>'pivot fig'!$C$16:$C$20</c:f>
                <c:numCache>
                  <c:formatCode>General</c:formatCode>
                  <c:ptCount val="5"/>
                  <c:pt idx="0">
                    <c:v>3.6055512754639891</c:v>
                  </c:pt>
                  <c:pt idx="1">
                    <c:v>1.5491933384829668</c:v>
                  </c:pt>
                  <c:pt idx="2">
                    <c:v>2.6457513110645907</c:v>
                  </c:pt>
                  <c:pt idx="3">
                    <c:v>1.7320508075688772</c:v>
                  </c:pt>
                  <c:pt idx="4">
                    <c:v>2.0816659994661348</c:v>
                  </c:pt>
                </c:numCache>
                <c:extLst/>
              </c:numRef>
            </c:minus>
            <c:spPr>
              <a:noFill/>
              <a:ln w="9525" cap="flat" cmpd="sng" algn="ctr">
                <a:solidFill>
                  <a:schemeClr val="tx1">
                    <a:lumMod val="65000"/>
                    <a:lumOff val="35000"/>
                  </a:schemeClr>
                </a:solidFill>
                <a:round/>
              </a:ln>
              <a:effectLst/>
            </c:spPr>
          </c:errBars>
          <c:cat>
            <c:strRef>
              <c:f>'pivot fig'!$A$22:$A$26</c:f>
              <c:strCache>
                <c:ptCount val="5"/>
                <c:pt idx="0">
                  <c:v>Gingham </c:v>
                </c:pt>
                <c:pt idx="1">
                  <c:v>Gwydir</c:v>
                </c:pt>
                <c:pt idx="2">
                  <c:v>Mallowa</c:v>
                </c:pt>
                <c:pt idx="3">
                  <c:v>Mehi</c:v>
                </c:pt>
                <c:pt idx="4">
                  <c:v>Moomin</c:v>
                </c:pt>
              </c:strCache>
              <c:extLst/>
            </c:strRef>
          </c:cat>
          <c:val>
            <c:numRef>
              <c:f>'pivot fig'!$C$7:$C$11</c:f>
              <c:numCache>
                <c:formatCode>0.00</c:formatCode>
                <c:ptCount val="5"/>
                <c:pt idx="0">
                  <c:v>15</c:v>
                </c:pt>
                <c:pt idx="1">
                  <c:v>9</c:v>
                </c:pt>
                <c:pt idx="2">
                  <c:v>8</c:v>
                </c:pt>
                <c:pt idx="3">
                  <c:v>11</c:v>
                </c:pt>
                <c:pt idx="4">
                  <c:v>10.666666666666666</c:v>
                </c:pt>
              </c:numCache>
              <c:extLst/>
            </c:numRef>
          </c:val>
        </c:ser>
        <c:ser>
          <c:idx val="2"/>
          <c:order val="2"/>
          <c:tx>
            <c:strRef>
              <c:f>'pivot fig'!$D$6</c:f>
              <c:strCache>
                <c:ptCount val="1"/>
                <c:pt idx="0">
                  <c:v>T3</c:v>
                </c:pt>
              </c:strCache>
            </c:strRef>
          </c:tx>
          <c:spPr>
            <a:solidFill>
              <a:schemeClr val="accent1">
                <a:shade val="86000"/>
              </a:schemeClr>
            </a:solidFill>
            <a:ln>
              <a:noFill/>
            </a:ln>
            <a:effectLst/>
          </c:spPr>
          <c:invertIfNegative val="0"/>
          <c:errBars>
            <c:errBarType val="plus"/>
            <c:errValType val="cust"/>
            <c:noEndCap val="0"/>
            <c:plus>
              <c:numRef>
                <c:f>'pivot fig'!$D$16:$D$20</c:f>
                <c:numCache>
                  <c:formatCode>General</c:formatCode>
                  <c:ptCount val="5"/>
                  <c:pt idx="0">
                    <c:v>7.2341781380702361</c:v>
                  </c:pt>
                  <c:pt idx="1">
                    <c:v>3.40587727318528</c:v>
                  </c:pt>
                  <c:pt idx="3">
                    <c:v>3.0550504633038948</c:v>
                  </c:pt>
                  <c:pt idx="4">
                    <c:v>1.7320508075688772</c:v>
                  </c:pt>
                </c:numCache>
                <c:extLst/>
              </c:numRef>
            </c:plus>
            <c:minus>
              <c:numRef>
                <c:f>'pivot fig'!$D$16:$D$20</c:f>
                <c:numCache>
                  <c:formatCode>General</c:formatCode>
                  <c:ptCount val="5"/>
                  <c:pt idx="0">
                    <c:v>7.2341781380702361</c:v>
                  </c:pt>
                  <c:pt idx="1">
                    <c:v>3.40587727318528</c:v>
                  </c:pt>
                  <c:pt idx="3">
                    <c:v>3.0550504633038948</c:v>
                  </c:pt>
                  <c:pt idx="4">
                    <c:v>1.7320508075688772</c:v>
                  </c:pt>
                </c:numCache>
                <c:extLst/>
              </c:numRef>
            </c:minus>
            <c:spPr>
              <a:noFill/>
              <a:ln w="9525" cap="flat" cmpd="sng" algn="ctr">
                <a:solidFill>
                  <a:schemeClr val="tx1">
                    <a:lumMod val="65000"/>
                    <a:lumOff val="35000"/>
                  </a:schemeClr>
                </a:solidFill>
                <a:round/>
              </a:ln>
              <a:effectLst/>
            </c:spPr>
          </c:errBars>
          <c:cat>
            <c:strRef>
              <c:f>'pivot fig'!$A$22:$A$26</c:f>
              <c:strCache>
                <c:ptCount val="5"/>
                <c:pt idx="0">
                  <c:v>Gingham </c:v>
                </c:pt>
                <c:pt idx="1">
                  <c:v>Gwydir</c:v>
                </c:pt>
                <c:pt idx="2">
                  <c:v>Mallowa</c:v>
                </c:pt>
                <c:pt idx="3">
                  <c:v>Mehi</c:v>
                </c:pt>
                <c:pt idx="4">
                  <c:v>Moomin</c:v>
                </c:pt>
              </c:strCache>
              <c:extLst/>
            </c:strRef>
          </c:cat>
          <c:val>
            <c:numRef>
              <c:f>'pivot fig'!$D$7:$D$11</c:f>
              <c:numCache>
                <c:formatCode>0.00</c:formatCode>
                <c:ptCount val="5"/>
                <c:pt idx="0">
                  <c:v>10.666666666666666</c:v>
                </c:pt>
                <c:pt idx="1">
                  <c:v>13</c:v>
                </c:pt>
                <c:pt idx="3">
                  <c:v>10.666666666666666</c:v>
                </c:pt>
                <c:pt idx="4">
                  <c:v>9</c:v>
                </c:pt>
              </c:numCache>
              <c:extLst/>
            </c:numRef>
          </c:val>
        </c:ser>
        <c:ser>
          <c:idx val="3"/>
          <c:order val="3"/>
          <c:tx>
            <c:strRef>
              <c:f>'pivot fig'!$E$6</c:f>
              <c:strCache>
                <c:ptCount val="1"/>
                <c:pt idx="0">
                  <c:v>T4</c:v>
                </c:pt>
              </c:strCache>
            </c:strRef>
          </c:tx>
          <c:spPr>
            <a:solidFill>
              <a:schemeClr val="accent1">
                <a:shade val="58000"/>
              </a:schemeClr>
            </a:solidFill>
            <a:ln>
              <a:noFill/>
            </a:ln>
            <a:effectLst/>
          </c:spPr>
          <c:invertIfNegative val="0"/>
          <c:errBars>
            <c:errBarType val="plus"/>
            <c:errValType val="cust"/>
            <c:noEndCap val="0"/>
            <c:plus>
              <c:numRef>
                <c:f>'pivot fig'!$E$16:$E$20</c:f>
                <c:numCache>
                  <c:formatCode>General</c:formatCode>
                  <c:ptCount val="5"/>
                  <c:pt idx="0">
                    <c:v>1.4142135623730951</c:v>
                  </c:pt>
                  <c:pt idx="1">
                    <c:v>3.5</c:v>
                  </c:pt>
                  <c:pt idx="3">
                    <c:v>2.6457513110645907</c:v>
                  </c:pt>
                  <c:pt idx="4">
                    <c:v>1.7320508075688772</c:v>
                  </c:pt>
                </c:numCache>
                <c:extLst/>
              </c:numRef>
            </c:plus>
            <c:minus>
              <c:numRef>
                <c:f>'pivot fig'!$E$16:$E$20</c:f>
                <c:numCache>
                  <c:formatCode>General</c:formatCode>
                  <c:ptCount val="5"/>
                  <c:pt idx="0">
                    <c:v>1.4142135623730951</c:v>
                  </c:pt>
                  <c:pt idx="1">
                    <c:v>3.5</c:v>
                  </c:pt>
                  <c:pt idx="3">
                    <c:v>2.6457513110645907</c:v>
                  </c:pt>
                  <c:pt idx="4">
                    <c:v>1.7320508075688772</c:v>
                  </c:pt>
                </c:numCache>
                <c:extLst/>
              </c:numRef>
            </c:minus>
            <c:spPr>
              <a:noFill/>
              <a:ln w="9525" cap="flat" cmpd="sng" algn="ctr">
                <a:solidFill>
                  <a:schemeClr val="tx1">
                    <a:lumMod val="65000"/>
                    <a:lumOff val="35000"/>
                  </a:schemeClr>
                </a:solidFill>
                <a:round/>
              </a:ln>
              <a:effectLst/>
            </c:spPr>
          </c:errBars>
          <c:cat>
            <c:strRef>
              <c:f>'pivot fig'!$A$22:$A$26</c:f>
              <c:strCache>
                <c:ptCount val="5"/>
                <c:pt idx="0">
                  <c:v>Gingham </c:v>
                </c:pt>
                <c:pt idx="1">
                  <c:v>Gwydir</c:v>
                </c:pt>
                <c:pt idx="2">
                  <c:v>Mallowa</c:v>
                </c:pt>
                <c:pt idx="3">
                  <c:v>Mehi</c:v>
                </c:pt>
                <c:pt idx="4">
                  <c:v>Moomin</c:v>
                </c:pt>
              </c:strCache>
              <c:extLst/>
            </c:strRef>
          </c:cat>
          <c:val>
            <c:numRef>
              <c:f>'pivot fig'!$E$7:$E$11</c:f>
              <c:numCache>
                <c:formatCode>0.00</c:formatCode>
                <c:ptCount val="5"/>
                <c:pt idx="0">
                  <c:v>8</c:v>
                </c:pt>
                <c:pt idx="1">
                  <c:v>11.25</c:v>
                </c:pt>
                <c:pt idx="3">
                  <c:v>9</c:v>
                </c:pt>
                <c:pt idx="4">
                  <c:v>7</c:v>
                </c:pt>
              </c:numCache>
              <c:extLst/>
            </c:numRef>
          </c:val>
        </c:ser>
        <c:dLbls>
          <c:showLegendKey val="0"/>
          <c:showVal val="0"/>
          <c:showCatName val="0"/>
          <c:showSerName val="0"/>
          <c:showPercent val="0"/>
          <c:showBubbleSize val="0"/>
        </c:dLbls>
        <c:gapWidth val="219"/>
        <c:overlap val="-27"/>
        <c:axId val="570399624"/>
        <c:axId val="570400016"/>
      </c:barChart>
      <c:catAx>
        <c:axId val="570399624"/>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70400016"/>
        <c:crosses val="autoZero"/>
        <c:auto val="1"/>
        <c:lblAlgn val="ctr"/>
        <c:lblOffset val="100"/>
        <c:noMultiLvlLbl val="0"/>
      </c:catAx>
      <c:valAx>
        <c:axId val="570400016"/>
        <c:scaling>
          <c:orientation val="minMax"/>
        </c:scaling>
        <c:delete val="0"/>
        <c:axPos val="l"/>
        <c:title>
          <c:tx>
            <c:rich>
              <a:bodyPr rot="-5400000" spcFirstLastPara="1" vertOverflow="ellipsis" vert="horz" wrap="square" anchor="ctr" anchorCtr="1"/>
              <a:lstStyle/>
              <a:p>
                <a:pPr algn="ctr" rtl="0">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Richness ±SD</a:t>
                </a:r>
              </a:p>
            </c:rich>
          </c:tx>
          <c:layout/>
          <c:overlay val="0"/>
          <c:spPr>
            <a:noFill/>
            <a:ln>
              <a:noFill/>
            </a:ln>
            <a:effectLst/>
          </c:spPr>
          <c:txPr>
            <a:bodyPr rot="-5400000" spcFirstLastPara="1" vertOverflow="ellipsis" vert="horz" wrap="square" anchor="ctr" anchorCtr="1"/>
            <a:lstStyle/>
            <a:p>
              <a:pPr algn="ctr" rtl="0">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70399624"/>
        <c:crosses val="autoZero"/>
        <c:crossBetween val="between"/>
        <c:majorUnit val="5"/>
      </c:valAx>
      <c:spPr>
        <a:noFill/>
        <a:ln>
          <a:noFill/>
        </a:ln>
        <a:effectLst/>
      </c:spPr>
    </c:plotArea>
    <c:legend>
      <c:legendPos val="b"/>
      <c:layout>
        <c:manualLayout>
          <c:xMode val="edge"/>
          <c:yMode val="edge"/>
          <c:x val="0.5714776381429143"/>
          <c:y val="6.8706890914798993E-2"/>
          <c:w val="0.38081868905459665"/>
          <c:h val="8.70412104882883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AU" sz="1000"/>
              <a:t>(b)</a:t>
            </a:r>
          </a:p>
        </c:rich>
      </c:tx>
      <c:layout>
        <c:manualLayout>
          <c:xMode val="edge"/>
          <c:yMode val="edge"/>
          <c:x val="5.2202997629809253E-3"/>
          <c:y val="1.3185103372661563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6774158132194261"/>
          <c:y val="0.15485677508468271"/>
          <c:w val="0.83151047295558644"/>
          <c:h val="0.73128986401056639"/>
        </c:manualLayout>
      </c:layout>
      <c:barChart>
        <c:barDir val="col"/>
        <c:grouping val="clustered"/>
        <c:varyColors val="0"/>
        <c:ser>
          <c:idx val="0"/>
          <c:order val="0"/>
          <c:tx>
            <c:strRef>
              <c:f>'pivot fig'!$L$6</c:f>
              <c:strCache>
                <c:ptCount val="1"/>
                <c:pt idx="0">
                  <c:v>T1</c:v>
                </c:pt>
              </c:strCache>
            </c:strRef>
          </c:tx>
          <c:spPr>
            <a:solidFill>
              <a:schemeClr val="accent1">
                <a:tint val="58000"/>
              </a:schemeClr>
            </a:solidFill>
            <a:ln>
              <a:noFill/>
            </a:ln>
            <a:effectLst/>
          </c:spPr>
          <c:invertIfNegative val="0"/>
          <c:errBars>
            <c:errBarType val="plus"/>
            <c:errValType val="cust"/>
            <c:noEndCap val="0"/>
            <c:plus>
              <c:numRef>
                <c:f>'pivot fig'!$L$16:$L$20</c:f>
                <c:numCache>
                  <c:formatCode>General</c:formatCode>
                  <c:ptCount val="5"/>
                  <c:pt idx="0">
                    <c:v>0.27463490899465998</c:v>
                  </c:pt>
                  <c:pt idx="1">
                    <c:v>0.79685591937939704</c:v>
                  </c:pt>
                  <c:pt idx="3">
                    <c:v>0.82787158387722926</c:v>
                  </c:pt>
                  <c:pt idx="4">
                    <c:v>1.2026048263913987</c:v>
                  </c:pt>
                </c:numCache>
                <c:extLst/>
              </c:numRef>
            </c:plus>
            <c:minus>
              <c:numRef>
                <c:f>'pivot fig'!$L$16:$L$20</c:f>
                <c:numCache>
                  <c:formatCode>General</c:formatCode>
                  <c:ptCount val="5"/>
                  <c:pt idx="0">
                    <c:v>0.27463490899465998</c:v>
                  </c:pt>
                  <c:pt idx="1">
                    <c:v>0.79685591937939704</c:v>
                  </c:pt>
                  <c:pt idx="3">
                    <c:v>0.82787158387722926</c:v>
                  </c:pt>
                  <c:pt idx="4">
                    <c:v>1.2026048263913987</c:v>
                  </c:pt>
                </c:numCache>
                <c:extLst/>
              </c:numRef>
            </c:minus>
            <c:spPr>
              <a:noFill/>
              <a:ln w="9525" cap="flat" cmpd="sng" algn="ctr">
                <a:solidFill>
                  <a:schemeClr val="tx1">
                    <a:lumMod val="65000"/>
                    <a:lumOff val="35000"/>
                  </a:schemeClr>
                </a:solidFill>
                <a:round/>
              </a:ln>
              <a:effectLst/>
            </c:spPr>
          </c:errBars>
          <c:cat>
            <c:strRef>
              <c:f>'pivot fig'!$A$22:$A$26</c:f>
              <c:strCache>
                <c:ptCount val="5"/>
                <c:pt idx="0">
                  <c:v>Gingham </c:v>
                </c:pt>
                <c:pt idx="1">
                  <c:v>Gwydir</c:v>
                </c:pt>
                <c:pt idx="2">
                  <c:v>Mallowa</c:v>
                </c:pt>
                <c:pt idx="3">
                  <c:v>Mehi</c:v>
                </c:pt>
                <c:pt idx="4">
                  <c:v>Moomin</c:v>
                </c:pt>
              </c:strCache>
              <c:extLst/>
            </c:strRef>
          </c:cat>
          <c:val>
            <c:numRef>
              <c:f>'pivot fig'!$L$7:$L$11</c:f>
              <c:numCache>
                <c:formatCode>0.00</c:formatCode>
                <c:ptCount val="5"/>
                <c:pt idx="0">
                  <c:v>2.3517992789032367</c:v>
                </c:pt>
                <c:pt idx="1">
                  <c:v>2.1932607138049218</c:v>
                </c:pt>
                <c:pt idx="3">
                  <c:v>2.0229438047916637</c:v>
                </c:pt>
                <c:pt idx="4">
                  <c:v>1.8210372495889704</c:v>
                </c:pt>
              </c:numCache>
              <c:extLst/>
            </c:numRef>
          </c:val>
        </c:ser>
        <c:ser>
          <c:idx val="1"/>
          <c:order val="1"/>
          <c:tx>
            <c:strRef>
              <c:f>'pivot fig'!$M$6</c:f>
              <c:strCache>
                <c:ptCount val="1"/>
                <c:pt idx="0">
                  <c:v>T2</c:v>
                </c:pt>
              </c:strCache>
            </c:strRef>
          </c:tx>
          <c:spPr>
            <a:solidFill>
              <a:schemeClr val="accent1">
                <a:tint val="86000"/>
              </a:schemeClr>
            </a:solidFill>
            <a:ln>
              <a:noFill/>
            </a:ln>
            <a:effectLst/>
          </c:spPr>
          <c:invertIfNegative val="0"/>
          <c:errBars>
            <c:errBarType val="plus"/>
            <c:errValType val="cust"/>
            <c:noEndCap val="0"/>
            <c:plus>
              <c:numRef>
                <c:f>'pivot fig'!$M$16:$M$20</c:f>
                <c:numCache>
                  <c:formatCode>General</c:formatCode>
                  <c:ptCount val="5"/>
                  <c:pt idx="0">
                    <c:v>0.5955455670805111</c:v>
                  </c:pt>
                  <c:pt idx="1">
                    <c:v>0.27828088104170234</c:v>
                  </c:pt>
                  <c:pt idx="2">
                    <c:v>0.65359414294660212</c:v>
                  </c:pt>
                  <c:pt idx="3">
                    <c:v>0.54848104436159761</c:v>
                  </c:pt>
                  <c:pt idx="4">
                    <c:v>0.12362085473902509</c:v>
                  </c:pt>
                </c:numCache>
                <c:extLst/>
              </c:numRef>
            </c:plus>
            <c:minus>
              <c:numRef>
                <c:f>'pivot fig'!$M$16:$M$20</c:f>
                <c:numCache>
                  <c:formatCode>General</c:formatCode>
                  <c:ptCount val="5"/>
                  <c:pt idx="0">
                    <c:v>0.5955455670805111</c:v>
                  </c:pt>
                  <c:pt idx="1">
                    <c:v>0.27828088104170234</c:v>
                  </c:pt>
                  <c:pt idx="2">
                    <c:v>0.65359414294660212</c:v>
                  </c:pt>
                  <c:pt idx="3">
                    <c:v>0.54848104436159761</c:v>
                  </c:pt>
                  <c:pt idx="4">
                    <c:v>0.12362085473902509</c:v>
                  </c:pt>
                </c:numCache>
                <c:extLst/>
              </c:numRef>
            </c:minus>
            <c:spPr>
              <a:noFill/>
              <a:ln w="9525" cap="flat" cmpd="sng" algn="ctr">
                <a:solidFill>
                  <a:schemeClr val="tx1">
                    <a:lumMod val="65000"/>
                    <a:lumOff val="35000"/>
                  </a:schemeClr>
                </a:solidFill>
                <a:round/>
              </a:ln>
              <a:effectLst/>
            </c:spPr>
          </c:errBars>
          <c:cat>
            <c:strRef>
              <c:f>'pivot fig'!$A$22:$A$26</c:f>
              <c:strCache>
                <c:ptCount val="5"/>
                <c:pt idx="0">
                  <c:v>Gingham </c:v>
                </c:pt>
                <c:pt idx="1">
                  <c:v>Gwydir</c:v>
                </c:pt>
                <c:pt idx="2">
                  <c:v>Mallowa</c:v>
                </c:pt>
                <c:pt idx="3">
                  <c:v>Mehi</c:v>
                </c:pt>
                <c:pt idx="4">
                  <c:v>Moomin</c:v>
                </c:pt>
              </c:strCache>
              <c:extLst/>
            </c:strRef>
          </c:cat>
          <c:val>
            <c:numRef>
              <c:f>'pivot fig'!$M$7:$M$11</c:f>
              <c:numCache>
                <c:formatCode>0.00</c:formatCode>
                <c:ptCount val="5"/>
                <c:pt idx="0">
                  <c:v>2.6901150937634064</c:v>
                </c:pt>
                <c:pt idx="1">
                  <c:v>1.6106975891431936</c:v>
                </c:pt>
                <c:pt idx="2">
                  <c:v>1.7525519871757933</c:v>
                </c:pt>
                <c:pt idx="3">
                  <c:v>1.9816997174424567</c:v>
                </c:pt>
                <c:pt idx="4">
                  <c:v>2.3309793124363267</c:v>
                </c:pt>
              </c:numCache>
              <c:extLst/>
            </c:numRef>
          </c:val>
        </c:ser>
        <c:ser>
          <c:idx val="2"/>
          <c:order val="2"/>
          <c:tx>
            <c:strRef>
              <c:f>'pivot fig'!$N$6</c:f>
              <c:strCache>
                <c:ptCount val="1"/>
                <c:pt idx="0">
                  <c:v>T3</c:v>
                </c:pt>
              </c:strCache>
            </c:strRef>
          </c:tx>
          <c:spPr>
            <a:solidFill>
              <a:schemeClr val="accent1">
                <a:shade val="86000"/>
              </a:schemeClr>
            </a:solidFill>
            <a:ln>
              <a:noFill/>
            </a:ln>
            <a:effectLst/>
          </c:spPr>
          <c:invertIfNegative val="0"/>
          <c:errBars>
            <c:errBarType val="plus"/>
            <c:errValType val="cust"/>
            <c:noEndCap val="0"/>
            <c:plus>
              <c:numRef>
                <c:f>'pivot fig'!$N$16:$N$20</c:f>
                <c:numCache>
                  <c:formatCode>General</c:formatCode>
                  <c:ptCount val="5"/>
                  <c:pt idx="0">
                    <c:v>1.118609442724255</c:v>
                  </c:pt>
                  <c:pt idx="1">
                    <c:v>0.60233760318246299</c:v>
                  </c:pt>
                  <c:pt idx="3">
                    <c:v>0.343222845951345</c:v>
                  </c:pt>
                  <c:pt idx="4">
                    <c:v>0.17559176735029416</c:v>
                  </c:pt>
                </c:numCache>
                <c:extLst/>
              </c:numRef>
            </c:plus>
            <c:minus>
              <c:numRef>
                <c:f>'pivot fig'!$N$16:$N$20</c:f>
                <c:numCache>
                  <c:formatCode>General</c:formatCode>
                  <c:ptCount val="5"/>
                  <c:pt idx="0">
                    <c:v>1.118609442724255</c:v>
                  </c:pt>
                  <c:pt idx="1">
                    <c:v>0.60233760318246299</c:v>
                  </c:pt>
                  <c:pt idx="3">
                    <c:v>0.343222845951345</c:v>
                  </c:pt>
                  <c:pt idx="4">
                    <c:v>0.17559176735029416</c:v>
                  </c:pt>
                </c:numCache>
                <c:extLst/>
              </c:numRef>
            </c:minus>
            <c:spPr>
              <a:noFill/>
              <a:ln w="9525" cap="flat" cmpd="sng" algn="ctr">
                <a:solidFill>
                  <a:schemeClr val="tx1">
                    <a:lumMod val="65000"/>
                    <a:lumOff val="35000"/>
                  </a:schemeClr>
                </a:solidFill>
                <a:round/>
              </a:ln>
              <a:effectLst/>
            </c:spPr>
          </c:errBars>
          <c:cat>
            <c:strRef>
              <c:f>'pivot fig'!$A$22:$A$26</c:f>
              <c:strCache>
                <c:ptCount val="5"/>
                <c:pt idx="0">
                  <c:v>Gingham </c:v>
                </c:pt>
                <c:pt idx="1">
                  <c:v>Gwydir</c:v>
                </c:pt>
                <c:pt idx="2">
                  <c:v>Mallowa</c:v>
                </c:pt>
                <c:pt idx="3">
                  <c:v>Mehi</c:v>
                </c:pt>
                <c:pt idx="4">
                  <c:v>Moomin</c:v>
                </c:pt>
              </c:strCache>
              <c:extLst/>
            </c:strRef>
          </c:cat>
          <c:val>
            <c:numRef>
              <c:f>'pivot fig'!$N$7:$N$11</c:f>
              <c:numCache>
                <c:formatCode>0.00</c:formatCode>
                <c:ptCount val="5"/>
                <c:pt idx="0">
                  <c:v>2.0258378765627634</c:v>
                </c:pt>
                <c:pt idx="1">
                  <c:v>2.0917192884641334</c:v>
                </c:pt>
                <c:pt idx="3">
                  <c:v>1.8042614824106267</c:v>
                </c:pt>
                <c:pt idx="4">
                  <c:v>1.8988374962324068</c:v>
                </c:pt>
              </c:numCache>
              <c:extLst/>
            </c:numRef>
          </c:val>
        </c:ser>
        <c:ser>
          <c:idx val="3"/>
          <c:order val="3"/>
          <c:tx>
            <c:strRef>
              <c:f>'pivot fig'!$O$6</c:f>
              <c:strCache>
                <c:ptCount val="1"/>
                <c:pt idx="0">
                  <c:v>T4</c:v>
                </c:pt>
              </c:strCache>
            </c:strRef>
          </c:tx>
          <c:spPr>
            <a:solidFill>
              <a:schemeClr val="accent1">
                <a:shade val="58000"/>
              </a:schemeClr>
            </a:solidFill>
            <a:ln>
              <a:noFill/>
            </a:ln>
            <a:effectLst/>
          </c:spPr>
          <c:invertIfNegative val="0"/>
          <c:errBars>
            <c:errBarType val="plus"/>
            <c:errValType val="cust"/>
            <c:noEndCap val="0"/>
            <c:plus>
              <c:numRef>
                <c:f>'pivot fig'!$O$16:$O$20</c:f>
                <c:numCache>
                  <c:formatCode>General</c:formatCode>
                  <c:ptCount val="5"/>
                  <c:pt idx="0">
                    <c:v>0.69806910654072374</c:v>
                  </c:pt>
                  <c:pt idx="1">
                    <c:v>0.49462029032651289</c:v>
                  </c:pt>
                  <c:pt idx="3">
                    <c:v>0.5766760486873469</c:v>
                  </c:pt>
                  <c:pt idx="4">
                    <c:v>0.34350422449885992</c:v>
                  </c:pt>
                </c:numCache>
                <c:extLst/>
              </c:numRef>
            </c:plus>
            <c:minus>
              <c:numRef>
                <c:f>'pivot fig'!$O$16:$O$20</c:f>
                <c:numCache>
                  <c:formatCode>General</c:formatCode>
                  <c:ptCount val="5"/>
                  <c:pt idx="0">
                    <c:v>0.69806910654072374</c:v>
                  </c:pt>
                  <c:pt idx="1">
                    <c:v>0.49462029032651289</c:v>
                  </c:pt>
                  <c:pt idx="3">
                    <c:v>0.5766760486873469</c:v>
                  </c:pt>
                  <c:pt idx="4">
                    <c:v>0.34350422449885992</c:v>
                  </c:pt>
                </c:numCache>
                <c:extLst/>
              </c:numRef>
            </c:minus>
            <c:spPr>
              <a:noFill/>
              <a:ln w="9525" cap="flat" cmpd="sng" algn="ctr">
                <a:solidFill>
                  <a:schemeClr val="tx1">
                    <a:lumMod val="65000"/>
                    <a:lumOff val="35000"/>
                  </a:schemeClr>
                </a:solidFill>
                <a:round/>
              </a:ln>
              <a:effectLst/>
            </c:spPr>
          </c:errBars>
          <c:cat>
            <c:strRef>
              <c:f>'pivot fig'!$A$22:$A$26</c:f>
              <c:strCache>
                <c:ptCount val="5"/>
                <c:pt idx="0">
                  <c:v>Gingham </c:v>
                </c:pt>
                <c:pt idx="1">
                  <c:v>Gwydir</c:v>
                </c:pt>
                <c:pt idx="2">
                  <c:v>Mallowa</c:v>
                </c:pt>
                <c:pt idx="3">
                  <c:v>Mehi</c:v>
                </c:pt>
                <c:pt idx="4">
                  <c:v>Moomin</c:v>
                </c:pt>
              </c:strCache>
              <c:extLst/>
            </c:strRef>
          </c:cat>
          <c:val>
            <c:numRef>
              <c:f>'pivot fig'!$O$7:$O$11</c:f>
              <c:numCache>
                <c:formatCode>0.00</c:formatCode>
                <c:ptCount val="5"/>
                <c:pt idx="0">
                  <c:v>1.2672272588694899</c:v>
                </c:pt>
                <c:pt idx="1">
                  <c:v>1.60283304017467</c:v>
                </c:pt>
                <c:pt idx="3">
                  <c:v>1.5682086208900152</c:v>
                </c:pt>
                <c:pt idx="4">
                  <c:v>1.180510845184807</c:v>
                </c:pt>
              </c:numCache>
              <c:extLst/>
            </c:numRef>
          </c:val>
        </c:ser>
        <c:dLbls>
          <c:showLegendKey val="0"/>
          <c:showVal val="0"/>
          <c:showCatName val="0"/>
          <c:showSerName val="0"/>
          <c:showPercent val="0"/>
          <c:showBubbleSize val="0"/>
        </c:dLbls>
        <c:gapWidth val="219"/>
        <c:overlap val="-27"/>
        <c:axId val="673146432"/>
        <c:axId val="673146824"/>
      </c:barChart>
      <c:catAx>
        <c:axId val="673146432"/>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73146824"/>
        <c:crosses val="autoZero"/>
        <c:auto val="1"/>
        <c:lblAlgn val="ctr"/>
        <c:lblOffset val="100"/>
        <c:noMultiLvlLbl val="0"/>
      </c:catAx>
      <c:valAx>
        <c:axId val="673146824"/>
        <c:scaling>
          <c:orientation val="minMax"/>
        </c:scaling>
        <c:delete val="0"/>
        <c:axPos val="l"/>
        <c:title>
          <c:tx>
            <c:rich>
              <a:bodyPr rot="-5400000" spcFirstLastPara="1" vertOverflow="ellipsis" vert="horz" wrap="square" anchor="ctr" anchorCtr="1"/>
              <a:lstStyle/>
              <a:p>
                <a:pPr algn="ctr" rtl="0">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Diversity ±SD</a:t>
                </a:r>
              </a:p>
            </c:rich>
          </c:tx>
          <c:layout/>
          <c:overlay val="0"/>
          <c:spPr>
            <a:noFill/>
            <a:ln>
              <a:noFill/>
            </a:ln>
            <a:effectLst/>
          </c:spPr>
          <c:txPr>
            <a:bodyPr rot="-5400000" spcFirstLastPara="1" vertOverflow="ellipsis" vert="horz" wrap="square" anchor="ctr" anchorCtr="1"/>
            <a:lstStyle/>
            <a:p>
              <a:pPr algn="ctr" rtl="0">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 sourceLinked="0"/>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73146432"/>
        <c:crosses val="autoZero"/>
        <c:crossBetween val="between"/>
      </c:valAx>
      <c:spPr>
        <a:noFill/>
        <a:ln>
          <a:noFill/>
        </a:ln>
        <a:effectLst/>
      </c:spPr>
    </c:plotArea>
    <c:legend>
      <c:legendPos val="b"/>
      <c:layout>
        <c:manualLayout>
          <c:xMode val="edge"/>
          <c:yMode val="edge"/>
          <c:x val="0.59915437194826038"/>
          <c:y val="6.8706890914798993E-2"/>
          <c:w val="0.35314207319763247"/>
          <c:h val="8.70412104882883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204180193624464E-2"/>
          <c:y val="5.0518845857429141E-2"/>
          <c:w val="0.5738928716283862"/>
          <c:h val="0.70958375027733378"/>
        </c:manualLayout>
      </c:layout>
      <c:barChart>
        <c:barDir val="col"/>
        <c:grouping val="stacked"/>
        <c:varyColors val="0"/>
        <c:ser>
          <c:idx val="0"/>
          <c:order val="0"/>
          <c:tx>
            <c:strRef>
              <c:f>'Ecosystem Type'!$A$19</c:f>
              <c:strCache>
                <c:ptCount val="1"/>
                <c:pt idx="0">
                  <c:v>F1.10: Coolibah woodland and forest floodplain</c:v>
                </c:pt>
              </c:strCache>
            </c:strRef>
          </c:tx>
          <c:spPr>
            <a:solidFill>
              <a:srgbClr val="1F497D"/>
            </a:solidFill>
            <a:ln>
              <a:noFill/>
            </a:ln>
            <a:effectLst/>
          </c:spPr>
          <c:invertIfNegative val="0"/>
          <c:cat>
            <c:strRef>
              <c:f>'Ecosystem Type'!$B$18:$E$18</c:f>
              <c:strCache>
                <c:ptCount val="4"/>
                <c:pt idx="0">
                  <c:v>Gingham-Gwydir</c:v>
                </c:pt>
                <c:pt idx="1">
                  <c:v>Gwydir River</c:v>
                </c:pt>
                <c:pt idx="2">
                  <c:v>Mallowa</c:v>
                </c:pt>
                <c:pt idx="3">
                  <c:v>Mehi-Moomin</c:v>
                </c:pt>
              </c:strCache>
            </c:strRef>
          </c:cat>
          <c:val>
            <c:numRef>
              <c:f>'Ecosystem Type'!$B$19:$E$19</c:f>
              <c:numCache>
                <c:formatCode>General</c:formatCode>
                <c:ptCount val="4"/>
                <c:pt idx="0">
                  <c:v>5</c:v>
                </c:pt>
              </c:numCache>
            </c:numRef>
          </c:val>
          <c:extLst xmlns:c16r2="http://schemas.microsoft.com/office/drawing/2015/06/chart">
            <c:ext xmlns:c16="http://schemas.microsoft.com/office/drawing/2014/chart" uri="{C3380CC4-5D6E-409C-BE32-E72D297353CC}">
              <c16:uniqueId val="{00000000-2043-4CB5-981C-A5AE4318DA9A}"/>
            </c:ext>
          </c:extLst>
        </c:ser>
        <c:ser>
          <c:idx val="1"/>
          <c:order val="1"/>
          <c:tx>
            <c:strRef>
              <c:f>'Ecosystem Type'!$A$20</c:f>
              <c:strCache>
                <c:ptCount val="1"/>
                <c:pt idx="0">
                  <c:v>F1.11: River cooba woodland floodplain</c:v>
                </c:pt>
              </c:strCache>
            </c:strRef>
          </c:tx>
          <c:spPr>
            <a:solidFill>
              <a:srgbClr val="C0504D"/>
            </a:solidFill>
            <a:ln>
              <a:noFill/>
            </a:ln>
            <a:effectLst/>
          </c:spPr>
          <c:invertIfNegative val="0"/>
          <c:cat>
            <c:strRef>
              <c:f>'Ecosystem Type'!$B$18:$E$18</c:f>
              <c:strCache>
                <c:ptCount val="4"/>
                <c:pt idx="0">
                  <c:v>Gingham-Gwydir</c:v>
                </c:pt>
                <c:pt idx="1">
                  <c:v>Gwydir River</c:v>
                </c:pt>
                <c:pt idx="2">
                  <c:v>Mallowa</c:v>
                </c:pt>
                <c:pt idx="3">
                  <c:v>Mehi-Moomin</c:v>
                </c:pt>
              </c:strCache>
            </c:strRef>
          </c:cat>
          <c:val>
            <c:numRef>
              <c:f>'Ecosystem Type'!$B$20:$E$20</c:f>
              <c:numCache>
                <c:formatCode>General</c:formatCode>
                <c:ptCount val="4"/>
                <c:pt idx="0">
                  <c:v>5</c:v>
                </c:pt>
                <c:pt idx="2">
                  <c:v>9</c:v>
                </c:pt>
              </c:numCache>
            </c:numRef>
          </c:val>
          <c:extLst xmlns:c16r2="http://schemas.microsoft.com/office/drawing/2015/06/chart">
            <c:ext xmlns:c16="http://schemas.microsoft.com/office/drawing/2014/chart" uri="{C3380CC4-5D6E-409C-BE32-E72D297353CC}">
              <c16:uniqueId val="{00000001-2043-4CB5-981C-A5AE4318DA9A}"/>
            </c:ext>
          </c:extLst>
        </c:ser>
        <c:ser>
          <c:idx val="2"/>
          <c:order val="2"/>
          <c:tx>
            <c:strRef>
              <c:f>'Ecosystem Type'!$A$21</c:f>
              <c:strCache>
                <c:ptCount val="1"/>
                <c:pt idx="0">
                  <c:v>F3.2: Sedge/forb/grassland floodplain</c:v>
                </c:pt>
              </c:strCache>
            </c:strRef>
          </c:tx>
          <c:spPr>
            <a:solidFill>
              <a:schemeClr val="accent3"/>
            </a:solidFill>
            <a:ln>
              <a:noFill/>
            </a:ln>
            <a:effectLst/>
          </c:spPr>
          <c:invertIfNegative val="0"/>
          <c:cat>
            <c:strRef>
              <c:f>'Ecosystem Type'!$B$18:$E$18</c:f>
              <c:strCache>
                <c:ptCount val="4"/>
                <c:pt idx="0">
                  <c:v>Gingham-Gwydir</c:v>
                </c:pt>
                <c:pt idx="1">
                  <c:v>Gwydir River</c:v>
                </c:pt>
                <c:pt idx="2">
                  <c:v>Mallowa</c:v>
                </c:pt>
                <c:pt idx="3">
                  <c:v>Mehi-Moomin</c:v>
                </c:pt>
              </c:strCache>
            </c:strRef>
          </c:cat>
          <c:val>
            <c:numRef>
              <c:f>'Ecosystem Type'!$B$21:$E$21</c:f>
              <c:numCache>
                <c:formatCode>General</c:formatCode>
                <c:ptCount val="4"/>
                <c:pt idx="0">
                  <c:v>33</c:v>
                </c:pt>
                <c:pt idx="2">
                  <c:v>1</c:v>
                </c:pt>
              </c:numCache>
            </c:numRef>
          </c:val>
          <c:extLst xmlns:c16r2="http://schemas.microsoft.com/office/drawing/2015/06/chart">
            <c:ext xmlns:c16="http://schemas.microsoft.com/office/drawing/2014/chart" uri="{C3380CC4-5D6E-409C-BE32-E72D297353CC}">
              <c16:uniqueId val="{00000002-2043-4CB5-981C-A5AE4318DA9A}"/>
            </c:ext>
          </c:extLst>
        </c:ser>
        <c:ser>
          <c:idx val="3"/>
          <c:order val="3"/>
          <c:tx>
            <c:strRef>
              <c:f>'Ecosystem Type'!$A$22</c:f>
              <c:strCache>
                <c:ptCount val="1"/>
                <c:pt idx="0">
                  <c:v>Lp2.1: Temporary floodplain lake</c:v>
                </c:pt>
              </c:strCache>
            </c:strRef>
          </c:tx>
          <c:spPr>
            <a:solidFill>
              <a:schemeClr val="accent4"/>
            </a:solidFill>
            <a:ln>
              <a:noFill/>
            </a:ln>
            <a:effectLst/>
          </c:spPr>
          <c:invertIfNegative val="0"/>
          <c:cat>
            <c:strRef>
              <c:f>'Ecosystem Type'!$B$18:$E$18</c:f>
              <c:strCache>
                <c:ptCount val="4"/>
                <c:pt idx="0">
                  <c:v>Gingham-Gwydir</c:v>
                </c:pt>
                <c:pt idx="1">
                  <c:v>Gwydir River</c:v>
                </c:pt>
                <c:pt idx="2">
                  <c:v>Mallowa</c:v>
                </c:pt>
                <c:pt idx="3">
                  <c:v>Mehi-Moomin</c:v>
                </c:pt>
              </c:strCache>
            </c:strRef>
          </c:cat>
          <c:val>
            <c:numRef>
              <c:f>'Ecosystem Type'!$B$22:$E$22</c:f>
              <c:numCache>
                <c:formatCode>General</c:formatCode>
                <c:ptCount val="4"/>
                <c:pt idx="0">
                  <c:v>2</c:v>
                </c:pt>
              </c:numCache>
            </c:numRef>
          </c:val>
          <c:extLst xmlns:c16r2="http://schemas.microsoft.com/office/drawing/2015/06/chart">
            <c:ext xmlns:c16="http://schemas.microsoft.com/office/drawing/2014/chart" uri="{C3380CC4-5D6E-409C-BE32-E72D297353CC}">
              <c16:uniqueId val="{00000003-2043-4CB5-981C-A5AE4318DA9A}"/>
            </c:ext>
          </c:extLst>
        </c:ser>
        <c:ser>
          <c:idx val="4"/>
          <c:order val="4"/>
          <c:tx>
            <c:strRef>
              <c:f>'Ecosystem Type'!$A$23</c:f>
              <c:strCache>
                <c:ptCount val="1"/>
                <c:pt idx="0">
                  <c:v>Lt2.2: Temporary floodplain lake with aquatic beds</c:v>
                </c:pt>
              </c:strCache>
            </c:strRef>
          </c:tx>
          <c:spPr>
            <a:solidFill>
              <a:schemeClr val="accent5"/>
            </a:solidFill>
            <a:ln>
              <a:noFill/>
            </a:ln>
            <a:effectLst/>
          </c:spPr>
          <c:invertIfNegative val="0"/>
          <c:cat>
            <c:strRef>
              <c:f>'Ecosystem Type'!$B$18:$E$18</c:f>
              <c:strCache>
                <c:ptCount val="4"/>
                <c:pt idx="0">
                  <c:v>Gingham-Gwydir</c:v>
                </c:pt>
                <c:pt idx="1">
                  <c:v>Gwydir River</c:v>
                </c:pt>
                <c:pt idx="2">
                  <c:v>Mallowa</c:v>
                </c:pt>
                <c:pt idx="3">
                  <c:v>Mehi-Moomin</c:v>
                </c:pt>
              </c:strCache>
            </c:strRef>
          </c:cat>
          <c:val>
            <c:numRef>
              <c:f>'Ecosystem Type'!$B$23:$E$23</c:f>
              <c:numCache>
                <c:formatCode>General</c:formatCode>
                <c:ptCount val="4"/>
                <c:pt idx="0">
                  <c:v>7</c:v>
                </c:pt>
                <c:pt idx="3">
                  <c:v>2</c:v>
                </c:pt>
              </c:numCache>
            </c:numRef>
          </c:val>
          <c:extLst xmlns:c16r2="http://schemas.microsoft.com/office/drawing/2015/06/chart">
            <c:ext xmlns:c16="http://schemas.microsoft.com/office/drawing/2014/chart" uri="{C3380CC4-5D6E-409C-BE32-E72D297353CC}">
              <c16:uniqueId val="{00000004-2043-4CB5-981C-A5AE4318DA9A}"/>
            </c:ext>
          </c:extLst>
        </c:ser>
        <c:ser>
          <c:idx val="5"/>
          <c:order val="5"/>
          <c:tx>
            <c:strRef>
              <c:f>'Ecosystem Type'!$A$24</c:f>
              <c:strCache>
                <c:ptCount val="1"/>
                <c:pt idx="0">
                  <c:v>Rp1.1: Permanent high energy upland streams</c:v>
                </c:pt>
              </c:strCache>
            </c:strRef>
          </c:tx>
          <c:spPr>
            <a:solidFill>
              <a:schemeClr val="accent6"/>
            </a:solidFill>
            <a:ln>
              <a:noFill/>
            </a:ln>
            <a:effectLst/>
          </c:spPr>
          <c:invertIfNegative val="0"/>
          <c:cat>
            <c:strRef>
              <c:f>'Ecosystem Type'!$B$18:$E$18</c:f>
              <c:strCache>
                <c:ptCount val="4"/>
                <c:pt idx="0">
                  <c:v>Gingham-Gwydir</c:v>
                </c:pt>
                <c:pt idx="1">
                  <c:v>Gwydir River</c:v>
                </c:pt>
                <c:pt idx="2">
                  <c:v>Mallowa</c:v>
                </c:pt>
                <c:pt idx="3">
                  <c:v>Mehi-Moomin</c:v>
                </c:pt>
              </c:strCache>
            </c:strRef>
          </c:cat>
          <c:val>
            <c:numRef>
              <c:f>'Ecosystem Type'!$B$24:$E$24</c:f>
              <c:numCache>
                <c:formatCode>General</c:formatCode>
                <c:ptCount val="4"/>
                <c:pt idx="1">
                  <c:v>1</c:v>
                </c:pt>
              </c:numCache>
            </c:numRef>
          </c:val>
          <c:extLst xmlns:c16r2="http://schemas.microsoft.com/office/drawing/2015/06/chart">
            <c:ext xmlns:c16="http://schemas.microsoft.com/office/drawing/2014/chart" uri="{C3380CC4-5D6E-409C-BE32-E72D297353CC}">
              <c16:uniqueId val="{00000005-2043-4CB5-981C-A5AE4318DA9A}"/>
            </c:ext>
          </c:extLst>
        </c:ser>
        <c:ser>
          <c:idx val="6"/>
          <c:order val="6"/>
          <c:tx>
            <c:strRef>
              <c:f>'Ecosystem Type'!$A$25</c:f>
              <c:strCache>
                <c:ptCount val="1"/>
                <c:pt idx="0">
                  <c:v>Rp1.3: Permanent low energy upland streams</c:v>
                </c:pt>
              </c:strCache>
            </c:strRef>
          </c:tx>
          <c:spPr>
            <a:solidFill>
              <a:schemeClr val="accent1">
                <a:lumMod val="60000"/>
              </a:schemeClr>
            </a:solidFill>
            <a:ln>
              <a:noFill/>
            </a:ln>
            <a:effectLst/>
          </c:spPr>
          <c:invertIfNegative val="0"/>
          <c:cat>
            <c:strRef>
              <c:f>'Ecosystem Type'!$B$18:$E$18</c:f>
              <c:strCache>
                <c:ptCount val="4"/>
                <c:pt idx="0">
                  <c:v>Gingham-Gwydir</c:v>
                </c:pt>
                <c:pt idx="1">
                  <c:v>Gwydir River</c:v>
                </c:pt>
                <c:pt idx="2">
                  <c:v>Mallowa</c:v>
                </c:pt>
                <c:pt idx="3">
                  <c:v>Mehi-Moomin</c:v>
                </c:pt>
              </c:strCache>
            </c:strRef>
          </c:cat>
          <c:val>
            <c:numRef>
              <c:f>'Ecosystem Type'!$B$25:$E$25</c:f>
              <c:numCache>
                <c:formatCode>General</c:formatCode>
                <c:ptCount val="4"/>
                <c:pt idx="0">
                  <c:v>1</c:v>
                </c:pt>
                <c:pt idx="1">
                  <c:v>4</c:v>
                </c:pt>
              </c:numCache>
            </c:numRef>
          </c:val>
          <c:extLst xmlns:c16r2="http://schemas.microsoft.com/office/drawing/2015/06/chart">
            <c:ext xmlns:c16="http://schemas.microsoft.com/office/drawing/2014/chart" uri="{C3380CC4-5D6E-409C-BE32-E72D297353CC}">
              <c16:uniqueId val="{00000006-2043-4CB5-981C-A5AE4318DA9A}"/>
            </c:ext>
          </c:extLst>
        </c:ser>
        <c:ser>
          <c:idx val="7"/>
          <c:order val="7"/>
          <c:tx>
            <c:strRef>
              <c:f>'Ecosystem Type'!$A$26</c:f>
              <c:strCache>
                <c:ptCount val="1"/>
                <c:pt idx="0">
                  <c:v>Rp1.4: Permanent lowland streams</c:v>
                </c:pt>
              </c:strCache>
            </c:strRef>
          </c:tx>
          <c:spPr>
            <a:solidFill>
              <a:schemeClr val="accent2">
                <a:lumMod val="60000"/>
              </a:schemeClr>
            </a:solidFill>
            <a:ln>
              <a:noFill/>
            </a:ln>
            <a:effectLst/>
          </c:spPr>
          <c:invertIfNegative val="0"/>
          <c:cat>
            <c:strRef>
              <c:f>'Ecosystem Type'!$B$18:$E$18</c:f>
              <c:strCache>
                <c:ptCount val="4"/>
                <c:pt idx="0">
                  <c:v>Gingham-Gwydir</c:v>
                </c:pt>
                <c:pt idx="1">
                  <c:v>Gwydir River</c:v>
                </c:pt>
                <c:pt idx="2">
                  <c:v>Mallowa</c:v>
                </c:pt>
                <c:pt idx="3">
                  <c:v>Mehi-Moomin</c:v>
                </c:pt>
              </c:strCache>
            </c:strRef>
          </c:cat>
          <c:val>
            <c:numRef>
              <c:f>'Ecosystem Type'!$B$26:$E$26</c:f>
              <c:numCache>
                <c:formatCode>General</c:formatCode>
                <c:ptCount val="4"/>
                <c:pt idx="0">
                  <c:v>1</c:v>
                </c:pt>
                <c:pt idx="1">
                  <c:v>27</c:v>
                </c:pt>
                <c:pt idx="3">
                  <c:v>31</c:v>
                </c:pt>
              </c:numCache>
            </c:numRef>
          </c:val>
          <c:extLst xmlns:c16r2="http://schemas.microsoft.com/office/drawing/2015/06/chart">
            <c:ext xmlns:c16="http://schemas.microsoft.com/office/drawing/2014/chart" uri="{C3380CC4-5D6E-409C-BE32-E72D297353CC}">
              <c16:uniqueId val="{00000007-2043-4CB5-981C-A5AE4318DA9A}"/>
            </c:ext>
          </c:extLst>
        </c:ser>
        <c:ser>
          <c:idx val="8"/>
          <c:order val="8"/>
          <c:tx>
            <c:strRef>
              <c:f>'Ecosystem Type'!$A$27</c:f>
              <c:strCache>
                <c:ptCount val="1"/>
                <c:pt idx="0">
                  <c:v>Rt1.3: Temporary low energy upland streams</c:v>
                </c:pt>
              </c:strCache>
            </c:strRef>
          </c:tx>
          <c:spPr>
            <a:solidFill>
              <a:schemeClr val="accent3">
                <a:lumMod val="60000"/>
              </a:schemeClr>
            </a:solidFill>
            <a:ln>
              <a:noFill/>
            </a:ln>
            <a:effectLst/>
          </c:spPr>
          <c:invertIfNegative val="0"/>
          <c:cat>
            <c:strRef>
              <c:f>'Ecosystem Type'!$B$18:$E$18</c:f>
              <c:strCache>
                <c:ptCount val="4"/>
                <c:pt idx="0">
                  <c:v>Gingham-Gwydir</c:v>
                </c:pt>
                <c:pt idx="1">
                  <c:v>Gwydir River</c:v>
                </c:pt>
                <c:pt idx="2">
                  <c:v>Mallowa</c:v>
                </c:pt>
                <c:pt idx="3">
                  <c:v>Mehi-Moomin</c:v>
                </c:pt>
              </c:strCache>
            </c:strRef>
          </c:cat>
          <c:val>
            <c:numRef>
              <c:f>'Ecosystem Type'!$B$27:$E$27</c:f>
              <c:numCache>
                <c:formatCode>General</c:formatCode>
                <c:ptCount val="4"/>
                <c:pt idx="0">
                  <c:v>2</c:v>
                </c:pt>
              </c:numCache>
            </c:numRef>
          </c:val>
          <c:extLst xmlns:c16r2="http://schemas.microsoft.com/office/drawing/2015/06/chart">
            <c:ext xmlns:c16="http://schemas.microsoft.com/office/drawing/2014/chart" uri="{C3380CC4-5D6E-409C-BE32-E72D297353CC}">
              <c16:uniqueId val="{00000008-2043-4CB5-981C-A5AE4318DA9A}"/>
            </c:ext>
          </c:extLst>
        </c:ser>
        <c:ser>
          <c:idx val="9"/>
          <c:order val="9"/>
          <c:tx>
            <c:strRef>
              <c:f>'Ecosystem Type'!$A$28</c:f>
              <c:strCache>
                <c:ptCount val="1"/>
                <c:pt idx="0">
                  <c:v>Rt1.4: Temporary lowland streams</c:v>
                </c:pt>
              </c:strCache>
            </c:strRef>
          </c:tx>
          <c:spPr>
            <a:solidFill>
              <a:schemeClr val="accent4">
                <a:lumMod val="60000"/>
              </a:schemeClr>
            </a:solidFill>
            <a:ln>
              <a:noFill/>
            </a:ln>
            <a:effectLst/>
          </c:spPr>
          <c:invertIfNegative val="0"/>
          <c:cat>
            <c:strRef>
              <c:f>'Ecosystem Type'!$B$18:$E$18</c:f>
              <c:strCache>
                <c:ptCount val="4"/>
                <c:pt idx="0">
                  <c:v>Gingham-Gwydir</c:v>
                </c:pt>
                <c:pt idx="1">
                  <c:v>Gwydir River</c:v>
                </c:pt>
                <c:pt idx="2">
                  <c:v>Mallowa</c:v>
                </c:pt>
                <c:pt idx="3">
                  <c:v>Mehi-Moomin</c:v>
                </c:pt>
              </c:strCache>
            </c:strRef>
          </c:cat>
          <c:val>
            <c:numRef>
              <c:f>'Ecosystem Type'!$B$28:$E$28</c:f>
              <c:numCache>
                <c:formatCode>General</c:formatCode>
                <c:ptCount val="4"/>
                <c:pt idx="0">
                  <c:v>11</c:v>
                </c:pt>
                <c:pt idx="1">
                  <c:v>3</c:v>
                </c:pt>
                <c:pt idx="2">
                  <c:v>1</c:v>
                </c:pt>
                <c:pt idx="3">
                  <c:v>3</c:v>
                </c:pt>
              </c:numCache>
            </c:numRef>
          </c:val>
          <c:extLst xmlns:c16r2="http://schemas.microsoft.com/office/drawing/2015/06/chart">
            <c:ext xmlns:c16="http://schemas.microsoft.com/office/drawing/2014/chart" uri="{C3380CC4-5D6E-409C-BE32-E72D297353CC}">
              <c16:uniqueId val="{00000009-2043-4CB5-981C-A5AE4318DA9A}"/>
            </c:ext>
          </c:extLst>
        </c:ser>
        <c:dLbls>
          <c:showLegendKey val="0"/>
          <c:showVal val="0"/>
          <c:showCatName val="0"/>
          <c:showSerName val="0"/>
          <c:showPercent val="0"/>
          <c:showBubbleSize val="0"/>
        </c:dLbls>
        <c:gapWidth val="219"/>
        <c:overlap val="100"/>
        <c:axId val="481273960"/>
        <c:axId val="481274352"/>
      </c:barChart>
      <c:catAx>
        <c:axId val="481273960"/>
        <c:scaling>
          <c:orientation val="minMax"/>
        </c:scaling>
        <c:delete val="0"/>
        <c:axPos val="b"/>
        <c:numFmt formatCode="General" sourceLinked="1"/>
        <c:majorTickMark val="out"/>
        <c:minorTickMark val="in"/>
        <c:tickLblPos val="nextTo"/>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81274352"/>
        <c:crosses val="autoZero"/>
        <c:auto val="1"/>
        <c:lblAlgn val="ctr"/>
        <c:lblOffset val="100"/>
        <c:tickMarkSkip val="2"/>
        <c:noMultiLvlLbl val="0"/>
      </c:catAx>
      <c:valAx>
        <c:axId val="48127435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Number of sites</a:t>
                </a:r>
              </a:p>
            </c:rich>
          </c:tx>
          <c:layout>
            <c:manualLayout>
              <c:xMode val="edge"/>
              <c:yMode val="edge"/>
              <c:x val="3.8134469226991053E-3"/>
              <c:y val="0.2897228020447990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81273960"/>
        <c:crosses val="autoZero"/>
        <c:crossBetween val="between"/>
      </c:valAx>
      <c:spPr>
        <a:noFill/>
        <a:ln>
          <a:noFill/>
        </a:ln>
        <a:effectLst/>
      </c:spPr>
    </c:plotArea>
    <c:legend>
      <c:legendPos val="r"/>
      <c:layout>
        <c:manualLayout>
          <c:xMode val="edge"/>
          <c:yMode val="edge"/>
          <c:x val="0.69036892014231754"/>
          <c:y val="2.7074415767812696E-2"/>
          <c:w val="0.29946827718041436"/>
          <c:h val="0.9334957231065541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254873907514138"/>
          <c:y val="1.9045733808413613E-2"/>
          <c:w val="0.87035930270314144"/>
          <c:h val="0.68061173917506124"/>
        </c:manualLayout>
      </c:layout>
      <c:lineChart>
        <c:grouping val="standard"/>
        <c:varyColors val="0"/>
        <c:ser>
          <c:idx val="0"/>
          <c:order val="0"/>
          <c:tx>
            <c:strRef>
              <c:f>Mehi!$B$1</c:f>
              <c:strCache>
                <c:ptCount val="1"/>
                <c:pt idx="0">
                  <c:v>418044 - Mehi DS Tareelaroi</c:v>
                </c:pt>
              </c:strCache>
            </c:strRef>
          </c:tx>
          <c:spPr>
            <a:ln>
              <a:solidFill>
                <a:srgbClr val="FF0000"/>
              </a:solidFill>
              <a:prstDash val="sysDash"/>
            </a:ln>
          </c:spPr>
          <c:marker>
            <c:symbol val="none"/>
          </c:marker>
          <c:cat>
            <c:numRef>
              <c:f>Mehi!$A$5:$A$369</c:f>
              <c:numCache>
                <c:formatCode>m/d/yyyy</c:formatCode>
                <c:ptCount val="365"/>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numCache>
            </c:numRef>
          </c:cat>
          <c:val>
            <c:numRef>
              <c:f>Mehi!$B$5:$B$369</c:f>
              <c:numCache>
                <c:formatCode>General</c:formatCode>
                <c:ptCount val="365"/>
                <c:pt idx="0">
                  <c:v>16.385999999999999</c:v>
                </c:pt>
                <c:pt idx="1">
                  <c:v>15.377000000000001</c:v>
                </c:pt>
                <c:pt idx="2">
                  <c:v>15.55</c:v>
                </c:pt>
                <c:pt idx="3">
                  <c:v>15.298</c:v>
                </c:pt>
                <c:pt idx="4">
                  <c:v>15.332000000000001</c:v>
                </c:pt>
                <c:pt idx="5">
                  <c:v>15.275</c:v>
                </c:pt>
                <c:pt idx="6">
                  <c:v>15.318</c:v>
                </c:pt>
                <c:pt idx="7">
                  <c:v>15.159000000000001</c:v>
                </c:pt>
                <c:pt idx="8">
                  <c:v>14.773999999999999</c:v>
                </c:pt>
                <c:pt idx="9">
                  <c:v>14.464</c:v>
                </c:pt>
                <c:pt idx="10">
                  <c:v>13.818</c:v>
                </c:pt>
                <c:pt idx="11">
                  <c:v>13.458</c:v>
                </c:pt>
                <c:pt idx="12">
                  <c:v>13.776999999999999</c:v>
                </c:pt>
                <c:pt idx="13">
                  <c:v>13.590999999999999</c:v>
                </c:pt>
                <c:pt idx="14">
                  <c:v>13.141999999999999</c:v>
                </c:pt>
                <c:pt idx="15">
                  <c:v>12.67</c:v>
                </c:pt>
                <c:pt idx="16">
                  <c:v>12.532</c:v>
                </c:pt>
                <c:pt idx="17">
                  <c:v>25.11</c:v>
                </c:pt>
                <c:pt idx="18">
                  <c:v>72.278000000000006</c:v>
                </c:pt>
                <c:pt idx="19">
                  <c:v>95.965999999999994</c:v>
                </c:pt>
                <c:pt idx="20">
                  <c:v>97.054000000000002</c:v>
                </c:pt>
                <c:pt idx="21">
                  <c:v>153.35900000000001</c:v>
                </c:pt>
                <c:pt idx="22">
                  <c:v>185.91800000000001</c:v>
                </c:pt>
                <c:pt idx="23">
                  <c:v>112.81399999999999</c:v>
                </c:pt>
                <c:pt idx="24">
                  <c:v>45.698999999999998</c:v>
                </c:pt>
                <c:pt idx="25">
                  <c:v>47.584000000000003</c:v>
                </c:pt>
                <c:pt idx="26">
                  <c:v>36.436</c:v>
                </c:pt>
                <c:pt idx="27">
                  <c:v>53.26</c:v>
                </c:pt>
                <c:pt idx="28">
                  <c:v>59.872999999999998</c:v>
                </c:pt>
                <c:pt idx="29">
                  <c:v>57.344000000000001</c:v>
                </c:pt>
                <c:pt idx="30">
                  <c:v>52.545000000000002</c:v>
                </c:pt>
                <c:pt idx="31">
                  <c:v>45.698</c:v>
                </c:pt>
                <c:pt idx="32">
                  <c:v>36.777999999999999</c:v>
                </c:pt>
                <c:pt idx="33">
                  <c:v>31.419</c:v>
                </c:pt>
                <c:pt idx="34">
                  <c:v>30.869</c:v>
                </c:pt>
                <c:pt idx="35">
                  <c:v>33.896000000000001</c:v>
                </c:pt>
                <c:pt idx="36">
                  <c:v>36.164000000000001</c:v>
                </c:pt>
                <c:pt idx="37">
                  <c:v>38.609000000000002</c:v>
                </c:pt>
                <c:pt idx="38">
                  <c:v>39.679000000000002</c:v>
                </c:pt>
                <c:pt idx="39">
                  <c:v>40.179000000000002</c:v>
                </c:pt>
                <c:pt idx="40">
                  <c:v>40.401000000000003</c:v>
                </c:pt>
                <c:pt idx="41">
                  <c:v>40.35</c:v>
                </c:pt>
                <c:pt idx="42">
                  <c:v>39.615000000000002</c:v>
                </c:pt>
                <c:pt idx="43">
                  <c:v>36.561999999999998</c:v>
                </c:pt>
                <c:pt idx="44">
                  <c:v>34.656999999999996</c:v>
                </c:pt>
                <c:pt idx="45">
                  <c:v>33.832000000000001</c:v>
                </c:pt>
                <c:pt idx="46">
                  <c:v>32.832999999999998</c:v>
                </c:pt>
                <c:pt idx="47">
                  <c:v>33.844000000000001</c:v>
                </c:pt>
                <c:pt idx="48">
                  <c:v>230.94300000000001</c:v>
                </c:pt>
                <c:pt idx="49">
                  <c:v>268.83999999999997</c:v>
                </c:pt>
                <c:pt idx="50">
                  <c:v>254.77</c:v>
                </c:pt>
                <c:pt idx="51">
                  <c:v>237.672</c:v>
                </c:pt>
                <c:pt idx="52">
                  <c:v>165.196</c:v>
                </c:pt>
                <c:pt idx="53">
                  <c:v>78.251999999999995</c:v>
                </c:pt>
                <c:pt idx="54">
                  <c:v>59.698</c:v>
                </c:pt>
                <c:pt idx="55">
                  <c:v>28.547999999999998</c:v>
                </c:pt>
                <c:pt idx="56">
                  <c:v>2847.6640000000002</c:v>
                </c:pt>
                <c:pt idx="57">
                  <c:v>3026.0039999999999</c:v>
                </c:pt>
                <c:pt idx="58">
                  <c:v>883.09799999999996</c:v>
                </c:pt>
                <c:pt idx="59">
                  <c:v>59.642000000000003</c:v>
                </c:pt>
                <c:pt idx="60">
                  <c:v>11.491</c:v>
                </c:pt>
                <c:pt idx="61">
                  <c:v>10.145</c:v>
                </c:pt>
                <c:pt idx="62">
                  <c:v>12.121</c:v>
                </c:pt>
                <c:pt idx="63">
                  <c:v>8.7569999999999997</c:v>
                </c:pt>
                <c:pt idx="64">
                  <c:v>8.1869999999999994</c:v>
                </c:pt>
                <c:pt idx="65">
                  <c:v>7.9960000000000004</c:v>
                </c:pt>
                <c:pt idx="66">
                  <c:v>6.9669999999999996</c:v>
                </c:pt>
                <c:pt idx="67">
                  <c:v>6.7249999999999996</c:v>
                </c:pt>
                <c:pt idx="68">
                  <c:v>6.5090000000000003</c:v>
                </c:pt>
                <c:pt idx="69">
                  <c:v>6.8049999999999997</c:v>
                </c:pt>
                <c:pt idx="70">
                  <c:v>5.609</c:v>
                </c:pt>
                <c:pt idx="71">
                  <c:v>4.6429999999999998</c:v>
                </c:pt>
                <c:pt idx="72">
                  <c:v>6.2060000000000004</c:v>
                </c:pt>
                <c:pt idx="73">
                  <c:v>33.274000000000001</c:v>
                </c:pt>
                <c:pt idx="74">
                  <c:v>62.238999999999997</c:v>
                </c:pt>
                <c:pt idx="75">
                  <c:v>8.7479999999999993</c:v>
                </c:pt>
                <c:pt idx="76">
                  <c:v>8.9329999999999998</c:v>
                </c:pt>
                <c:pt idx="77">
                  <c:v>11.015000000000001</c:v>
                </c:pt>
                <c:pt idx="78">
                  <c:v>18.283999999999999</c:v>
                </c:pt>
                <c:pt idx="79">
                  <c:v>13.038</c:v>
                </c:pt>
                <c:pt idx="80">
                  <c:v>12.788</c:v>
                </c:pt>
                <c:pt idx="81">
                  <c:v>14.733000000000001</c:v>
                </c:pt>
                <c:pt idx="82">
                  <c:v>27.940999999999999</c:v>
                </c:pt>
                <c:pt idx="83">
                  <c:v>29.427</c:v>
                </c:pt>
                <c:pt idx="84">
                  <c:v>20.565000000000001</c:v>
                </c:pt>
                <c:pt idx="85">
                  <c:v>20.937000000000001</c:v>
                </c:pt>
                <c:pt idx="86">
                  <c:v>19.600999999999999</c:v>
                </c:pt>
                <c:pt idx="87">
                  <c:v>17.959</c:v>
                </c:pt>
                <c:pt idx="88">
                  <c:v>16.302</c:v>
                </c:pt>
                <c:pt idx="89">
                  <c:v>14.106</c:v>
                </c:pt>
                <c:pt idx="90">
                  <c:v>14.249000000000001</c:v>
                </c:pt>
                <c:pt idx="91">
                  <c:v>13.739000000000001</c:v>
                </c:pt>
                <c:pt idx="92">
                  <c:v>13.569000000000001</c:v>
                </c:pt>
                <c:pt idx="93">
                  <c:v>12.965</c:v>
                </c:pt>
                <c:pt idx="94">
                  <c:v>12.009</c:v>
                </c:pt>
                <c:pt idx="95">
                  <c:v>10.484</c:v>
                </c:pt>
                <c:pt idx="96">
                  <c:v>7.4880000000000004</c:v>
                </c:pt>
                <c:pt idx="97">
                  <c:v>9.0809999999999995</c:v>
                </c:pt>
                <c:pt idx="98">
                  <c:v>8.6039999999999992</c:v>
                </c:pt>
                <c:pt idx="99">
                  <c:v>9.1679999999999993</c:v>
                </c:pt>
                <c:pt idx="100">
                  <c:v>8.9559999999999995</c:v>
                </c:pt>
                <c:pt idx="101">
                  <c:v>21.318999999999999</c:v>
                </c:pt>
                <c:pt idx="102">
                  <c:v>29.87</c:v>
                </c:pt>
                <c:pt idx="103">
                  <c:v>34.317999999999998</c:v>
                </c:pt>
                <c:pt idx="104">
                  <c:v>36.234000000000002</c:v>
                </c:pt>
                <c:pt idx="105">
                  <c:v>31.327999999999999</c:v>
                </c:pt>
                <c:pt idx="106">
                  <c:v>30.888000000000002</c:v>
                </c:pt>
                <c:pt idx="107">
                  <c:v>26.347000000000001</c:v>
                </c:pt>
                <c:pt idx="108">
                  <c:v>23.391999999999999</c:v>
                </c:pt>
                <c:pt idx="109">
                  <c:v>18.832999999999998</c:v>
                </c:pt>
                <c:pt idx="110">
                  <c:v>6.9980000000000002</c:v>
                </c:pt>
                <c:pt idx="111">
                  <c:v>6.5759999999999996</c:v>
                </c:pt>
                <c:pt idx="112">
                  <c:v>5.7370000000000001</c:v>
                </c:pt>
                <c:pt idx="113">
                  <c:v>2.3650000000000002</c:v>
                </c:pt>
                <c:pt idx="114">
                  <c:v>2.4169999999999998</c:v>
                </c:pt>
                <c:pt idx="115">
                  <c:v>1.75</c:v>
                </c:pt>
                <c:pt idx="116">
                  <c:v>50.686999999999998</c:v>
                </c:pt>
                <c:pt idx="117">
                  <c:v>65.787000000000006</c:v>
                </c:pt>
                <c:pt idx="118">
                  <c:v>177.047</c:v>
                </c:pt>
                <c:pt idx="119">
                  <c:v>320.71499999999997</c:v>
                </c:pt>
                <c:pt idx="120">
                  <c:v>327.21300000000002</c:v>
                </c:pt>
                <c:pt idx="121">
                  <c:v>307.55099999999999</c:v>
                </c:pt>
                <c:pt idx="122">
                  <c:v>359.69299999999998</c:v>
                </c:pt>
                <c:pt idx="123">
                  <c:v>355.02199999999999</c:v>
                </c:pt>
                <c:pt idx="124">
                  <c:v>380.87900000000002</c:v>
                </c:pt>
                <c:pt idx="125">
                  <c:v>391.34899999999999</c:v>
                </c:pt>
                <c:pt idx="126">
                  <c:v>367.029</c:v>
                </c:pt>
                <c:pt idx="127">
                  <c:v>269.26900000000001</c:v>
                </c:pt>
                <c:pt idx="128">
                  <c:v>191.316</c:v>
                </c:pt>
                <c:pt idx="129">
                  <c:v>2172.8809999999999</c:v>
                </c:pt>
                <c:pt idx="130">
                  <c:v>2588.125</c:v>
                </c:pt>
                <c:pt idx="131">
                  <c:v>744.25800000000004</c:v>
                </c:pt>
                <c:pt idx="132">
                  <c:v>609.68399999999997</c:v>
                </c:pt>
                <c:pt idx="133">
                  <c:v>221.64599999999999</c:v>
                </c:pt>
                <c:pt idx="134">
                  <c:v>26.202000000000002</c:v>
                </c:pt>
                <c:pt idx="135">
                  <c:v>25.488</c:v>
                </c:pt>
                <c:pt idx="136">
                  <c:v>22.983000000000001</c:v>
                </c:pt>
                <c:pt idx="137">
                  <c:v>23.007999999999999</c:v>
                </c:pt>
                <c:pt idx="138">
                  <c:v>23.773</c:v>
                </c:pt>
                <c:pt idx="139">
                  <c:v>25.710999999999999</c:v>
                </c:pt>
                <c:pt idx="140">
                  <c:v>27.183</c:v>
                </c:pt>
                <c:pt idx="141">
                  <c:v>27.88</c:v>
                </c:pt>
                <c:pt idx="142">
                  <c:v>24.297999999999998</c:v>
                </c:pt>
                <c:pt idx="143">
                  <c:v>20.704000000000001</c:v>
                </c:pt>
                <c:pt idx="144">
                  <c:v>20.018999999999998</c:v>
                </c:pt>
                <c:pt idx="145">
                  <c:v>16.055</c:v>
                </c:pt>
                <c:pt idx="146">
                  <c:v>17.434999999999999</c:v>
                </c:pt>
                <c:pt idx="147">
                  <c:v>14.347</c:v>
                </c:pt>
                <c:pt idx="148">
                  <c:v>13.823</c:v>
                </c:pt>
                <c:pt idx="149">
                  <c:v>13.521000000000001</c:v>
                </c:pt>
                <c:pt idx="150">
                  <c:v>13.268000000000001</c:v>
                </c:pt>
                <c:pt idx="151">
                  <c:v>12.792</c:v>
                </c:pt>
                <c:pt idx="152">
                  <c:v>12.064</c:v>
                </c:pt>
                <c:pt idx="153">
                  <c:v>11.071</c:v>
                </c:pt>
                <c:pt idx="154">
                  <c:v>10.534000000000001</c:v>
                </c:pt>
                <c:pt idx="155">
                  <c:v>10.414999999999999</c:v>
                </c:pt>
                <c:pt idx="156">
                  <c:v>10.087</c:v>
                </c:pt>
                <c:pt idx="157">
                  <c:v>10.19</c:v>
                </c:pt>
                <c:pt idx="158">
                  <c:v>9.7539999999999996</c:v>
                </c:pt>
                <c:pt idx="159">
                  <c:v>9.5350000000000001</c:v>
                </c:pt>
                <c:pt idx="160">
                  <c:v>9.3209999999999997</c:v>
                </c:pt>
                <c:pt idx="161">
                  <c:v>8.9019999999999992</c:v>
                </c:pt>
                <c:pt idx="162">
                  <c:v>9.0790000000000006</c:v>
                </c:pt>
                <c:pt idx="163">
                  <c:v>12.196</c:v>
                </c:pt>
                <c:pt idx="164">
                  <c:v>13.994</c:v>
                </c:pt>
                <c:pt idx="165">
                  <c:v>22.535</c:v>
                </c:pt>
                <c:pt idx="166">
                  <c:v>29.707000000000001</c:v>
                </c:pt>
                <c:pt idx="167">
                  <c:v>32.456000000000003</c:v>
                </c:pt>
                <c:pt idx="168">
                  <c:v>446.69900000000001</c:v>
                </c:pt>
                <c:pt idx="169">
                  <c:v>524.971</c:v>
                </c:pt>
                <c:pt idx="170">
                  <c:v>562.17899999999997</c:v>
                </c:pt>
                <c:pt idx="171">
                  <c:v>639.53499999999997</c:v>
                </c:pt>
                <c:pt idx="172">
                  <c:v>718.05499999999995</c:v>
                </c:pt>
                <c:pt idx="173">
                  <c:v>807.85299999999995</c:v>
                </c:pt>
                <c:pt idx="174">
                  <c:v>972.60900000000004</c:v>
                </c:pt>
                <c:pt idx="175">
                  <c:v>1053.3050000000001</c:v>
                </c:pt>
                <c:pt idx="176">
                  <c:v>1106.0609999999999</c:v>
                </c:pt>
                <c:pt idx="177">
                  <c:v>1166.2619999999999</c:v>
                </c:pt>
                <c:pt idx="178">
                  <c:v>1224.578</c:v>
                </c:pt>
                <c:pt idx="179">
                  <c:v>1243.75</c:v>
                </c:pt>
                <c:pt idx="180">
                  <c:v>1247.739</c:v>
                </c:pt>
                <c:pt idx="181">
                  <c:v>1246.46</c:v>
                </c:pt>
                <c:pt idx="182">
                  <c:v>1175.6400000000001</c:v>
                </c:pt>
                <c:pt idx="183">
                  <c:v>1012.384</c:v>
                </c:pt>
                <c:pt idx="184">
                  <c:v>927.44500000000005</c:v>
                </c:pt>
                <c:pt idx="185">
                  <c:v>816.36699999999996</c:v>
                </c:pt>
                <c:pt idx="186">
                  <c:v>473.697</c:v>
                </c:pt>
                <c:pt idx="187">
                  <c:v>253.53700000000001</c:v>
                </c:pt>
                <c:pt idx="188">
                  <c:v>190.816</c:v>
                </c:pt>
                <c:pt idx="189">
                  <c:v>136.596</c:v>
                </c:pt>
                <c:pt idx="190">
                  <c:v>114.577</c:v>
                </c:pt>
                <c:pt idx="191">
                  <c:v>88.909000000000006</c:v>
                </c:pt>
                <c:pt idx="192">
                  <c:v>81.364999999999995</c:v>
                </c:pt>
                <c:pt idx="193">
                  <c:v>69.653000000000006</c:v>
                </c:pt>
                <c:pt idx="194">
                  <c:v>51.191000000000003</c:v>
                </c:pt>
                <c:pt idx="195">
                  <c:v>35.981999999999999</c:v>
                </c:pt>
                <c:pt idx="196">
                  <c:v>28.295000000000002</c:v>
                </c:pt>
                <c:pt idx="197">
                  <c:v>30.818000000000001</c:v>
                </c:pt>
                <c:pt idx="198">
                  <c:v>30.111000000000001</c:v>
                </c:pt>
                <c:pt idx="199">
                  <c:v>30.286000000000001</c:v>
                </c:pt>
                <c:pt idx="200">
                  <c:v>238.43199999999999</c:v>
                </c:pt>
                <c:pt idx="201">
                  <c:v>861.97799999999995</c:v>
                </c:pt>
                <c:pt idx="202">
                  <c:v>1131.413</c:v>
                </c:pt>
                <c:pt idx="203">
                  <c:v>1182.9269999999999</c:v>
                </c:pt>
                <c:pt idx="204">
                  <c:v>1152.7360000000001</c:v>
                </c:pt>
                <c:pt idx="205">
                  <c:v>1145.2570000000001</c:v>
                </c:pt>
                <c:pt idx="206">
                  <c:v>1193.4349999999999</c:v>
                </c:pt>
                <c:pt idx="207">
                  <c:v>1137.242</c:v>
                </c:pt>
                <c:pt idx="208">
                  <c:v>1087.02</c:v>
                </c:pt>
                <c:pt idx="209">
                  <c:v>1078.556</c:v>
                </c:pt>
                <c:pt idx="210">
                  <c:v>1078.5070000000001</c:v>
                </c:pt>
                <c:pt idx="211">
                  <c:v>1168.627</c:v>
                </c:pt>
                <c:pt idx="212">
                  <c:v>1053.316</c:v>
                </c:pt>
                <c:pt idx="213">
                  <c:v>706.35900000000004</c:v>
                </c:pt>
                <c:pt idx="214">
                  <c:v>1179.796</c:v>
                </c:pt>
                <c:pt idx="215">
                  <c:v>948.54600000000005</c:v>
                </c:pt>
                <c:pt idx="216">
                  <c:v>144.78700000000001</c:v>
                </c:pt>
                <c:pt idx="217">
                  <c:v>57.96</c:v>
                </c:pt>
                <c:pt idx="218">
                  <c:v>55.154000000000003</c:v>
                </c:pt>
                <c:pt idx="219">
                  <c:v>51.66</c:v>
                </c:pt>
                <c:pt idx="220">
                  <c:v>50.951000000000001</c:v>
                </c:pt>
                <c:pt idx="221">
                  <c:v>35.491</c:v>
                </c:pt>
                <c:pt idx="222">
                  <c:v>29.731000000000002</c:v>
                </c:pt>
                <c:pt idx="223">
                  <c:v>32.904000000000003</c:v>
                </c:pt>
                <c:pt idx="224">
                  <c:v>38.134</c:v>
                </c:pt>
                <c:pt idx="225">
                  <c:v>39.033000000000001</c:v>
                </c:pt>
                <c:pt idx="226">
                  <c:v>40.996000000000002</c:v>
                </c:pt>
                <c:pt idx="227">
                  <c:v>40.512</c:v>
                </c:pt>
                <c:pt idx="228">
                  <c:v>38.773000000000003</c:v>
                </c:pt>
                <c:pt idx="229">
                  <c:v>38.747</c:v>
                </c:pt>
                <c:pt idx="230">
                  <c:v>36.529000000000003</c:v>
                </c:pt>
                <c:pt idx="231">
                  <c:v>30.68</c:v>
                </c:pt>
                <c:pt idx="232">
                  <c:v>25.92</c:v>
                </c:pt>
                <c:pt idx="233">
                  <c:v>22.085000000000001</c:v>
                </c:pt>
                <c:pt idx="234">
                  <c:v>20.292999999999999</c:v>
                </c:pt>
                <c:pt idx="235">
                  <c:v>18.923999999999999</c:v>
                </c:pt>
                <c:pt idx="236">
                  <c:v>17.977</c:v>
                </c:pt>
                <c:pt idx="237">
                  <c:v>18.516999999999999</c:v>
                </c:pt>
                <c:pt idx="238">
                  <c:v>18.736999999999998</c:v>
                </c:pt>
                <c:pt idx="239">
                  <c:v>18.46</c:v>
                </c:pt>
                <c:pt idx="240">
                  <c:v>17.3</c:v>
                </c:pt>
                <c:pt idx="241">
                  <c:v>14.766999999999999</c:v>
                </c:pt>
                <c:pt idx="242">
                  <c:v>13.098000000000001</c:v>
                </c:pt>
                <c:pt idx="243">
                  <c:v>11.66</c:v>
                </c:pt>
                <c:pt idx="244">
                  <c:v>9.593</c:v>
                </c:pt>
                <c:pt idx="245">
                  <c:v>5.43</c:v>
                </c:pt>
                <c:pt idx="246">
                  <c:v>9.0999999999999998E-2</c:v>
                </c:pt>
                <c:pt idx="247">
                  <c:v>0</c:v>
                </c:pt>
                <c:pt idx="248">
                  <c:v>0.61599999999999999</c:v>
                </c:pt>
                <c:pt idx="249">
                  <c:v>1.2509999999999999</c:v>
                </c:pt>
                <c:pt idx="250">
                  <c:v>1.571</c:v>
                </c:pt>
                <c:pt idx="251">
                  <c:v>1.901</c:v>
                </c:pt>
                <c:pt idx="252">
                  <c:v>2.0110000000000001</c:v>
                </c:pt>
                <c:pt idx="253">
                  <c:v>2.5739999999999998</c:v>
                </c:pt>
                <c:pt idx="254">
                  <c:v>2.7090000000000001</c:v>
                </c:pt>
                <c:pt idx="255">
                  <c:v>3.5030000000000001</c:v>
                </c:pt>
                <c:pt idx="256">
                  <c:v>4.4809999999999999</c:v>
                </c:pt>
                <c:pt idx="257">
                  <c:v>4.8220000000000001</c:v>
                </c:pt>
                <c:pt idx="258">
                  <c:v>5.16</c:v>
                </c:pt>
                <c:pt idx="259">
                  <c:v>4.907</c:v>
                </c:pt>
                <c:pt idx="260">
                  <c:v>4.5629999999999997</c:v>
                </c:pt>
                <c:pt idx="261">
                  <c:v>4.2859999999999996</c:v>
                </c:pt>
                <c:pt idx="262">
                  <c:v>4.7140000000000004</c:v>
                </c:pt>
                <c:pt idx="263">
                  <c:v>5.4820000000000002</c:v>
                </c:pt>
                <c:pt idx="264">
                  <c:v>5.8129999999999997</c:v>
                </c:pt>
                <c:pt idx="265">
                  <c:v>5.7690000000000001</c:v>
                </c:pt>
                <c:pt idx="266">
                  <c:v>5.9660000000000002</c:v>
                </c:pt>
                <c:pt idx="267">
                  <c:v>6.1509999999999998</c:v>
                </c:pt>
                <c:pt idx="268">
                  <c:v>6.0750000000000002</c:v>
                </c:pt>
                <c:pt idx="269">
                  <c:v>6.9379999999999997</c:v>
                </c:pt>
                <c:pt idx="270">
                  <c:v>7.2119999999999997</c:v>
                </c:pt>
                <c:pt idx="271">
                  <c:v>7.1950000000000003</c:v>
                </c:pt>
                <c:pt idx="272">
                  <c:v>6.65</c:v>
                </c:pt>
                <c:pt idx="273">
                  <c:v>6.7329999999999997</c:v>
                </c:pt>
                <c:pt idx="274">
                  <c:v>6.7480000000000002</c:v>
                </c:pt>
                <c:pt idx="275">
                  <c:v>6.6840000000000002</c:v>
                </c:pt>
                <c:pt idx="276">
                  <c:v>6.0789999999999997</c:v>
                </c:pt>
                <c:pt idx="277">
                  <c:v>5.7389999999999999</c:v>
                </c:pt>
                <c:pt idx="278">
                  <c:v>5.7850000000000001</c:v>
                </c:pt>
                <c:pt idx="279">
                  <c:v>5.665</c:v>
                </c:pt>
                <c:pt idx="280">
                  <c:v>5.8159999999999998</c:v>
                </c:pt>
                <c:pt idx="281">
                  <c:v>5.82</c:v>
                </c:pt>
                <c:pt idx="282">
                  <c:v>5.8319999999999999</c:v>
                </c:pt>
                <c:pt idx="283">
                  <c:v>5.8360000000000003</c:v>
                </c:pt>
                <c:pt idx="284">
                  <c:v>5.9020000000000001</c:v>
                </c:pt>
                <c:pt idx="285">
                  <c:v>6.1219999999999999</c:v>
                </c:pt>
                <c:pt idx="286">
                  <c:v>6.1130000000000004</c:v>
                </c:pt>
                <c:pt idx="287">
                  <c:v>19.14</c:v>
                </c:pt>
                <c:pt idx="288">
                  <c:v>40.951999999999998</c:v>
                </c:pt>
                <c:pt idx="289">
                  <c:v>58.104999999999997</c:v>
                </c:pt>
                <c:pt idx="290">
                  <c:v>64.34</c:v>
                </c:pt>
                <c:pt idx="291">
                  <c:v>69.430000000000007</c:v>
                </c:pt>
                <c:pt idx="292">
                  <c:v>69.078999999999994</c:v>
                </c:pt>
                <c:pt idx="293">
                  <c:v>65.48</c:v>
                </c:pt>
                <c:pt idx="294">
                  <c:v>59.308999999999997</c:v>
                </c:pt>
                <c:pt idx="295">
                  <c:v>55.216999999999999</c:v>
                </c:pt>
                <c:pt idx="296">
                  <c:v>54.622999999999998</c:v>
                </c:pt>
                <c:pt idx="297">
                  <c:v>60.969000000000001</c:v>
                </c:pt>
                <c:pt idx="298">
                  <c:v>63.963000000000001</c:v>
                </c:pt>
                <c:pt idx="299">
                  <c:v>60.526000000000003</c:v>
                </c:pt>
                <c:pt idx="300">
                  <c:v>61.326000000000001</c:v>
                </c:pt>
                <c:pt idx="301">
                  <c:v>67.453000000000003</c:v>
                </c:pt>
                <c:pt idx="302">
                  <c:v>70.61</c:v>
                </c:pt>
                <c:pt idx="303">
                  <c:v>74.028999999999996</c:v>
                </c:pt>
                <c:pt idx="304">
                  <c:v>70.784999999999997</c:v>
                </c:pt>
                <c:pt idx="305">
                  <c:v>68.304000000000002</c:v>
                </c:pt>
                <c:pt idx="306">
                  <c:v>65.590999999999994</c:v>
                </c:pt>
                <c:pt idx="307">
                  <c:v>76.275999999999996</c:v>
                </c:pt>
                <c:pt idx="308">
                  <c:v>80.253</c:v>
                </c:pt>
                <c:pt idx="309">
                  <c:v>75.772999999999996</c:v>
                </c:pt>
                <c:pt idx="310">
                  <c:v>76.989999999999995</c:v>
                </c:pt>
                <c:pt idx="311">
                  <c:v>75.635000000000005</c:v>
                </c:pt>
                <c:pt idx="312">
                  <c:v>77.930000000000007</c:v>
                </c:pt>
                <c:pt idx="313">
                  <c:v>82.534999999999997</c:v>
                </c:pt>
                <c:pt idx="314">
                  <c:v>271.476</c:v>
                </c:pt>
                <c:pt idx="315">
                  <c:v>407.37700000000001</c:v>
                </c:pt>
                <c:pt idx="316">
                  <c:v>406.327</c:v>
                </c:pt>
                <c:pt idx="317">
                  <c:v>386.45299999999997</c:v>
                </c:pt>
                <c:pt idx="318">
                  <c:v>343.01400000000001</c:v>
                </c:pt>
                <c:pt idx="319">
                  <c:v>386.12400000000002</c:v>
                </c:pt>
                <c:pt idx="320">
                  <c:v>427.05599999999998</c:v>
                </c:pt>
                <c:pt idx="321">
                  <c:v>408.89699999999999</c:v>
                </c:pt>
                <c:pt idx="322">
                  <c:v>407.28</c:v>
                </c:pt>
                <c:pt idx="323">
                  <c:v>418.83699999999999</c:v>
                </c:pt>
                <c:pt idx="324">
                  <c:v>343.54</c:v>
                </c:pt>
                <c:pt idx="325">
                  <c:v>205.94399999999999</c:v>
                </c:pt>
                <c:pt idx="326">
                  <c:v>118.098</c:v>
                </c:pt>
                <c:pt idx="327">
                  <c:v>102.833</c:v>
                </c:pt>
                <c:pt idx="328">
                  <c:v>50.363999999999997</c:v>
                </c:pt>
                <c:pt idx="329">
                  <c:v>25.23</c:v>
                </c:pt>
                <c:pt idx="330">
                  <c:v>22.416</c:v>
                </c:pt>
                <c:pt idx="331">
                  <c:v>18.847000000000001</c:v>
                </c:pt>
                <c:pt idx="332">
                  <c:v>16.234999999999999</c:v>
                </c:pt>
                <c:pt idx="333">
                  <c:v>13.266999999999999</c:v>
                </c:pt>
                <c:pt idx="334">
                  <c:v>8.8320000000000007</c:v>
                </c:pt>
                <c:pt idx="335">
                  <c:v>2.68</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7.843</c:v>
                </c:pt>
                <c:pt idx="356">
                  <c:v>11.586</c:v>
                </c:pt>
                <c:pt idx="357">
                  <c:v>12.492000000000001</c:v>
                </c:pt>
                <c:pt idx="358">
                  <c:v>34.869999999999997</c:v>
                </c:pt>
                <c:pt idx="359">
                  <c:v>61.600999999999999</c:v>
                </c:pt>
                <c:pt idx="360">
                  <c:v>49.575000000000003</c:v>
                </c:pt>
                <c:pt idx="361">
                  <c:v>55.497999999999998</c:v>
                </c:pt>
                <c:pt idx="362">
                  <c:v>77.84</c:v>
                </c:pt>
                <c:pt idx="363">
                  <c:v>69.287999999999997</c:v>
                </c:pt>
                <c:pt idx="364">
                  <c:v>38.908999999999999</c:v>
                </c:pt>
              </c:numCache>
            </c:numRef>
          </c:val>
          <c:smooth val="0"/>
          <c:extLst xmlns:c16r2="http://schemas.microsoft.com/office/drawing/2015/06/chart">
            <c:ext xmlns:c16="http://schemas.microsoft.com/office/drawing/2014/chart" uri="{C3380CC4-5D6E-409C-BE32-E72D297353CC}">
              <c16:uniqueId val="{00000000-6B32-41A0-A3BE-40059A028438}"/>
            </c:ext>
          </c:extLst>
        </c:ser>
        <c:ser>
          <c:idx val="1"/>
          <c:order val="1"/>
          <c:tx>
            <c:strRef>
              <c:f>Mehi!$C$1</c:f>
              <c:strCache>
                <c:ptCount val="1"/>
                <c:pt idx="0">
                  <c:v>418055 - Mehi River @ Near Collarenebri</c:v>
                </c:pt>
              </c:strCache>
            </c:strRef>
          </c:tx>
          <c:spPr>
            <a:ln>
              <a:solidFill>
                <a:srgbClr val="0070C0"/>
              </a:solidFill>
            </a:ln>
          </c:spPr>
          <c:marker>
            <c:symbol val="none"/>
          </c:marker>
          <c:cat>
            <c:numRef>
              <c:f>Mehi!$A$5:$A$369</c:f>
              <c:numCache>
                <c:formatCode>m/d/yyyy</c:formatCode>
                <c:ptCount val="365"/>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numCache>
            </c:numRef>
          </c:cat>
          <c:val>
            <c:numRef>
              <c:f>Mehi!$C$5:$C$369</c:f>
              <c:numCache>
                <c:formatCode>General</c:formatCode>
                <c:ptCount val="365"/>
                <c:pt idx="0">
                  <c:v>132.96100000000001</c:v>
                </c:pt>
                <c:pt idx="1">
                  <c:v>117.532</c:v>
                </c:pt>
                <c:pt idx="2">
                  <c:v>106.989</c:v>
                </c:pt>
                <c:pt idx="3">
                  <c:v>99.677999999999997</c:v>
                </c:pt>
                <c:pt idx="4">
                  <c:v>89.590999999999994</c:v>
                </c:pt>
                <c:pt idx="5">
                  <c:v>78.727000000000004</c:v>
                </c:pt>
                <c:pt idx="6">
                  <c:v>67.927999999999997</c:v>
                </c:pt>
                <c:pt idx="7">
                  <c:v>58.874000000000002</c:v>
                </c:pt>
                <c:pt idx="8">
                  <c:v>51.7</c:v>
                </c:pt>
                <c:pt idx="9">
                  <c:v>46.082999999999998</c:v>
                </c:pt>
                <c:pt idx="10">
                  <c:v>42.845999999999997</c:v>
                </c:pt>
                <c:pt idx="11">
                  <c:v>40.817</c:v>
                </c:pt>
                <c:pt idx="12">
                  <c:v>37.357999999999997</c:v>
                </c:pt>
                <c:pt idx="13">
                  <c:v>34.728999999999999</c:v>
                </c:pt>
                <c:pt idx="14">
                  <c:v>32.369</c:v>
                </c:pt>
                <c:pt idx="15">
                  <c:v>30.247</c:v>
                </c:pt>
                <c:pt idx="16">
                  <c:v>28.936</c:v>
                </c:pt>
                <c:pt idx="17">
                  <c:v>26.582999999999998</c:v>
                </c:pt>
                <c:pt idx="18">
                  <c:v>24.251999999999999</c:v>
                </c:pt>
                <c:pt idx="19">
                  <c:v>22.393000000000001</c:v>
                </c:pt>
                <c:pt idx="20">
                  <c:v>20.952999999999999</c:v>
                </c:pt>
                <c:pt idx="21">
                  <c:v>19.643000000000001</c:v>
                </c:pt>
                <c:pt idx="22">
                  <c:v>18.391999999999999</c:v>
                </c:pt>
                <c:pt idx="23">
                  <c:v>20.114999999999998</c:v>
                </c:pt>
                <c:pt idx="24">
                  <c:v>20.292000000000002</c:v>
                </c:pt>
                <c:pt idx="25">
                  <c:v>19.693999999999999</c:v>
                </c:pt>
                <c:pt idx="26">
                  <c:v>18.013000000000002</c:v>
                </c:pt>
                <c:pt idx="27">
                  <c:v>16.643999999999998</c:v>
                </c:pt>
                <c:pt idx="28">
                  <c:v>15.76</c:v>
                </c:pt>
                <c:pt idx="29">
                  <c:v>15.07</c:v>
                </c:pt>
                <c:pt idx="30">
                  <c:v>14.558</c:v>
                </c:pt>
                <c:pt idx="31">
                  <c:v>14.153</c:v>
                </c:pt>
                <c:pt idx="32">
                  <c:v>13.743</c:v>
                </c:pt>
                <c:pt idx="33">
                  <c:v>23.533000000000001</c:v>
                </c:pt>
                <c:pt idx="34">
                  <c:v>32.829000000000001</c:v>
                </c:pt>
                <c:pt idx="35">
                  <c:v>34.238999999999997</c:v>
                </c:pt>
                <c:pt idx="36">
                  <c:v>37.299999999999997</c:v>
                </c:pt>
                <c:pt idx="37">
                  <c:v>39.454000000000001</c:v>
                </c:pt>
                <c:pt idx="38">
                  <c:v>38.317999999999998</c:v>
                </c:pt>
                <c:pt idx="39">
                  <c:v>36.536999999999999</c:v>
                </c:pt>
                <c:pt idx="40">
                  <c:v>35.973999999999997</c:v>
                </c:pt>
                <c:pt idx="41">
                  <c:v>37.231000000000002</c:v>
                </c:pt>
                <c:pt idx="42">
                  <c:v>38.545000000000002</c:v>
                </c:pt>
                <c:pt idx="43">
                  <c:v>38.369</c:v>
                </c:pt>
                <c:pt idx="44">
                  <c:v>38.026000000000003</c:v>
                </c:pt>
                <c:pt idx="45">
                  <c:v>37</c:v>
                </c:pt>
                <c:pt idx="46">
                  <c:v>35.097000000000001</c:v>
                </c:pt>
                <c:pt idx="47">
                  <c:v>33.273000000000003</c:v>
                </c:pt>
                <c:pt idx="48">
                  <c:v>31.838000000000001</c:v>
                </c:pt>
                <c:pt idx="49">
                  <c:v>30.731000000000002</c:v>
                </c:pt>
                <c:pt idx="50">
                  <c:v>30.236000000000001</c:v>
                </c:pt>
                <c:pt idx="51">
                  <c:v>30.202999999999999</c:v>
                </c:pt>
                <c:pt idx="52">
                  <c:v>30.658999999999999</c:v>
                </c:pt>
                <c:pt idx="53">
                  <c:v>31.468</c:v>
                </c:pt>
                <c:pt idx="54">
                  <c:v>32.081000000000003</c:v>
                </c:pt>
                <c:pt idx="55">
                  <c:v>33.412999999999997</c:v>
                </c:pt>
                <c:pt idx="56">
                  <c:v>33.133000000000003</c:v>
                </c:pt>
                <c:pt idx="57">
                  <c:v>33.472999999999999</c:v>
                </c:pt>
                <c:pt idx="58">
                  <c:v>32.914999999999999</c:v>
                </c:pt>
                <c:pt idx="59">
                  <c:v>29.757999999999999</c:v>
                </c:pt>
                <c:pt idx="60">
                  <c:v>25.132000000000001</c:v>
                </c:pt>
                <c:pt idx="61">
                  <c:v>19.821000000000002</c:v>
                </c:pt>
                <c:pt idx="62">
                  <c:v>15.154</c:v>
                </c:pt>
                <c:pt idx="63">
                  <c:v>11.912000000000001</c:v>
                </c:pt>
                <c:pt idx="64">
                  <c:v>9.8409999999999993</c:v>
                </c:pt>
                <c:pt idx="65">
                  <c:v>8.6219999999999999</c:v>
                </c:pt>
                <c:pt idx="66">
                  <c:v>8.7219999999999995</c:v>
                </c:pt>
                <c:pt idx="67">
                  <c:v>43.491999999999997</c:v>
                </c:pt>
                <c:pt idx="68">
                  <c:v>53.767000000000003</c:v>
                </c:pt>
                <c:pt idx="69">
                  <c:v>42.835999999999999</c:v>
                </c:pt>
                <c:pt idx="70">
                  <c:v>34.838999999999999</c:v>
                </c:pt>
                <c:pt idx="71">
                  <c:v>28.925000000000001</c:v>
                </c:pt>
                <c:pt idx="72">
                  <c:v>23.617000000000001</c:v>
                </c:pt>
                <c:pt idx="73">
                  <c:v>19.919</c:v>
                </c:pt>
                <c:pt idx="74">
                  <c:v>18.207999999999998</c:v>
                </c:pt>
                <c:pt idx="75">
                  <c:v>19.373999999999999</c:v>
                </c:pt>
                <c:pt idx="76">
                  <c:v>21.337</c:v>
                </c:pt>
                <c:pt idx="77">
                  <c:v>21.431000000000001</c:v>
                </c:pt>
                <c:pt idx="78">
                  <c:v>19.808</c:v>
                </c:pt>
                <c:pt idx="79">
                  <c:v>17.594999999999999</c:v>
                </c:pt>
                <c:pt idx="80">
                  <c:v>15.67</c:v>
                </c:pt>
                <c:pt idx="81">
                  <c:v>14.28</c:v>
                </c:pt>
                <c:pt idx="82">
                  <c:v>12.689</c:v>
                </c:pt>
                <c:pt idx="83">
                  <c:v>11.246</c:v>
                </c:pt>
                <c:pt idx="84">
                  <c:v>9.7189999999999994</c:v>
                </c:pt>
                <c:pt idx="85">
                  <c:v>8.2360000000000007</c:v>
                </c:pt>
                <c:pt idx="86">
                  <c:v>6.97</c:v>
                </c:pt>
                <c:pt idx="87">
                  <c:v>6.0629999999999997</c:v>
                </c:pt>
                <c:pt idx="88">
                  <c:v>5.2409999999999997</c:v>
                </c:pt>
                <c:pt idx="89">
                  <c:v>4.4349999999999996</c:v>
                </c:pt>
                <c:pt idx="90">
                  <c:v>3.7309999999999999</c:v>
                </c:pt>
                <c:pt idx="91">
                  <c:v>3.1120000000000001</c:v>
                </c:pt>
                <c:pt idx="92">
                  <c:v>2.5640000000000001</c:v>
                </c:pt>
                <c:pt idx="93">
                  <c:v>2.149</c:v>
                </c:pt>
                <c:pt idx="94">
                  <c:v>1.8260000000000001</c:v>
                </c:pt>
                <c:pt idx="95">
                  <c:v>1.516</c:v>
                </c:pt>
                <c:pt idx="96">
                  <c:v>1.2529999999999999</c:v>
                </c:pt>
                <c:pt idx="97">
                  <c:v>0.99</c:v>
                </c:pt>
                <c:pt idx="98">
                  <c:v>0.74</c:v>
                </c:pt>
                <c:pt idx="99">
                  <c:v>0.55200000000000005</c:v>
                </c:pt>
                <c:pt idx="100">
                  <c:v>0.40200000000000002</c:v>
                </c:pt>
                <c:pt idx="101">
                  <c:v>0.30499999999999999</c:v>
                </c:pt>
                <c:pt idx="102">
                  <c:v>0.22900000000000001</c:v>
                </c:pt>
                <c:pt idx="103">
                  <c:v>0.14499999999999999</c:v>
                </c:pt>
                <c:pt idx="104">
                  <c:v>8.5999999999999993E-2</c:v>
                </c:pt>
                <c:pt idx="105">
                  <c:v>6.2E-2</c:v>
                </c:pt>
                <c:pt idx="106">
                  <c:v>7.0000000000000007E-2</c:v>
                </c:pt>
                <c:pt idx="107">
                  <c:v>1.7999999999999999E-2</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17.956</c:v>
                </c:pt>
                <c:pt idx="139">
                  <c:v>168.143</c:v>
                </c:pt>
                <c:pt idx="140">
                  <c:v>120.26600000000001</c:v>
                </c:pt>
                <c:pt idx="141">
                  <c:v>65.668000000000006</c:v>
                </c:pt>
                <c:pt idx="142">
                  <c:v>37.520000000000003</c:v>
                </c:pt>
                <c:pt idx="143">
                  <c:v>26.16</c:v>
                </c:pt>
                <c:pt idx="144">
                  <c:v>16.768999999999998</c:v>
                </c:pt>
                <c:pt idx="145">
                  <c:v>11.65</c:v>
                </c:pt>
                <c:pt idx="146">
                  <c:v>8.5250000000000004</c:v>
                </c:pt>
                <c:pt idx="147">
                  <c:v>6.2759999999999998</c:v>
                </c:pt>
                <c:pt idx="148">
                  <c:v>4.7140000000000004</c:v>
                </c:pt>
                <c:pt idx="149">
                  <c:v>3.6459999999999999</c:v>
                </c:pt>
                <c:pt idx="150">
                  <c:v>2.6819999999999999</c:v>
                </c:pt>
                <c:pt idx="151">
                  <c:v>2.1120000000000001</c:v>
                </c:pt>
                <c:pt idx="152">
                  <c:v>1.7190000000000001</c:v>
                </c:pt>
                <c:pt idx="153">
                  <c:v>1.395</c:v>
                </c:pt>
                <c:pt idx="154">
                  <c:v>1.1459999999999999</c:v>
                </c:pt>
                <c:pt idx="155">
                  <c:v>0.95899999999999996</c:v>
                </c:pt>
                <c:pt idx="156">
                  <c:v>0.68600000000000005</c:v>
                </c:pt>
                <c:pt idx="157">
                  <c:v>0.43</c:v>
                </c:pt>
                <c:pt idx="158">
                  <c:v>0.24299999999999999</c:v>
                </c:pt>
                <c:pt idx="159">
                  <c:v>0.129</c:v>
                </c:pt>
                <c:pt idx="160">
                  <c:v>6.2E-2</c:v>
                </c:pt>
                <c:pt idx="161">
                  <c:v>5.0000000000000001E-3</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0.80900000000000005</c:v>
                </c:pt>
                <c:pt idx="188">
                  <c:v>15.099</c:v>
                </c:pt>
                <c:pt idx="189">
                  <c:v>40.441000000000003</c:v>
                </c:pt>
                <c:pt idx="190">
                  <c:v>82.448999999999998</c:v>
                </c:pt>
                <c:pt idx="191">
                  <c:v>20.972000000000001</c:v>
                </c:pt>
                <c:pt idx="192">
                  <c:v>5.7089999999999996</c:v>
                </c:pt>
                <c:pt idx="193">
                  <c:v>2.0760000000000001</c:v>
                </c:pt>
                <c:pt idx="194">
                  <c:v>0.82699999999999996</c:v>
                </c:pt>
                <c:pt idx="195">
                  <c:v>0.36</c:v>
                </c:pt>
                <c:pt idx="196">
                  <c:v>1.4370000000000001</c:v>
                </c:pt>
                <c:pt idx="197">
                  <c:v>24.689</c:v>
                </c:pt>
                <c:pt idx="198">
                  <c:v>36.176000000000002</c:v>
                </c:pt>
                <c:pt idx="199">
                  <c:v>35.283999999999999</c:v>
                </c:pt>
                <c:pt idx="200">
                  <c:v>33.957999999999998</c:v>
                </c:pt>
                <c:pt idx="201">
                  <c:v>31.904</c:v>
                </c:pt>
                <c:pt idx="202">
                  <c:v>28.756</c:v>
                </c:pt>
                <c:pt idx="203">
                  <c:v>24.414999999999999</c:v>
                </c:pt>
                <c:pt idx="204">
                  <c:v>20.446999999999999</c:v>
                </c:pt>
                <c:pt idx="205">
                  <c:v>16.817</c:v>
                </c:pt>
                <c:pt idx="206">
                  <c:v>14.262</c:v>
                </c:pt>
                <c:pt idx="207">
                  <c:v>12.42</c:v>
                </c:pt>
                <c:pt idx="208">
                  <c:v>10.119</c:v>
                </c:pt>
                <c:pt idx="209">
                  <c:v>8.3620000000000001</c:v>
                </c:pt>
                <c:pt idx="210">
                  <c:v>7.4020000000000001</c:v>
                </c:pt>
                <c:pt idx="211">
                  <c:v>31.826000000000001</c:v>
                </c:pt>
                <c:pt idx="212">
                  <c:v>180.05600000000001</c:v>
                </c:pt>
                <c:pt idx="213">
                  <c:v>82.486000000000004</c:v>
                </c:pt>
                <c:pt idx="214">
                  <c:v>33.777000000000001</c:v>
                </c:pt>
                <c:pt idx="215">
                  <c:v>62.982999999999997</c:v>
                </c:pt>
                <c:pt idx="216">
                  <c:v>61.96</c:v>
                </c:pt>
                <c:pt idx="217">
                  <c:v>46.164000000000001</c:v>
                </c:pt>
                <c:pt idx="218">
                  <c:v>101.545</c:v>
                </c:pt>
                <c:pt idx="219">
                  <c:v>106.23099999999999</c:v>
                </c:pt>
                <c:pt idx="220">
                  <c:v>78.218000000000004</c:v>
                </c:pt>
                <c:pt idx="221">
                  <c:v>55.756999999999998</c:v>
                </c:pt>
                <c:pt idx="222">
                  <c:v>45.293999999999997</c:v>
                </c:pt>
                <c:pt idx="223">
                  <c:v>36.145000000000003</c:v>
                </c:pt>
                <c:pt idx="224">
                  <c:v>27.771999999999998</c:v>
                </c:pt>
                <c:pt idx="225">
                  <c:v>24.321999999999999</c:v>
                </c:pt>
                <c:pt idx="226">
                  <c:v>46.134</c:v>
                </c:pt>
                <c:pt idx="227">
                  <c:v>81.203000000000003</c:v>
                </c:pt>
                <c:pt idx="228">
                  <c:v>74.867000000000004</c:v>
                </c:pt>
                <c:pt idx="229">
                  <c:v>64.346999999999994</c:v>
                </c:pt>
                <c:pt idx="230">
                  <c:v>57.216000000000001</c:v>
                </c:pt>
                <c:pt idx="231">
                  <c:v>50.454999999999998</c:v>
                </c:pt>
                <c:pt idx="232">
                  <c:v>42.18</c:v>
                </c:pt>
                <c:pt idx="233">
                  <c:v>34.631</c:v>
                </c:pt>
                <c:pt idx="234">
                  <c:v>29.542000000000002</c:v>
                </c:pt>
                <c:pt idx="235">
                  <c:v>24.571000000000002</c:v>
                </c:pt>
                <c:pt idx="236">
                  <c:v>20.312000000000001</c:v>
                </c:pt>
                <c:pt idx="237">
                  <c:v>17.134</c:v>
                </c:pt>
                <c:pt idx="238">
                  <c:v>14.477</c:v>
                </c:pt>
                <c:pt idx="239">
                  <c:v>11.978999999999999</c:v>
                </c:pt>
                <c:pt idx="240">
                  <c:v>9.7140000000000004</c:v>
                </c:pt>
                <c:pt idx="241">
                  <c:v>7.6580000000000004</c:v>
                </c:pt>
                <c:pt idx="242">
                  <c:v>5.8120000000000003</c:v>
                </c:pt>
                <c:pt idx="243">
                  <c:v>4.5880000000000001</c:v>
                </c:pt>
                <c:pt idx="244">
                  <c:v>3.5960000000000001</c:v>
                </c:pt>
                <c:pt idx="245">
                  <c:v>2.8340000000000001</c:v>
                </c:pt>
                <c:pt idx="246">
                  <c:v>2.16</c:v>
                </c:pt>
                <c:pt idx="247">
                  <c:v>1.6619999999999999</c:v>
                </c:pt>
                <c:pt idx="248">
                  <c:v>1.3320000000000001</c:v>
                </c:pt>
                <c:pt idx="249">
                  <c:v>1.0269999999999999</c:v>
                </c:pt>
                <c:pt idx="250">
                  <c:v>0.753</c:v>
                </c:pt>
                <c:pt idx="251">
                  <c:v>0.53600000000000003</c:v>
                </c:pt>
                <c:pt idx="252">
                  <c:v>0.35599999999999998</c:v>
                </c:pt>
                <c:pt idx="253">
                  <c:v>0.22900000000000001</c:v>
                </c:pt>
                <c:pt idx="254">
                  <c:v>0.152</c:v>
                </c:pt>
                <c:pt idx="255">
                  <c:v>0.10299999999999999</c:v>
                </c:pt>
                <c:pt idx="256">
                  <c:v>7.2999999999999995E-2</c:v>
                </c:pt>
                <c:pt idx="257">
                  <c:v>3.6999999999999998E-2</c:v>
                </c:pt>
                <c:pt idx="258">
                  <c:v>2E-3</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0.30199999999999999</c:v>
                </c:pt>
                <c:pt idx="340">
                  <c:v>23.454000000000001</c:v>
                </c:pt>
                <c:pt idx="341">
                  <c:v>60.902999999999999</c:v>
                </c:pt>
                <c:pt idx="342">
                  <c:v>123.544</c:v>
                </c:pt>
                <c:pt idx="343">
                  <c:v>151.66999999999999</c:v>
                </c:pt>
                <c:pt idx="344">
                  <c:v>121.85299999999999</c:v>
                </c:pt>
                <c:pt idx="345">
                  <c:v>77.346999999999994</c:v>
                </c:pt>
                <c:pt idx="346">
                  <c:v>48.204000000000001</c:v>
                </c:pt>
                <c:pt idx="347">
                  <c:v>34.073999999999998</c:v>
                </c:pt>
                <c:pt idx="348">
                  <c:v>27.896999999999998</c:v>
                </c:pt>
                <c:pt idx="349">
                  <c:v>22.495000000000001</c:v>
                </c:pt>
                <c:pt idx="350">
                  <c:v>18.718</c:v>
                </c:pt>
                <c:pt idx="351">
                  <c:v>15.794</c:v>
                </c:pt>
                <c:pt idx="352">
                  <c:v>13.476000000000001</c:v>
                </c:pt>
                <c:pt idx="353">
                  <c:v>11.648999999999999</c:v>
                </c:pt>
                <c:pt idx="354">
                  <c:v>10.308999999999999</c:v>
                </c:pt>
                <c:pt idx="355">
                  <c:v>16.254999999999999</c:v>
                </c:pt>
                <c:pt idx="356">
                  <c:v>20.821999999999999</c:v>
                </c:pt>
                <c:pt idx="357">
                  <c:v>21.555</c:v>
                </c:pt>
                <c:pt idx="358">
                  <c:v>96.747</c:v>
                </c:pt>
                <c:pt idx="359">
                  <c:v>106.137</c:v>
                </c:pt>
                <c:pt idx="360">
                  <c:v>64.486999999999995</c:v>
                </c:pt>
                <c:pt idx="361">
                  <c:v>35.799999999999997</c:v>
                </c:pt>
                <c:pt idx="362">
                  <c:v>25.949000000000002</c:v>
                </c:pt>
                <c:pt idx="363">
                  <c:v>21.158000000000001</c:v>
                </c:pt>
                <c:pt idx="364">
                  <c:v>17.762</c:v>
                </c:pt>
              </c:numCache>
            </c:numRef>
          </c:val>
          <c:smooth val="0"/>
          <c:extLst xmlns:c16r2="http://schemas.microsoft.com/office/drawing/2015/06/chart">
            <c:ext xmlns:c16="http://schemas.microsoft.com/office/drawing/2014/chart" uri="{C3380CC4-5D6E-409C-BE32-E72D297353CC}">
              <c16:uniqueId val="{00000001-6B32-41A0-A3BE-40059A028438}"/>
            </c:ext>
          </c:extLst>
        </c:ser>
        <c:ser>
          <c:idx val="2"/>
          <c:order val="2"/>
          <c:tx>
            <c:strRef>
              <c:f>Mehi!$I$2</c:f>
              <c:strCache>
                <c:ptCount val="1"/>
                <c:pt idx="0">
                  <c:v>Environmental water</c:v>
                </c:pt>
              </c:strCache>
            </c:strRef>
          </c:tx>
          <c:spPr>
            <a:ln w="57150">
              <a:solidFill>
                <a:srgbClr val="00B050"/>
              </a:solidFill>
            </a:ln>
          </c:spPr>
          <c:marker>
            <c:symbol val="none"/>
          </c:marker>
          <c:cat>
            <c:numRef>
              <c:f>Mehi!$A$5:$A$369</c:f>
              <c:numCache>
                <c:formatCode>m/d/yyyy</c:formatCode>
                <c:ptCount val="365"/>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numCache>
            </c:numRef>
          </c:cat>
          <c:val>
            <c:numRef>
              <c:f>Mehi!$I$5:$I$256</c:f>
              <c:numCache>
                <c:formatCode>General</c:formatCode>
                <c:ptCount val="252"/>
                <c:pt idx="132">
                  <c:v>3600</c:v>
                </c:pt>
                <c:pt idx="133">
                  <c:v>3600</c:v>
                </c:pt>
                <c:pt idx="134">
                  <c:v>3600</c:v>
                </c:pt>
                <c:pt idx="135">
                  <c:v>3600</c:v>
                </c:pt>
                <c:pt idx="136">
                  <c:v>3600</c:v>
                </c:pt>
                <c:pt idx="137">
                  <c:v>3600</c:v>
                </c:pt>
                <c:pt idx="177">
                  <c:v>3600</c:v>
                </c:pt>
                <c:pt idx="178">
                  <c:v>3600</c:v>
                </c:pt>
                <c:pt idx="179">
                  <c:v>3600</c:v>
                </c:pt>
                <c:pt idx="180">
                  <c:v>3600</c:v>
                </c:pt>
                <c:pt idx="181">
                  <c:v>3600</c:v>
                </c:pt>
                <c:pt idx="182">
                  <c:v>3600</c:v>
                </c:pt>
                <c:pt idx="183">
                  <c:v>3600</c:v>
                </c:pt>
                <c:pt idx="184">
                  <c:v>3600</c:v>
                </c:pt>
                <c:pt idx="185">
                  <c:v>3600</c:v>
                </c:pt>
                <c:pt idx="186">
                  <c:v>3600</c:v>
                </c:pt>
                <c:pt idx="187">
                  <c:v>3600</c:v>
                </c:pt>
                <c:pt idx="188">
                  <c:v>3600</c:v>
                </c:pt>
                <c:pt idx="189">
                  <c:v>3600</c:v>
                </c:pt>
                <c:pt idx="190">
                  <c:v>3600</c:v>
                </c:pt>
                <c:pt idx="191">
                  <c:v>3600</c:v>
                </c:pt>
                <c:pt idx="192">
                  <c:v>3600</c:v>
                </c:pt>
                <c:pt idx="193">
                  <c:v>3600</c:v>
                </c:pt>
                <c:pt idx="207">
                  <c:v>3600</c:v>
                </c:pt>
                <c:pt idx="208">
                  <c:v>3600</c:v>
                </c:pt>
                <c:pt idx="209">
                  <c:v>3600</c:v>
                </c:pt>
                <c:pt idx="210">
                  <c:v>3600</c:v>
                </c:pt>
                <c:pt idx="211">
                  <c:v>3600</c:v>
                </c:pt>
                <c:pt idx="212">
                  <c:v>3600</c:v>
                </c:pt>
                <c:pt idx="213">
                  <c:v>3600</c:v>
                </c:pt>
                <c:pt idx="214">
                  <c:v>3600</c:v>
                </c:pt>
                <c:pt idx="215">
                  <c:v>3600</c:v>
                </c:pt>
                <c:pt idx="216">
                  <c:v>3600</c:v>
                </c:pt>
                <c:pt idx="217">
                  <c:v>3600</c:v>
                </c:pt>
                <c:pt idx="218">
                  <c:v>3600</c:v>
                </c:pt>
                <c:pt idx="219">
                  <c:v>3600</c:v>
                </c:pt>
              </c:numCache>
            </c:numRef>
          </c:val>
          <c:smooth val="0"/>
          <c:extLst xmlns:c16r2="http://schemas.microsoft.com/office/drawing/2015/06/chart">
            <c:ext xmlns:c16="http://schemas.microsoft.com/office/drawing/2014/chart" uri="{C3380CC4-5D6E-409C-BE32-E72D297353CC}">
              <c16:uniqueId val="{00000002-6B32-41A0-A3BE-40059A028438}"/>
            </c:ext>
          </c:extLst>
        </c:ser>
        <c:ser>
          <c:idx val="3"/>
          <c:order val="3"/>
          <c:tx>
            <c:strRef>
              <c:f>Mehi!$J$2:$J$5</c:f>
              <c:strCache>
                <c:ptCount val="4"/>
                <c:pt idx="0">
                  <c:v>Longitudinal connectivity</c:v>
                </c:pt>
              </c:strCache>
            </c:strRef>
          </c:tx>
          <c:spPr>
            <a:ln w="57150">
              <a:solidFill>
                <a:srgbClr val="660066"/>
              </a:solidFill>
            </a:ln>
          </c:spPr>
          <c:marker>
            <c:symbol val="none"/>
          </c:marker>
          <c:cat>
            <c:numRef>
              <c:f>Mehi!$A$5:$A$369</c:f>
              <c:numCache>
                <c:formatCode>m/d/yyyy</c:formatCode>
                <c:ptCount val="365"/>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numCache>
            </c:numRef>
          </c:cat>
          <c:val>
            <c:numRef>
              <c:f>Mehi!$J$6:$J$267</c:f>
              <c:numCache>
                <c:formatCode>General</c:formatCode>
                <c:ptCount val="262"/>
                <c:pt idx="55" formatCode="0">
                  <c:v>3800</c:v>
                </c:pt>
                <c:pt idx="56" formatCode="0">
                  <c:v>3800</c:v>
                </c:pt>
                <c:pt idx="57" formatCode="0">
                  <c:v>3800</c:v>
                </c:pt>
                <c:pt idx="200" formatCode="0">
                  <c:v>3800</c:v>
                </c:pt>
                <c:pt idx="201" formatCode="0">
                  <c:v>3800</c:v>
                </c:pt>
                <c:pt idx="202" formatCode="0">
                  <c:v>3800</c:v>
                </c:pt>
                <c:pt idx="203" formatCode="0">
                  <c:v>3800</c:v>
                </c:pt>
                <c:pt idx="204" formatCode="0">
                  <c:v>3800</c:v>
                </c:pt>
                <c:pt idx="205" formatCode="0">
                  <c:v>3800</c:v>
                </c:pt>
                <c:pt idx="206" formatCode="0">
                  <c:v>3800</c:v>
                </c:pt>
                <c:pt idx="207" formatCode="0">
                  <c:v>3800</c:v>
                </c:pt>
                <c:pt idx="208" formatCode="0">
                  <c:v>3800</c:v>
                </c:pt>
                <c:pt idx="209" formatCode="0">
                  <c:v>3800</c:v>
                </c:pt>
                <c:pt idx="210" formatCode="0">
                  <c:v>3800</c:v>
                </c:pt>
                <c:pt idx="211" formatCode="0">
                  <c:v>3800</c:v>
                </c:pt>
                <c:pt idx="212" formatCode="0">
                  <c:v>3800</c:v>
                </c:pt>
                <c:pt idx="213" formatCode="0">
                  <c:v>3800</c:v>
                </c:pt>
                <c:pt idx="214" formatCode="0">
                  <c:v>3800</c:v>
                </c:pt>
              </c:numCache>
            </c:numRef>
          </c:val>
          <c:smooth val="0"/>
          <c:extLst xmlns:c16r2="http://schemas.microsoft.com/office/drawing/2015/06/chart">
            <c:ext xmlns:c16="http://schemas.microsoft.com/office/drawing/2014/chart" uri="{C3380CC4-5D6E-409C-BE32-E72D297353CC}">
              <c16:uniqueId val="{00000003-6B32-41A0-A3BE-40059A028438}"/>
            </c:ext>
          </c:extLst>
        </c:ser>
        <c:dLbls>
          <c:showLegendKey val="0"/>
          <c:showVal val="0"/>
          <c:showCatName val="0"/>
          <c:showSerName val="0"/>
          <c:showPercent val="0"/>
          <c:showBubbleSize val="0"/>
        </c:dLbls>
        <c:smooth val="0"/>
        <c:axId val="697690824"/>
        <c:axId val="824040272"/>
      </c:lineChart>
      <c:dateAx>
        <c:axId val="697690824"/>
        <c:scaling>
          <c:orientation val="minMax"/>
          <c:max val="42552"/>
        </c:scaling>
        <c:delete val="0"/>
        <c:axPos val="b"/>
        <c:numFmt formatCode="m/d/yyyy" sourceLinked="1"/>
        <c:majorTickMark val="out"/>
        <c:minorTickMark val="none"/>
        <c:tickLblPos val="nextTo"/>
        <c:crossAx val="824040272"/>
        <c:crosses val="autoZero"/>
        <c:auto val="1"/>
        <c:lblOffset val="100"/>
        <c:baseTimeUnit val="days"/>
      </c:dateAx>
      <c:valAx>
        <c:axId val="824040272"/>
        <c:scaling>
          <c:orientation val="minMax"/>
        </c:scaling>
        <c:delete val="0"/>
        <c:axPos val="l"/>
        <c:title>
          <c:tx>
            <c:rich>
              <a:bodyPr rot="-5400000" vert="horz"/>
              <a:lstStyle/>
              <a:p>
                <a:pPr>
                  <a:defRPr b="0"/>
                </a:pPr>
                <a:r>
                  <a:rPr lang="en-US" b="0"/>
                  <a:t>Flow (ML/d)</a:t>
                </a:r>
              </a:p>
            </c:rich>
          </c:tx>
          <c:layout/>
          <c:overlay val="0"/>
        </c:title>
        <c:numFmt formatCode="#,##0" sourceLinked="0"/>
        <c:majorTickMark val="out"/>
        <c:minorTickMark val="none"/>
        <c:tickLblPos val="nextTo"/>
        <c:crossAx val="697690824"/>
        <c:crosses val="autoZero"/>
        <c:crossBetween val="between"/>
      </c:valAx>
      <c:spPr>
        <a:noFill/>
      </c:spPr>
    </c:plotArea>
    <c:legend>
      <c:legendPos val="r"/>
      <c:layout>
        <c:manualLayout>
          <c:xMode val="edge"/>
          <c:yMode val="edge"/>
          <c:x val="3.3992446704760692E-3"/>
          <c:y val="0.87033798149532982"/>
          <c:w val="0.99290991130580963"/>
          <c:h val="0.12951480226982801"/>
        </c:manualLayout>
      </c:layout>
      <c:overlay val="0"/>
    </c:legend>
    <c:plotVisOnly val="1"/>
    <c:dispBlanksAs val="gap"/>
    <c:showDLblsOverMax val="0"/>
  </c:chart>
  <c:spPr>
    <a:noFill/>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125968102586476E-2"/>
          <c:y val="5.0518845857429141E-2"/>
          <c:w val="0.57782115151276592"/>
          <c:h val="0.70816049453672303"/>
        </c:manualLayout>
      </c:layout>
      <c:barChart>
        <c:barDir val="col"/>
        <c:grouping val="stacked"/>
        <c:varyColors val="0"/>
        <c:ser>
          <c:idx val="1"/>
          <c:order val="0"/>
          <c:tx>
            <c:strRef>
              <c:f>Inundation!$A$22</c:f>
              <c:strCache>
                <c:ptCount val="1"/>
                <c:pt idx="0">
                  <c:v>F1.11: River Cooba Woodland Floodplain</c:v>
                </c:pt>
              </c:strCache>
            </c:strRef>
          </c:tx>
          <c:spPr>
            <a:solidFill>
              <a:srgbClr val="C0504D"/>
            </a:solidFill>
            <a:ln>
              <a:noFill/>
            </a:ln>
            <a:effectLst/>
          </c:spPr>
          <c:invertIfNegative val="0"/>
          <c:cat>
            <c:strRef>
              <c:f>Inundation!$B$20:$E$20</c:f>
              <c:strCache>
                <c:ptCount val="4"/>
                <c:pt idx="0">
                  <c:v>Gingham-Gwydir</c:v>
                </c:pt>
                <c:pt idx="1">
                  <c:v>Gwydir River</c:v>
                </c:pt>
                <c:pt idx="2">
                  <c:v>Mallowa</c:v>
                </c:pt>
                <c:pt idx="3">
                  <c:v>Mehi-Moomin</c:v>
                </c:pt>
              </c:strCache>
            </c:strRef>
          </c:cat>
          <c:val>
            <c:numRef>
              <c:f>Inundation!$B$22:$E$22</c:f>
              <c:numCache>
                <c:formatCode>General</c:formatCode>
                <c:ptCount val="4"/>
                <c:pt idx="0">
                  <c:v>4</c:v>
                </c:pt>
                <c:pt idx="2">
                  <c:v>6</c:v>
                </c:pt>
              </c:numCache>
            </c:numRef>
          </c:val>
          <c:extLst xmlns:c16r2="http://schemas.microsoft.com/office/drawing/2015/06/chart">
            <c:ext xmlns:c16="http://schemas.microsoft.com/office/drawing/2014/chart" uri="{C3380CC4-5D6E-409C-BE32-E72D297353CC}">
              <c16:uniqueId val="{00000000-AD10-4185-B314-1607572CA333}"/>
            </c:ext>
          </c:extLst>
        </c:ser>
        <c:ser>
          <c:idx val="2"/>
          <c:order val="1"/>
          <c:tx>
            <c:strRef>
              <c:f>Inundation!$A$23</c:f>
              <c:strCache>
                <c:ptCount val="1"/>
                <c:pt idx="0">
                  <c:v>F3.2: Sedge/forb/grassland floodplain</c:v>
                </c:pt>
              </c:strCache>
            </c:strRef>
          </c:tx>
          <c:spPr>
            <a:solidFill>
              <a:schemeClr val="accent3"/>
            </a:solidFill>
            <a:ln>
              <a:noFill/>
            </a:ln>
            <a:effectLst/>
          </c:spPr>
          <c:invertIfNegative val="0"/>
          <c:cat>
            <c:strRef>
              <c:f>Inundation!$B$20:$E$20</c:f>
              <c:strCache>
                <c:ptCount val="4"/>
                <c:pt idx="0">
                  <c:v>Gingham-Gwydir</c:v>
                </c:pt>
                <c:pt idx="1">
                  <c:v>Gwydir River</c:v>
                </c:pt>
                <c:pt idx="2">
                  <c:v>Mallowa</c:v>
                </c:pt>
                <c:pt idx="3">
                  <c:v>Mehi-Moomin</c:v>
                </c:pt>
              </c:strCache>
            </c:strRef>
          </c:cat>
          <c:val>
            <c:numRef>
              <c:f>Inundation!$B$23:$E$23</c:f>
              <c:numCache>
                <c:formatCode>General</c:formatCode>
                <c:ptCount val="4"/>
                <c:pt idx="0">
                  <c:v>19</c:v>
                </c:pt>
                <c:pt idx="2">
                  <c:v>1</c:v>
                </c:pt>
              </c:numCache>
            </c:numRef>
          </c:val>
          <c:extLst xmlns:c16r2="http://schemas.microsoft.com/office/drawing/2015/06/chart">
            <c:ext xmlns:c16="http://schemas.microsoft.com/office/drawing/2014/chart" uri="{C3380CC4-5D6E-409C-BE32-E72D297353CC}">
              <c16:uniqueId val="{00000001-AD10-4185-B314-1607572CA333}"/>
            </c:ext>
          </c:extLst>
        </c:ser>
        <c:ser>
          <c:idx val="4"/>
          <c:order val="2"/>
          <c:tx>
            <c:strRef>
              <c:f>Inundation!$A$25</c:f>
              <c:strCache>
                <c:ptCount val="1"/>
                <c:pt idx="0">
                  <c:v>LT2.2: Temporary floodplain lake with aquatic beds</c:v>
                </c:pt>
              </c:strCache>
            </c:strRef>
          </c:tx>
          <c:spPr>
            <a:solidFill>
              <a:schemeClr val="accent5"/>
            </a:solidFill>
            <a:ln>
              <a:noFill/>
            </a:ln>
            <a:effectLst/>
          </c:spPr>
          <c:invertIfNegative val="0"/>
          <c:cat>
            <c:strRef>
              <c:f>Inundation!$B$20:$E$20</c:f>
              <c:strCache>
                <c:ptCount val="4"/>
                <c:pt idx="0">
                  <c:v>Gingham-Gwydir</c:v>
                </c:pt>
                <c:pt idx="1">
                  <c:v>Gwydir River</c:v>
                </c:pt>
                <c:pt idx="2">
                  <c:v>Mallowa</c:v>
                </c:pt>
                <c:pt idx="3">
                  <c:v>Mehi-Moomin</c:v>
                </c:pt>
              </c:strCache>
            </c:strRef>
          </c:cat>
          <c:val>
            <c:numRef>
              <c:f>Inundation!$B$25:$E$25</c:f>
              <c:numCache>
                <c:formatCode>General</c:formatCode>
                <c:ptCount val="4"/>
                <c:pt idx="0">
                  <c:v>6</c:v>
                </c:pt>
                <c:pt idx="3">
                  <c:v>2</c:v>
                </c:pt>
              </c:numCache>
            </c:numRef>
          </c:val>
          <c:extLst xmlns:c16r2="http://schemas.microsoft.com/office/drawing/2015/06/chart">
            <c:ext xmlns:c16="http://schemas.microsoft.com/office/drawing/2014/chart" uri="{C3380CC4-5D6E-409C-BE32-E72D297353CC}">
              <c16:uniqueId val="{00000002-AD10-4185-B314-1607572CA333}"/>
            </c:ext>
          </c:extLst>
        </c:ser>
        <c:ser>
          <c:idx val="5"/>
          <c:order val="3"/>
          <c:tx>
            <c:strRef>
              <c:f>Inundation!$A$26</c:f>
              <c:strCache>
                <c:ptCount val="1"/>
                <c:pt idx="0">
                  <c:v>Rp1.1: Permanent high energy upland streams</c:v>
                </c:pt>
              </c:strCache>
            </c:strRef>
          </c:tx>
          <c:spPr>
            <a:solidFill>
              <a:schemeClr val="accent6"/>
            </a:solidFill>
            <a:ln>
              <a:noFill/>
            </a:ln>
            <a:effectLst/>
          </c:spPr>
          <c:invertIfNegative val="0"/>
          <c:cat>
            <c:strRef>
              <c:f>Inundation!$B$20:$E$20</c:f>
              <c:strCache>
                <c:ptCount val="4"/>
                <c:pt idx="0">
                  <c:v>Gingham-Gwydir</c:v>
                </c:pt>
                <c:pt idx="1">
                  <c:v>Gwydir River</c:v>
                </c:pt>
                <c:pt idx="2">
                  <c:v>Mallowa</c:v>
                </c:pt>
                <c:pt idx="3">
                  <c:v>Mehi-Moomin</c:v>
                </c:pt>
              </c:strCache>
            </c:strRef>
          </c:cat>
          <c:val>
            <c:numRef>
              <c:f>Inundation!$B$26:$E$26</c:f>
              <c:numCache>
                <c:formatCode>General</c:formatCode>
                <c:ptCount val="4"/>
                <c:pt idx="1">
                  <c:v>1</c:v>
                </c:pt>
              </c:numCache>
            </c:numRef>
          </c:val>
          <c:extLst xmlns:c16r2="http://schemas.microsoft.com/office/drawing/2015/06/chart">
            <c:ext xmlns:c16="http://schemas.microsoft.com/office/drawing/2014/chart" uri="{C3380CC4-5D6E-409C-BE32-E72D297353CC}">
              <c16:uniqueId val="{00000003-AD10-4185-B314-1607572CA333}"/>
            </c:ext>
          </c:extLst>
        </c:ser>
        <c:ser>
          <c:idx val="6"/>
          <c:order val="4"/>
          <c:tx>
            <c:strRef>
              <c:f>Inundation!$A$27</c:f>
              <c:strCache>
                <c:ptCount val="1"/>
                <c:pt idx="0">
                  <c:v>Rp1.3: Permanent low energy upland streams</c:v>
                </c:pt>
              </c:strCache>
            </c:strRef>
          </c:tx>
          <c:spPr>
            <a:solidFill>
              <a:schemeClr val="accent1">
                <a:lumMod val="60000"/>
              </a:schemeClr>
            </a:solidFill>
            <a:ln>
              <a:noFill/>
            </a:ln>
            <a:effectLst/>
          </c:spPr>
          <c:invertIfNegative val="0"/>
          <c:cat>
            <c:strRef>
              <c:f>Inundation!$B$20:$E$20</c:f>
              <c:strCache>
                <c:ptCount val="4"/>
                <c:pt idx="0">
                  <c:v>Gingham-Gwydir</c:v>
                </c:pt>
                <c:pt idx="1">
                  <c:v>Gwydir River</c:v>
                </c:pt>
                <c:pt idx="2">
                  <c:v>Mallowa</c:v>
                </c:pt>
                <c:pt idx="3">
                  <c:v>Mehi-Moomin</c:v>
                </c:pt>
              </c:strCache>
            </c:strRef>
          </c:cat>
          <c:val>
            <c:numRef>
              <c:f>Inundation!$B$27:$E$27</c:f>
              <c:numCache>
                <c:formatCode>General</c:formatCode>
                <c:ptCount val="4"/>
                <c:pt idx="0">
                  <c:v>1</c:v>
                </c:pt>
                <c:pt idx="1">
                  <c:v>4</c:v>
                </c:pt>
              </c:numCache>
            </c:numRef>
          </c:val>
          <c:extLst xmlns:c16r2="http://schemas.microsoft.com/office/drawing/2015/06/chart">
            <c:ext xmlns:c16="http://schemas.microsoft.com/office/drawing/2014/chart" uri="{C3380CC4-5D6E-409C-BE32-E72D297353CC}">
              <c16:uniqueId val="{00000004-AD10-4185-B314-1607572CA333}"/>
            </c:ext>
          </c:extLst>
        </c:ser>
        <c:ser>
          <c:idx val="7"/>
          <c:order val="5"/>
          <c:tx>
            <c:strRef>
              <c:f>Inundation!$A$28</c:f>
              <c:strCache>
                <c:ptCount val="1"/>
                <c:pt idx="0">
                  <c:v>Rp1.4: Permanent lowland streams</c:v>
                </c:pt>
              </c:strCache>
            </c:strRef>
          </c:tx>
          <c:spPr>
            <a:solidFill>
              <a:schemeClr val="accent2">
                <a:lumMod val="60000"/>
              </a:schemeClr>
            </a:solidFill>
            <a:ln>
              <a:noFill/>
            </a:ln>
            <a:effectLst/>
          </c:spPr>
          <c:invertIfNegative val="0"/>
          <c:cat>
            <c:strRef>
              <c:f>Inundation!$B$20:$E$20</c:f>
              <c:strCache>
                <c:ptCount val="4"/>
                <c:pt idx="0">
                  <c:v>Gingham-Gwydir</c:v>
                </c:pt>
                <c:pt idx="1">
                  <c:v>Gwydir River</c:v>
                </c:pt>
                <c:pt idx="2">
                  <c:v>Mallowa</c:v>
                </c:pt>
                <c:pt idx="3">
                  <c:v>Mehi-Moomin</c:v>
                </c:pt>
              </c:strCache>
            </c:strRef>
          </c:cat>
          <c:val>
            <c:numRef>
              <c:f>Inundation!$B$28:$E$28</c:f>
              <c:numCache>
                <c:formatCode>General</c:formatCode>
                <c:ptCount val="4"/>
                <c:pt idx="0">
                  <c:v>0</c:v>
                </c:pt>
                <c:pt idx="1">
                  <c:v>27</c:v>
                </c:pt>
                <c:pt idx="3">
                  <c:v>31</c:v>
                </c:pt>
              </c:numCache>
            </c:numRef>
          </c:val>
          <c:extLst xmlns:c16r2="http://schemas.microsoft.com/office/drawing/2015/06/chart">
            <c:ext xmlns:c16="http://schemas.microsoft.com/office/drawing/2014/chart" uri="{C3380CC4-5D6E-409C-BE32-E72D297353CC}">
              <c16:uniqueId val="{00000005-AD10-4185-B314-1607572CA333}"/>
            </c:ext>
          </c:extLst>
        </c:ser>
        <c:ser>
          <c:idx val="8"/>
          <c:order val="6"/>
          <c:tx>
            <c:strRef>
              <c:f>Inundation!$A$29</c:f>
              <c:strCache>
                <c:ptCount val="1"/>
                <c:pt idx="0">
                  <c:v>Rt1.3: Temporary low energy upland streams</c:v>
                </c:pt>
              </c:strCache>
            </c:strRef>
          </c:tx>
          <c:spPr>
            <a:solidFill>
              <a:schemeClr val="accent3">
                <a:lumMod val="60000"/>
              </a:schemeClr>
            </a:solidFill>
            <a:ln>
              <a:noFill/>
            </a:ln>
            <a:effectLst/>
          </c:spPr>
          <c:invertIfNegative val="0"/>
          <c:cat>
            <c:strRef>
              <c:f>Inundation!$B$20:$E$20</c:f>
              <c:strCache>
                <c:ptCount val="4"/>
                <c:pt idx="0">
                  <c:v>Gingham-Gwydir</c:v>
                </c:pt>
                <c:pt idx="1">
                  <c:v>Gwydir River</c:v>
                </c:pt>
                <c:pt idx="2">
                  <c:v>Mallowa</c:v>
                </c:pt>
                <c:pt idx="3">
                  <c:v>Mehi-Moomin</c:v>
                </c:pt>
              </c:strCache>
            </c:strRef>
          </c:cat>
          <c:val>
            <c:numRef>
              <c:f>Inundation!$B$29:$E$29</c:f>
              <c:numCache>
                <c:formatCode>General</c:formatCode>
                <c:ptCount val="4"/>
                <c:pt idx="0">
                  <c:v>2</c:v>
                </c:pt>
              </c:numCache>
            </c:numRef>
          </c:val>
          <c:extLst xmlns:c16r2="http://schemas.microsoft.com/office/drawing/2015/06/chart">
            <c:ext xmlns:c16="http://schemas.microsoft.com/office/drawing/2014/chart" uri="{C3380CC4-5D6E-409C-BE32-E72D297353CC}">
              <c16:uniqueId val="{00000006-AD10-4185-B314-1607572CA333}"/>
            </c:ext>
          </c:extLst>
        </c:ser>
        <c:ser>
          <c:idx val="9"/>
          <c:order val="7"/>
          <c:tx>
            <c:strRef>
              <c:f>Inundation!$A$30</c:f>
              <c:strCache>
                <c:ptCount val="1"/>
                <c:pt idx="0">
                  <c:v>Rt1.4: Temporary lowland streams</c:v>
                </c:pt>
              </c:strCache>
            </c:strRef>
          </c:tx>
          <c:spPr>
            <a:solidFill>
              <a:schemeClr val="accent4">
                <a:lumMod val="60000"/>
              </a:schemeClr>
            </a:solidFill>
            <a:ln>
              <a:noFill/>
            </a:ln>
            <a:effectLst/>
          </c:spPr>
          <c:invertIfNegative val="0"/>
          <c:cat>
            <c:strRef>
              <c:f>Inundation!$B$20:$E$20</c:f>
              <c:strCache>
                <c:ptCount val="4"/>
                <c:pt idx="0">
                  <c:v>Gingham-Gwydir</c:v>
                </c:pt>
                <c:pt idx="1">
                  <c:v>Gwydir River</c:v>
                </c:pt>
                <c:pt idx="2">
                  <c:v>Mallowa</c:v>
                </c:pt>
                <c:pt idx="3">
                  <c:v>Mehi-Moomin</c:v>
                </c:pt>
              </c:strCache>
            </c:strRef>
          </c:cat>
          <c:val>
            <c:numRef>
              <c:f>Inundation!$B$30:$E$30</c:f>
              <c:numCache>
                <c:formatCode>General</c:formatCode>
                <c:ptCount val="4"/>
                <c:pt idx="0">
                  <c:v>11</c:v>
                </c:pt>
                <c:pt idx="1">
                  <c:v>3</c:v>
                </c:pt>
                <c:pt idx="2">
                  <c:v>1</c:v>
                </c:pt>
                <c:pt idx="3">
                  <c:v>3</c:v>
                </c:pt>
              </c:numCache>
            </c:numRef>
          </c:val>
          <c:extLst xmlns:c16r2="http://schemas.microsoft.com/office/drawing/2015/06/chart">
            <c:ext xmlns:c16="http://schemas.microsoft.com/office/drawing/2014/chart" uri="{C3380CC4-5D6E-409C-BE32-E72D297353CC}">
              <c16:uniqueId val="{00000007-AD10-4185-B314-1607572CA333}"/>
            </c:ext>
          </c:extLst>
        </c:ser>
        <c:dLbls>
          <c:showLegendKey val="0"/>
          <c:showVal val="0"/>
          <c:showCatName val="0"/>
          <c:showSerName val="0"/>
          <c:showPercent val="0"/>
          <c:showBubbleSize val="0"/>
        </c:dLbls>
        <c:gapWidth val="219"/>
        <c:overlap val="100"/>
        <c:axId val="662204936"/>
        <c:axId val="662205328"/>
      </c:barChart>
      <c:catAx>
        <c:axId val="662204936"/>
        <c:scaling>
          <c:orientation val="minMax"/>
        </c:scaling>
        <c:delete val="0"/>
        <c:axPos val="b"/>
        <c:numFmt formatCode="General" sourceLinked="1"/>
        <c:majorTickMark val="out"/>
        <c:minorTickMark val="in"/>
        <c:tickLblPos val="nextTo"/>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62205328"/>
        <c:crosses val="autoZero"/>
        <c:auto val="1"/>
        <c:lblAlgn val="ctr"/>
        <c:lblOffset val="100"/>
        <c:tickMarkSkip val="2"/>
        <c:noMultiLvlLbl val="0"/>
      </c:catAx>
      <c:valAx>
        <c:axId val="66220532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Number of sites inundated</a:t>
                </a:r>
              </a:p>
            </c:rich>
          </c:tx>
          <c:layout>
            <c:manualLayout>
              <c:xMode val="edge"/>
              <c:yMode val="edge"/>
              <c:x val="1.6564355232600923E-3"/>
              <c:y val="0.2527826211171048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62204936"/>
        <c:crosses val="autoZero"/>
        <c:crossBetween val="between"/>
      </c:valAx>
      <c:spPr>
        <a:noFill/>
        <a:ln>
          <a:noFill/>
        </a:ln>
        <a:effectLst/>
      </c:spPr>
    </c:plotArea>
    <c:legend>
      <c:legendPos val="r"/>
      <c:layout>
        <c:manualLayout>
          <c:xMode val="edge"/>
          <c:yMode val="edge"/>
          <c:x val="0.6844847148942288"/>
          <c:y val="1.7534737291696807E-2"/>
          <c:w val="0.31171878075118897"/>
          <c:h val="0.9050577610513302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459325008500992"/>
          <c:y val="6.5369191376536184E-2"/>
          <c:w val="0.76540674991499014"/>
          <c:h val="0.45291743937413231"/>
        </c:manualLayout>
      </c:layout>
      <c:barChart>
        <c:barDir val="col"/>
        <c:grouping val="stacked"/>
        <c:varyColors val="0"/>
        <c:ser>
          <c:idx val="0"/>
          <c:order val="0"/>
          <c:tx>
            <c:strRef>
              <c:f>Inundation!$J$20</c:f>
              <c:strCache>
                <c:ptCount val="1"/>
                <c:pt idx="0">
                  <c:v>Environmental water</c:v>
                </c:pt>
              </c:strCache>
            </c:strRef>
          </c:tx>
          <c:spPr>
            <a:solidFill>
              <a:srgbClr val="1F497D"/>
            </a:solidFill>
            <a:ln>
              <a:noFill/>
            </a:ln>
            <a:effectLst/>
          </c:spPr>
          <c:invertIfNegative val="0"/>
          <c:cat>
            <c:strRef>
              <c:f>(Inundation!$I$21:$I$25,Inundation!$I$27:$I$28,Inundation!$I$30)</c:f>
              <c:strCache>
                <c:ptCount val="8"/>
                <c:pt idx="0">
                  <c:v>Rt1.4: Temporary lowland streams</c:v>
                </c:pt>
                <c:pt idx="1">
                  <c:v>Rt1.3: Temporary low energy upland streams</c:v>
                </c:pt>
                <c:pt idx="2">
                  <c:v>Rp1.4: Permanent lowland streams</c:v>
                </c:pt>
                <c:pt idx="3">
                  <c:v>Rp1.3: Permanent low energy upland streams</c:v>
                </c:pt>
                <c:pt idx="4">
                  <c:v>Rp1.1: Permanent high energy upland streams</c:v>
                </c:pt>
                <c:pt idx="5">
                  <c:v>F1.11: River cooba woodland floodplain</c:v>
                </c:pt>
                <c:pt idx="6">
                  <c:v>F3.2: Sedge/forb/grassland floodplain</c:v>
                </c:pt>
                <c:pt idx="7">
                  <c:v>LT2.2: Temporary floodplain lake with aquatic beds</c:v>
                </c:pt>
              </c:strCache>
            </c:strRef>
          </c:cat>
          <c:val>
            <c:numRef>
              <c:f>(Inundation!$J$21:$J$25,Inundation!$J$27:$J$28,Inundation!$J$30)</c:f>
              <c:numCache>
                <c:formatCode>General</c:formatCode>
                <c:ptCount val="8"/>
                <c:pt idx="0">
                  <c:v>15</c:v>
                </c:pt>
                <c:pt idx="1">
                  <c:v>2</c:v>
                </c:pt>
                <c:pt idx="2">
                  <c:v>58</c:v>
                </c:pt>
                <c:pt idx="3">
                  <c:v>5</c:v>
                </c:pt>
                <c:pt idx="4">
                  <c:v>1</c:v>
                </c:pt>
                <c:pt idx="5">
                  <c:v>6</c:v>
                </c:pt>
                <c:pt idx="6">
                  <c:v>1</c:v>
                </c:pt>
                <c:pt idx="7">
                  <c:v>2</c:v>
                </c:pt>
              </c:numCache>
            </c:numRef>
          </c:val>
          <c:extLst xmlns:c16r2="http://schemas.microsoft.com/office/drawing/2015/06/chart">
            <c:ext xmlns:c16="http://schemas.microsoft.com/office/drawing/2014/chart" uri="{C3380CC4-5D6E-409C-BE32-E72D297353CC}">
              <c16:uniqueId val="{00000000-558D-4AD6-A6D1-790C06EBEF0B}"/>
            </c:ext>
          </c:extLst>
        </c:ser>
        <c:ser>
          <c:idx val="1"/>
          <c:order val="1"/>
          <c:tx>
            <c:strRef>
              <c:f>Inundation!$K$20</c:f>
              <c:strCache>
                <c:ptCount val="1"/>
                <c:pt idx="0">
                  <c:v>Non Environmental water</c:v>
                </c:pt>
              </c:strCache>
            </c:strRef>
          </c:tx>
          <c:spPr>
            <a:solidFill>
              <a:srgbClr val="C0504D"/>
            </a:solidFill>
            <a:ln>
              <a:noFill/>
            </a:ln>
            <a:effectLst/>
          </c:spPr>
          <c:invertIfNegative val="0"/>
          <c:cat>
            <c:strRef>
              <c:f>(Inundation!$I$21:$I$25,Inundation!$I$27:$I$28,Inundation!$I$30)</c:f>
              <c:strCache>
                <c:ptCount val="8"/>
                <c:pt idx="0">
                  <c:v>Rt1.4: Temporary lowland streams</c:v>
                </c:pt>
                <c:pt idx="1">
                  <c:v>Rt1.3: Temporary low energy upland streams</c:v>
                </c:pt>
                <c:pt idx="2">
                  <c:v>Rp1.4: Permanent lowland streams</c:v>
                </c:pt>
                <c:pt idx="3">
                  <c:v>Rp1.3: Permanent low energy upland streams</c:v>
                </c:pt>
                <c:pt idx="4">
                  <c:v>Rp1.1: Permanent high energy upland streams</c:v>
                </c:pt>
                <c:pt idx="5">
                  <c:v>F1.11: River cooba woodland floodplain</c:v>
                </c:pt>
                <c:pt idx="6">
                  <c:v>F3.2: Sedge/forb/grassland floodplain</c:v>
                </c:pt>
                <c:pt idx="7">
                  <c:v>LT2.2: Temporary floodplain lake with aquatic beds</c:v>
                </c:pt>
              </c:strCache>
            </c:strRef>
          </c:cat>
          <c:val>
            <c:numRef>
              <c:f>(Inundation!$K$21:$K$25,Inundation!$K$27:$K$28,Inundation!$K$30)</c:f>
              <c:numCache>
                <c:formatCode>General</c:formatCode>
                <c:ptCount val="8"/>
                <c:pt idx="0">
                  <c:v>3</c:v>
                </c:pt>
                <c:pt idx="1">
                  <c:v>0</c:v>
                </c:pt>
                <c:pt idx="2">
                  <c:v>0</c:v>
                </c:pt>
                <c:pt idx="3">
                  <c:v>0</c:v>
                </c:pt>
                <c:pt idx="4">
                  <c:v>0</c:v>
                </c:pt>
                <c:pt idx="5">
                  <c:v>4</c:v>
                </c:pt>
                <c:pt idx="6">
                  <c:v>19</c:v>
                </c:pt>
                <c:pt idx="7">
                  <c:v>6</c:v>
                </c:pt>
              </c:numCache>
            </c:numRef>
          </c:val>
          <c:extLst xmlns:c16r2="http://schemas.microsoft.com/office/drawing/2015/06/chart">
            <c:ext xmlns:c16="http://schemas.microsoft.com/office/drawing/2014/chart" uri="{C3380CC4-5D6E-409C-BE32-E72D297353CC}">
              <c16:uniqueId val="{00000001-558D-4AD6-A6D1-790C06EBEF0B}"/>
            </c:ext>
          </c:extLst>
        </c:ser>
        <c:dLbls>
          <c:showLegendKey val="0"/>
          <c:showVal val="0"/>
          <c:showCatName val="0"/>
          <c:showSerName val="0"/>
          <c:showPercent val="0"/>
          <c:showBubbleSize val="0"/>
        </c:dLbls>
        <c:gapWidth val="219"/>
        <c:overlap val="100"/>
        <c:axId val="564063752"/>
        <c:axId val="662203760"/>
      </c:barChart>
      <c:catAx>
        <c:axId val="564063752"/>
        <c:scaling>
          <c:orientation val="minMax"/>
        </c:scaling>
        <c:delete val="0"/>
        <c:axPos val="b"/>
        <c:numFmt formatCode="General" sourceLinked="1"/>
        <c:majorTickMark val="out"/>
        <c:minorTickMark val="in"/>
        <c:tickLblPos val="nextTo"/>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62203760"/>
        <c:crosses val="autoZero"/>
        <c:auto val="1"/>
        <c:lblAlgn val="ctr"/>
        <c:lblOffset val="100"/>
        <c:tickMarkSkip val="2"/>
        <c:noMultiLvlLbl val="0"/>
      </c:catAx>
      <c:valAx>
        <c:axId val="662203760"/>
        <c:scaling>
          <c:orientation val="minMax"/>
          <c:max val="6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Number of sites inundated</a:t>
                </a:r>
              </a:p>
            </c:rich>
          </c:tx>
          <c:layout>
            <c:manualLayout>
              <c:xMode val="edge"/>
              <c:yMode val="edge"/>
              <c:x val="0.1457380701338146"/>
              <c:y val="0.1459958335800130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64063752"/>
        <c:crosses val="autoZero"/>
        <c:crossBetween val="between"/>
      </c:valAx>
      <c:spPr>
        <a:noFill/>
        <a:ln>
          <a:noFill/>
        </a:ln>
        <a:effectLst/>
      </c:spPr>
    </c:plotArea>
    <c:legend>
      <c:legendPos val="b"/>
      <c:layout>
        <c:manualLayout>
          <c:xMode val="edge"/>
          <c:yMode val="edge"/>
          <c:x val="0.68791694467975029"/>
          <c:y val="5.319627307279054E-2"/>
          <c:w val="0.29318764448472007"/>
          <c:h val="5.9632556292646383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strRef>
              <c:f>'2015-16 nMDS'!$I$85</c:f>
              <c:strCache>
                <c:ptCount val="1"/>
                <c:pt idx="0">
                  <c:v>Coolibah_wood Dry</c:v>
                </c:pt>
              </c:strCache>
            </c:strRef>
          </c:tx>
          <c:spPr>
            <a:ln w="25398" cap="rnd">
              <a:noFill/>
              <a:round/>
            </a:ln>
            <a:effectLst/>
          </c:spPr>
          <c:marker>
            <c:symbol val="square"/>
            <c:size val="6"/>
            <c:spPr>
              <a:solidFill>
                <a:schemeClr val="accent4">
                  <a:lumMod val="60000"/>
                  <a:lumOff val="40000"/>
                </a:schemeClr>
              </a:solidFill>
              <a:ln w="9524">
                <a:noFill/>
              </a:ln>
              <a:effectLst/>
            </c:spPr>
          </c:marker>
          <c:xVal>
            <c:numRef>
              <c:f>'2015-16 nMDS'!$F$85:$F$95</c:f>
              <c:numCache>
                <c:formatCode>General</c:formatCode>
                <c:ptCount val="11"/>
                <c:pt idx="0">
                  <c:v>1.47</c:v>
                </c:pt>
                <c:pt idx="1">
                  <c:v>1.4</c:v>
                </c:pt>
                <c:pt idx="2">
                  <c:v>0.32</c:v>
                </c:pt>
                <c:pt idx="3">
                  <c:v>0.93</c:v>
                </c:pt>
                <c:pt idx="4">
                  <c:v>0.17</c:v>
                </c:pt>
                <c:pt idx="5">
                  <c:v>1.0900000000000001</c:v>
                </c:pt>
                <c:pt idx="6">
                  <c:v>-0.1</c:v>
                </c:pt>
                <c:pt idx="7">
                  <c:v>-0.15</c:v>
                </c:pt>
                <c:pt idx="8">
                  <c:v>0.81</c:v>
                </c:pt>
                <c:pt idx="9">
                  <c:v>-0.56999999999999995</c:v>
                </c:pt>
                <c:pt idx="10">
                  <c:v>0.89</c:v>
                </c:pt>
              </c:numCache>
            </c:numRef>
          </c:xVal>
          <c:yVal>
            <c:numRef>
              <c:f>'2015-16 nMDS'!$G$85:$G$95</c:f>
              <c:numCache>
                <c:formatCode>0.00</c:formatCode>
                <c:ptCount val="11"/>
                <c:pt idx="0">
                  <c:v>-1.1599999999999999</c:v>
                </c:pt>
                <c:pt idx="1">
                  <c:v>0.56000000000000005</c:v>
                </c:pt>
                <c:pt idx="2">
                  <c:v>-0.02</c:v>
                </c:pt>
                <c:pt idx="3">
                  <c:v>0.27</c:v>
                </c:pt>
                <c:pt idx="4">
                  <c:v>-0.12</c:v>
                </c:pt>
                <c:pt idx="5">
                  <c:v>0.88</c:v>
                </c:pt>
                <c:pt idx="6">
                  <c:v>0.28999999999999998</c:v>
                </c:pt>
                <c:pt idx="7">
                  <c:v>-0.2</c:v>
                </c:pt>
                <c:pt idx="8">
                  <c:v>0.45</c:v>
                </c:pt>
                <c:pt idx="9">
                  <c:v>-0.39</c:v>
                </c:pt>
                <c:pt idx="10">
                  <c:v>0.92</c:v>
                </c:pt>
              </c:numCache>
            </c:numRef>
          </c:yVal>
          <c:smooth val="0"/>
        </c:ser>
        <c:ser>
          <c:idx val="1"/>
          <c:order val="1"/>
          <c:tx>
            <c:strRef>
              <c:f>'2015-16 nMDS'!$I$86</c:f>
              <c:strCache>
                <c:ptCount val="1"/>
                <c:pt idx="0">
                  <c:v>Coolibah_wood Wet</c:v>
                </c:pt>
              </c:strCache>
            </c:strRef>
          </c:tx>
          <c:spPr>
            <a:ln w="25398" cap="rnd">
              <a:noFill/>
              <a:round/>
            </a:ln>
            <a:effectLst/>
          </c:spPr>
          <c:marker>
            <c:symbol val="square"/>
            <c:size val="6"/>
            <c:spPr>
              <a:solidFill>
                <a:srgbClr val="00B0F0"/>
              </a:solidFill>
              <a:ln w="9524">
                <a:noFill/>
              </a:ln>
              <a:effectLst/>
            </c:spPr>
          </c:marker>
          <c:xVal>
            <c:numRef>
              <c:f>'2015-16 nMDS'!$F$96</c:f>
              <c:numCache>
                <c:formatCode>General</c:formatCode>
                <c:ptCount val="1"/>
                <c:pt idx="0">
                  <c:v>0.25</c:v>
                </c:pt>
              </c:numCache>
            </c:numRef>
          </c:xVal>
          <c:yVal>
            <c:numRef>
              <c:f>'2015-16 nMDS'!$G$96</c:f>
              <c:numCache>
                <c:formatCode>0.00</c:formatCode>
                <c:ptCount val="1"/>
                <c:pt idx="0">
                  <c:v>-0.23</c:v>
                </c:pt>
              </c:numCache>
            </c:numRef>
          </c:yVal>
          <c:smooth val="0"/>
        </c:ser>
        <c:ser>
          <c:idx val="3"/>
          <c:order val="2"/>
          <c:tx>
            <c:strRef>
              <c:f>'2015-16 nMDS'!$I$88</c:f>
              <c:strCache>
                <c:ptCount val="1"/>
                <c:pt idx="0">
                  <c:v>Riv cooba_lig Dry</c:v>
                </c:pt>
              </c:strCache>
            </c:strRef>
          </c:tx>
          <c:spPr>
            <a:ln w="25398" cap="rnd">
              <a:noFill/>
              <a:round/>
            </a:ln>
            <a:effectLst/>
          </c:spPr>
          <c:marker>
            <c:symbol val="circle"/>
            <c:size val="6"/>
            <c:spPr>
              <a:solidFill>
                <a:schemeClr val="accent4">
                  <a:lumMod val="60000"/>
                  <a:lumOff val="40000"/>
                </a:schemeClr>
              </a:solidFill>
              <a:ln w="9524">
                <a:noFill/>
              </a:ln>
              <a:effectLst/>
            </c:spPr>
          </c:marker>
          <c:xVal>
            <c:numRef>
              <c:f>'2015-16 nMDS'!$F$103:$F$115</c:f>
              <c:numCache>
                <c:formatCode>General</c:formatCode>
                <c:ptCount val="13"/>
                <c:pt idx="0">
                  <c:v>1.87</c:v>
                </c:pt>
                <c:pt idx="1">
                  <c:v>1.94</c:v>
                </c:pt>
                <c:pt idx="2">
                  <c:v>-0.03</c:v>
                </c:pt>
                <c:pt idx="3">
                  <c:v>-0.46</c:v>
                </c:pt>
                <c:pt idx="4">
                  <c:v>0.44</c:v>
                </c:pt>
                <c:pt idx="5">
                  <c:v>1.71</c:v>
                </c:pt>
                <c:pt idx="6">
                  <c:v>1.9</c:v>
                </c:pt>
                <c:pt idx="7">
                  <c:v>0.86</c:v>
                </c:pt>
                <c:pt idx="8">
                  <c:v>1.68</c:v>
                </c:pt>
                <c:pt idx="9">
                  <c:v>-0.24</c:v>
                </c:pt>
                <c:pt idx="10">
                  <c:v>0.64</c:v>
                </c:pt>
                <c:pt idx="11">
                  <c:v>0.74</c:v>
                </c:pt>
                <c:pt idx="12">
                  <c:v>0.89</c:v>
                </c:pt>
              </c:numCache>
            </c:numRef>
          </c:xVal>
          <c:yVal>
            <c:numRef>
              <c:f>'2015-16 nMDS'!$G$103:$G$115</c:f>
              <c:numCache>
                <c:formatCode>0.00</c:formatCode>
                <c:ptCount val="13"/>
                <c:pt idx="0">
                  <c:v>-0.5</c:v>
                </c:pt>
                <c:pt idx="1">
                  <c:v>-0.22</c:v>
                </c:pt>
                <c:pt idx="2">
                  <c:v>-0.17</c:v>
                </c:pt>
                <c:pt idx="3">
                  <c:v>-1.17</c:v>
                </c:pt>
                <c:pt idx="4">
                  <c:v>0.92</c:v>
                </c:pt>
                <c:pt idx="5">
                  <c:v>-0.41</c:v>
                </c:pt>
                <c:pt idx="6">
                  <c:v>0.01</c:v>
                </c:pt>
                <c:pt idx="7">
                  <c:v>-0.93</c:v>
                </c:pt>
                <c:pt idx="8">
                  <c:v>0.38</c:v>
                </c:pt>
                <c:pt idx="9">
                  <c:v>0.04</c:v>
                </c:pt>
                <c:pt idx="10">
                  <c:v>-0.35</c:v>
                </c:pt>
                <c:pt idx="11">
                  <c:v>-0.18</c:v>
                </c:pt>
                <c:pt idx="12">
                  <c:v>-0.04</c:v>
                </c:pt>
              </c:numCache>
            </c:numRef>
          </c:yVal>
          <c:smooth val="0"/>
        </c:ser>
        <c:ser>
          <c:idx val="4"/>
          <c:order val="3"/>
          <c:tx>
            <c:strRef>
              <c:f>'2015-16 nMDS'!$I$89</c:f>
              <c:strCache>
                <c:ptCount val="1"/>
                <c:pt idx="0">
                  <c:v>Riv cooba_lig Wet</c:v>
                </c:pt>
              </c:strCache>
            </c:strRef>
          </c:tx>
          <c:spPr>
            <a:ln w="25398" cap="rnd">
              <a:noFill/>
              <a:round/>
            </a:ln>
            <a:effectLst/>
          </c:spPr>
          <c:marker>
            <c:symbol val="circle"/>
            <c:size val="6"/>
            <c:spPr>
              <a:solidFill>
                <a:srgbClr val="00B0F0"/>
              </a:solidFill>
              <a:ln w="9524">
                <a:noFill/>
              </a:ln>
              <a:effectLst/>
            </c:spPr>
          </c:marker>
          <c:xVal>
            <c:numRef>
              <c:f>'2015-16 nMDS'!$F$116:$F$122</c:f>
              <c:numCache>
                <c:formatCode>General</c:formatCode>
                <c:ptCount val="7"/>
                <c:pt idx="0">
                  <c:v>0.95</c:v>
                </c:pt>
                <c:pt idx="1">
                  <c:v>1.3</c:v>
                </c:pt>
                <c:pt idx="2">
                  <c:v>0.83</c:v>
                </c:pt>
                <c:pt idx="3">
                  <c:v>0.77</c:v>
                </c:pt>
                <c:pt idx="4">
                  <c:v>0.63</c:v>
                </c:pt>
                <c:pt idx="5">
                  <c:v>-0.23</c:v>
                </c:pt>
                <c:pt idx="6">
                  <c:v>-0.11</c:v>
                </c:pt>
              </c:numCache>
            </c:numRef>
          </c:xVal>
          <c:yVal>
            <c:numRef>
              <c:f>'2015-16 nMDS'!$G$116:$G$122</c:f>
              <c:numCache>
                <c:formatCode>0.00</c:formatCode>
                <c:ptCount val="7"/>
                <c:pt idx="0">
                  <c:v>-1.33</c:v>
                </c:pt>
                <c:pt idx="1">
                  <c:v>-0.79</c:v>
                </c:pt>
                <c:pt idx="2">
                  <c:v>-0.5</c:v>
                </c:pt>
                <c:pt idx="3">
                  <c:v>-0.43</c:v>
                </c:pt>
                <c:pt idx="4">
                  <c:v>-0.93</c:v>
                </c:pt>
                <c:pt idx="5">
                  <c:v>-0.55000000000000004</c:v>
                </c:pt>
                <c:pt idx="6">
                  <c:v>-0.56000000000000005</c:v>
                </c:pt>
              </c:numCache>
            </c:numRef>
          </c:yVal>
          <c:smooth val="0"/>
        </c:ser>
        <c:ser>
          <c:idx val="5"/>
          <c:order val="4"/>
          <c:tx>
            <c:strRef>
              <c:f>'2015-16 nMDS'!$I$90</c:f>
              <c:strCache>
                <c:ptCount val="1"/>
                <c:pt idx="0">
                  <c:v>Watercouch Dry</c:v>
                </c:pt>
              </c:strCache>
            </c:strRef>
          </c:tx>
          <c:spPr>
            <a:ln w="25398" cap="rnd">
              <a:noFill/>
              <a:round/>
            </a:ln>
            <a:effectLst/>
          </c:spPr>
          <c:marker>
            <c:symbol val="triangle"/>
            <c:size val="7"/>
            <c:spPr>
              <a:solidFill>
                <a:schemeClr val="accent4">
                  <a:lumMod val="60000"/>
                  <a:lumOff val="40000"/>
                </a:schemeClr>
              </a:solidFill>
              <a:ln w="9524">
                <a:noFill/>
              </a:ln>
              <a:effectLst/>
            </c:spPr>
          </c:marker>
          <c:xVal>
            <c:numRef>
              <c:f>'2015-16 nMDS'!$F$123:$F$156</c:f>
              <c:numCache>
                <c:formatCode>General</c:formatCode>
                <c:ptCount val="34"/>
                <c:pt idx="0">
                  <c:v>-0.38</c:v>
                </c:pt>
                <c:pt idx="1">
                  <c:v>-0.76</c:v>
                </c:pt>
                <c:pt idx="2">
                  <c:v>-0.93</c:v>
                </c:pt>
                <c:pt idx="3">
                  <c:v>-1.35</c:v>
                </c:pt>
                <c:pt idx="4">
                  <c:v>-0.33</c:v>
                </c:pt>
                <c:pt idx="5">
                  <c:v>-0.34</c:v>
                </c:pt>
                <c:pt idx="6">
                  <c:v>0.21</c:v>
                </c:pt>
                <c:pt idx="7">
                  <c:v>-0.47</c:v>
                </c:pt>
                <c:pt idx="8">
                  <c:v>-0.68</c:v>
                </c:pt>
                <c:pt idx="9">
                  <c:v>-0.01</c:v>
                </c:pt>
                <c:pt idx="10">
                  <c:v>-1.06</c:v>
                </c:pt>
                <c:pt idx="11">
                  <c:v>0.41</c:v>
                </c:pt>
                <c:pt idx="12">
                  <c:v>0.03</c:v>
                </c:pt>
                <c:pt idx="13">
                  <c:v>1.1599999999999999</c:v>
                </c:pt>
                <c:pt idx="14">
                  <c:v>0.06</c:v>
                </c:pt>
                <c:pt idx="15">
                  <c:v>-0.28999999999999998</c:v>
                </c:pt>
                <c:pt idx="16">
                  <c:v>-0.9</c:v>
                </c:pt>
                <c:pt idx="17">
                  <c:v>-0.35</c:v>
                </c:pt>
                <c:pt idx="18">
                  <c:v>-0.57999999999999996</c:v>
                </c:pt>
                <c:pt idx="19">
                  <c:v>-0.97</c:v>
                </c:pt>
                <c:pt idx="20">
                  <c:v>-1.39</c:v>
                </c:pt>
                <c:pt idx="21">
                  <c:v>-0.79</c:v>
                </c:pt>
                <c:pt idx="22">
                  <c:v>-0.3</c:v>
                </c:pt>
                <c:pt idx="23">
                  <c:v>-0.5</c:v>
                </c:pt>
                <c:pt idx="24">
                  <c:v>-0.3</c:v>
                </c:pt>
                <c:pt idx="25">
                  <c:v>-0.19</c:v>
                </c:pt>
                <c:pt idx="26">
                  <c:v>0.06</c:v>
                </c:pt>
                <c:pt idx="27">
                  <c:v>-0.25</c:v>
                </c:pt>
                <c:pt idx="28">
                  <c:v>1.39</c:v>
                </c:pt>
                <c:pt idx="29">
                  <c:v>-0.76</c:v>
                </c:pt>
                <c:pt idx="30">
                  <c:v>-0.71</c:v>
                </c:pt>
                <c:pt idx="31">
                  <c:v>-0.5</c:v>
                </c:pt>
                <c:pt idx="32">
                  <c:v>-0.89</c:v>
                </c:pt>
                <c:pt idx="33">
                  <c:v>-0.83</c:v>
                </c:pt>
              </c:numCache>
            </c:numRef>
          </c:xVal>
          <c:yVal>
            <c:numRef>
              <c:f>'2015-16 nMDS'!$G$123:$G$156</c:f>
              <c:numCache>
                <c:formatCode>0.00</c:formatCode>
                <c:ptCount val="34"/>
                <c:pt idx="0">
                  <c:v>0.26</c:v>
                </c:pt>
                <c:pt idx="1">
                  <c:v>0.08</c:v>
                </c:pt>
                <c:pt idx="2">
                  <c:v>0.3</c:v>
                </c:pt>
                <c:pt idx="3">
                  <c:v>-0.52</c:v>
                </c:pt>
                <c:pt idx="4">
                  <c:v>-0.11</c:v>
                </c:pt>
                <c:pt idx="5">
                  <c:v>-7.0000000000000007E-2</c:v>
                </c:pt>
                <c:pt idx="6">
                  <c:v>0.93</c:v>
                </c:pt>
                <c:pt idx="7">
                  <c:v>0.44</c:v>
                </c:pt>
                <c:pt idx="8">
                  <c:v>0.67</c:v>
                </c:pt>
                <c:pt idx="9">
                  <c:v>1.3</c:v>
                </c:pt>
                <c:pt idx="10">
                  <c:v>-0.7</c:v>
                </c:pt>
                <c:pt idx="11">
                  <c:v>1.0900000000000001</c:v>
                </c:pt>
                <c:pt idx="12">
                  <c:v>0.1</c:v>
                </c:pt>
                <c:pt idx="13">
                  <c:v>0.81</c:v>
                </c:pt>
                <c:pt idx="14">
                  <c:v>0.3</c:v>
                </c:pt>
                <c:pt idx="15">
                  <c:v>-0.15</c:v>
                </c:pt>
                <c:pt idx="16">
                  <c:v>-0.54</c:v>
                </c:pt>
                <c:pt idx="17">
                  <c:v>-0.23</c:v>
                </c:pt>
                <c:pt idx="18">
                  <c:v>-0.3</c:v>
                </c:pt>
                <c:pt idx="19">
                  <c:v>-0.25</c:v>
                </c:pt>
                <c:pt idx="20">
                  <c:v>0.08</c:v>
                </c:pt>
                <c:pt idx="21">
                  <c:v>0.13</c:v>
                </c:pt>
                <c:pt idx="22">
                  <c:v>-0.04</c:v>
                </c:pt>
                <c:pt idx="23">
                  <c:v>0.65</c:v>
                </c:pt>
                <c:pt idx="24">
                  <c:v>0.54</c:v>
                </c:pt>
                <c:pt idx="25">
                  <c:v>0.22</c:v>
                </c:pt>
                <c:pt idx="26">
                  <c:v>1.06</c:v>
                </c:pt>
                <c:pt idx="27">
                  <c:v>0.45</c:v>
                </c:pt>
                <c:pt idx="28">
                  <c:v>0.87</c:v>
                </c:pt>
                <c:pt idx="29">
                  <c:v>-0.05</c:v>
                </c:pt>
                <c:pt idx="30">
                  <c:v>-0.13</c:v>
                </c:pt>
                <c:pt idx="31">
                  <c:v>-0.05</c:v>
                </c:pt>
                <c:pt idx="32">
                  <c:v>-0.11</c:v>
                </c:pt>
                <c:pt idx="33">
                  <c:v>-0.11</c:v>
                </c:pt>
              </c:numCache>
            </c:numRef>
          </c:yVal>
          <c:smooth val="0"/>
        </c:ser>
        <c:ser>
          <c:idx val="6"/>
          <c:order val="5"/>
          <c:tx>
            <c:strRef>
              <c:f>'2015-16 nMDS'!$I$91</c:f>
              <c:strCache>
                <c:ptCount val="1"/>
                <c:pt idx="0">
                  <c:v>Watercouch Wet</c:v>
                </c:pt>
              </c:strCache>
            </c:strRef>
          </c:tx>
          <c:spPr>
            <a:ln w="25398" cap="rnd">
              <a:noFill/>
              <a:round/>
            </a:ln>
            <a:effectLst/>
          </c:spPr>
          <c:marker>
            <c:symbol val="triangle"/>
            <c:size val="7"/>
            <c:spPr>
              <a:solidFill>
                <a:srgbClr val="00B0F0"/>
              </a:solidFill>
              <a:ln w="9524">
                <a:noFill/>
              </a:ln>
              <a:effectLst/>
            </c:spPr>
          </c:marker>
          <c:xVal>
            <c:numRef>
              <c:f>'2015-16 nMDS'!$F$157:$F$164</c:f>
              <c:numCache>
                <c:formatCode>General</c:formatCode>
                <c:ptCount val="8"/>
                <c:pt idx="0">
                  <c:v>-0.69</c:v>
                </c:pt>
                <c:pt idx="1">
                  <c:v>-0.66</c:v>
                </c:pt>
                <c:pt idx="2">
                  <c:v>-0.74</c:v>
                </c:pt>
                <c:pt idx="3">
                  <c:v>-1.7</c:v>
                </c:pt>
                <c:pt idx="4">
                  <c:v>-0.46</c:v>
                </c:pt>
                <c:pt idx="5">
                  <c:v>-0.51</c:v>
                </c:pt>
                <c:pt idx="6">
                  <c:v>-0.67</c:v>
                </c:pt>
                <c:pt idx="7">
                  <c:v>-0.82</c:v>
                </c:pt>
              </c:numCache>
            </c:numRef>
          </c:xVal>
          <c:yVal>
            <c:numRef>
              <c:f>'2015-16 nMDS'!$G$157:$G$164</c:f>
              <c:numCache>
                <c:formatCode>0.00</c:formatCode>
                <c:ptCount val="8"/>
                <c:pt idx="0">
                  <c:v>0.18</c:v>
                </c:pt>
                <c:pt idx="1">
                  <c:v>0.06</c:v>
                </c:pt>
                <c:pt idx="2">
                  <c:v>0.28000000000000003</c:v>
                </c:pt>
                <c:pt idx="3">
                  <c:v>0.56000000000000005</c:v>
                </c:pt>
                <c:pt idx="4">
                  <c:v>0.51</c:v>
                </c:pt>
                <c:pt idx="5">
                  <c:v>0.15</c:v>
                </c:pt>
                <c:pt idx="6">
                  <c:v>-0.19</c:v>
                </c:pt>
                <c:pt idx="7">
                  <c:v>-0.26</c:v>
                </c:pt>
              </c:numCache>
            </c:numRef>
          </c:yVal>
          <c:smooth val="0"/>
        </c:ser>
        <c:ser>
          <c:idx val="2"/>
          <c:order val="6"/>
          <c:tx>
            <c:strRef>
              <c:f>'2015-16 nMDS'!$I$87</c:f>
              <c:strCache>
                <c:ptCount val="1"/>
                <c:pt idx="0">
                  <c:v>Eleocharis Dry</c:v>
                </c:pt>
              </c:strCache>
            </c:strRef>
          </c:tx>
          <c:spPr>
            <a:ln w="25398" cap="rnd">
              <a:noFill/>
              <a:round/>
            </a:ln>
            <a:effectLst/>
          </c:spPr>
          <c:marker>
            <c:symbol val="diamond"/>
            <c:size val="7"/>
            <c:spPr>
              <a:solidFill>
                <a:schemeClr val="accent4">
                  <a:lumMod val="60000"/>
                  <a:lumOff val="40000"/>
                </a:schemeClr>
              </a:solidFill>
              <a:ln w="9524">
                <a:noFill/>
              </a:ln>
              <a:effectLst/>
            </c:spPr>
          </c:marker>
          <c:xVal>
            <c:numRef>
              <c:f>'2015-16 nMDS'!$F$97:$F$102</c:f>
              <c:numCache>
                <c:formatCode>General</c:formatCode>
                <c:ptCount val="6"/>
                <c:pt idx="0">
                  <c:v>-0.43</c:v>
                </c:pt>
                <c:pt idx="1">
                  <c:v>-0.65</c:v>
                </c:pt>
                <c:pt idx="2">
                  <c:v>-0.5</c:v>
                </c:pt>
                <c:pt idx="3">
                  <c:v>-0.71</c:v>
                </c:pt>
                <c:pt idx="4">
                  <c:v>-0.49</c:v>
                </c:pt>
                <c:pt idx="5">
                  <c:v>-7.0000000000000007E-2</c:v>
                </c:pt>
              </c:numCache>
            </c:numRef>
          </c:xVal>
          <c:yVal>
            <c:numRef>
              <c:f>'2015-16 nMDS'!$G$97:$G$102</c:f>
              <c:numCache>
                <c:formatCode>0.00</c:formatCode>
                <c:ptCount val="6"/>
                <c:pt idx="0">
                  <c:v>-0.39</c:v>
                </c:pt>
                <c:pt idx="1">
                  <c:v>-0.51</c:v>
                </c:pt>
                <c:pt idx="2">
                  <c:v>-0.4</c:v>
                </c:pt>
                <c:pt idx="3">
                  <c:v>-0.48</c:v>
                </c:pt>
                <c:pt idx="4">
                  <c:v>0.02</c:v>
                </c:pt>
                <c:pt idx="5">
                  <c:v>0.04</c:v>
                </c:pt>
              </c:numCache>
            </c:numRef>
          </c:yVal>
          <c:smooth val="0"/>
        </c:ser>
        <c:dLbls>
          <c:showLegendKey val="0"/>
          <c:showVal val="0"/>
          <c:showCatName val="0"/>
          <c:showSerName val="0"/>
          <c:showPercent val="0"/>
          <c:showBubbleSize val="0"/>
        </c:dLbls>
        <c:axId val="412444336"/>
        <c:axId val="412444728"/>
      </c:scatterChart>
      <c:valAx>
        <c:axId val="412444336"/>
        <c:scaling>
          <c:orientation val="minMax"/>
          <c:max val="2"/>
        </c:scaling>
        <c:delete val="0"/>
        <c:axPos val="b"/>
        <c:numFmt formatCode="General" sourceLinked="1"/>
        <c:majorTickMark val="out"/>
        <c:minorTickMark val="none"/>
        <c:tickLblPos val="nextTo"/>
        <c:spPr>
          <a:noFill/>
          <a:ln w="9524" cap="flat" cmpd="sng" algn="ctr">
            <a:solidFill>
              <a:sysClr val="window" lastClr="FFFFFF">
                <a:lumMod val="50000"/>
              </a:sysClr>
            </a:solidFill>
            <a:round/>
          </a:ln>
          <a:effectLst/>
        </c:spPr>
        <c:txPr>
          <a:bodyPr rot="0" vert="horz"/>
          <a:lstStyle/>
          <a:p>
            <a:pPr>
              <a:defRPr sz="900" b="0" i="0" u="none" strike="noStrike" baseline="0">
                <a:solidFill>
                  <a:srgbClr val="000000"/>
                </a:solidFill>
                <a:latin typeface="Arial"/>
                <a:ea typeface="Arial"/>
                <a:cs typeface="Arial"/>
              </a:defRPr>
            </a:pPr>
            <a:endParaRPr lang="en-US"/>
          </a:p>
        </c:txPr>
        <c:crossAx val="412444728"/>
        <c:crossesAt val="-2"/>
        <c:crossBetween val="midCat"/>
        <c:majorUnit val="1"/>
      </c:valAx>
      <c:valAx>
        <c:axId val="412444728"/>
        <c:scaling>
          <c:orientation val="minMax"/>
          <c:max val="2"/>
          <c:min val="-2"/>
        </c:scaling>
        <c:delete val="0"/>
        <c:axPos val="l"/>
        <c:numFmt formatCode="0" sourceLinked="0"/>
        <c:majorTickMark val="out"/>
        <c:minorTickMark val="none"/>
        <c:tickLblPos val="nextTo"/>
        <c:spPr>
          <a:noFill/>
          <a:ln w="9524" cap="flat" cmpd="sng" algn="ctr">
            <a:solidFill>
              <a:sysClr val="window" lastClr="FFFFFF">
                <a:lumMod val="50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12444336"/>
        <c:crossesAt val="-2"/>
        <c:crossBetween val="midCat"/>
        <c:majorUnit val="1"/>
      </c:valAx>
      <c:spPr>
        <a:noFill/>
        <a:ln>
          <a:solidFill>
            <a:sysClr val="window" lastClr="FFFFFF">
              <a:lumMod val="50000"/>
            </a:sysClr>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a:noFill/>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strRef>
              <c:f>'2015-16 nMDS'!$I$5</c:f>
              <c:strCache>
                <c:ptCount val="1"/>
                <c:pt idx="0">
                  <c:v>Oct_15 Dry</c:v>
                </c:pt>
              </c:strCache>
            </c:strRef>
          </c:tx>
          <c:spPr>
            <a:ln w="25386" cap="rnd">
              <a:noFill/>
              <a:round/>
            </a:ln>
            <a:effectLst/>
          </c:spPr>
          <c:marker>
            <c:symbol val="circle"/>
            <c:size val="6"/>
            <c:spPr>
              <a:solidFill>
                <a:schemeClr val="accent4">
                  <a:lumMod val="60000"/>
                  <a:lumOff val="40000"/>
                </a:schemeClr>
              </a:solidFill>
              <a:ln w="9520">
                <a:noFill/>
              </a:ln>
              <a:effectLst/>
            </c:spPr>
          </c:marker>
          <c:xVal>
            <c:numRef>
              <c:f>'2015-16 nMDS'!$F$43:$F$71</c:f>
              <c:numCache>
                <c:formatCode>General</c:formatCode>
                <c:ptCount val="29"/>
                <c:pt idx="0">
                  <c:v>1.71</c:v>
                </c:pt>
                <c:pt idx="1">
                  <c:v>1.9</c:v>
                </c:pt>
                <c:pt idx="2">
                  <c:v>0.86</c:v>
                </c:pt>
                <c:pt idx="3">
                  <c:v>1.68</c:v>
                </c:pt>
                <c:pt idx="4">
                  <c:v>-0.79</c:v>
                </c:pt>
                <c:pt idx="5">
                  <c:v>-0.3</c:v>
                </c:pt>
                <c:pt idx="6">
                  <c:v>-0.24</c:v>
                </c:pt>
                <c:pt idx="7">
                  <c:v>-0.5</c:v>
                </c:pt>
                <c:pt idx="8">
                  <c:v>-0.3</c:v>
                </c:pt>
                <c:pt idx="9">
                  <c:v>-0.19</c:v>
                </c:pt>
                <c:pt idx="10">
                  <c:v>-0.1</c:v>
                </c:pt>
                <c:pt idx="11">
                  <c:v>0.06</c:v>
                </c:pt>
                <c:pt idx="12">
                  <c:v>-0.25</c:v>
                </c:pt>
                <c:pt idx="13">
                  <c:v>1.39</c:v>
                </c:pt>
                <c:pt idx="14">
                  <c:v>-0.15</c:v>
                </c:pt>
                <c:pt idx="15">
                  <c:v>0.81</c:v>
                </c:pt>
                <c:pt idx="16">
                  <c:v>-0.56999999999999995</c:v>
                </c:pt>
                <c:pt idx="17">
                  <c:v>-0.71</c:v>
                </c:pt>
                <c:pt idx="18">
                  <c:v>-0.49</c:v>
                </c:pt>
                <c:pt idx="19">
                  <c:v>-7.0000000000000007E-2</c:v>
                </c:pt>
                <c:pt idx="20">
                  <c:v>-0.76</c:v>
                </c:pt>
                <c:pt idx="21">
                  <c:v>-0.71</c:v>
                </c:pt>
                <c:pt idx="22">
                  <c:v>-0.5</c:v>
                </c:pt>
                <c:pt idx="23">
                  <c:v>0.64</c:v>
                </c:pt>
                <c:pt idx="24">
                  <c:v>0.74</c:v>
                </c:pt>
                <c:pt idx="25">
                  <c:v>0.89</c:v>
                </c:pt>
                <c:pt idx="26">
                  <c:v>-0.89</c:v>
                </c:pt>
                <c:pt idx="27">
                  <c:v>-0.83</c:v>
                </c:pt>
                <c:pt idx="28">
                  <c:v>0.89</c:v>
                </c:pt>
              </c:numCache>
            </c:numRef>
          </c:xVal>
          <c:yVal>
            <c:numRef>
              <c:f>'2015-16 nMDS'!$G$43:$G$71</c:f>
              <c:numCache>
                <c:formatCode>0.00</c:formatCode>
                <c:ptCount val="29"/>
                <c:pt idx="0">
                  <c:v>-0.41</c:v>
                </c:pt>
                <c:pt idx="1">
                  <c:v>0.01</c:v>
                </c:pt>
                <c:pt idx="2">
                  <c:v>-0.93</c:v>
                </c:pt>
                <c:pt idx="3">
                  <c:v>0.38</c:v>
                </c:pt>
                <c:pt idx="4">
                  <c:v>0.13</c:v>
                </c:pt>
                <c:pt idx="5">
                  <c:v>-0.04</c:v>
                </c:pt>
                <c:pt idx="6">
                  <c:v>0.04</c:v>
                </c:pt>
                <c:pt idx="7">
                  <c:v>0.65</c:v>
                </c:pt>
                <c:pt idx="8">
                  <c:v>0.54</c:v>
                </c:pt>
                <c:pt idx="9">
                  <c:v>0.22</c:v>
                </c:pt>
                <c:pt idx="10">
                  <c:v>0.28999999999999998</c:v>
                </c:pt>
                <c:pt idx="11">
                  <c:v>1.06</c:v>
                </c:pt>
                <c:pt idx="12">
                  <c:v>0.45</c:v>
                </c:pt>
                <c:pt idx="13">
                  <c:v>0.87</c:v>
                </c:pt>
                <c:pt idx="14">
                  <c:v>-0.2</c:v>
                </c:pt>
                <c:pt idx="15">
                  <c:v>0.45</c:v>
                </c:pt>
                <c:pt idx="16">
                  <c:v>-0.39</c:v>
                </c:pt>
                <c:pt idx="17">
                  <c:v>-0.48</c:v>
                </c:pt>
                <c:pt idx="18">
                  <c:v>0.02</c:v>
                </c:pt>
                <c:pt idx="19">
                  <c:v>0.04</c:v>
                </c:pt>
                <c:pt idx="20">
                  <c:v>-0.05</c:v>
                </c:pt>
                <c:pt idx="21">
                  <c:v>-0.13</c:v>
                </c:pt>
                <c:pt idx="22">
                  <c:v>-0.05</c:v>
                </c:pt>
                <c:pt idx="23">
                  <c:v>-0.35</c:v>
                </c:pt>
                <c:pt idx="24">
                  <c:v>-0.18</c:v>
                </c:pt>
                <c:pt idx="25">
                  <c:v>-0.04</c:v>
                </c:pt>
                <c:pt idx="26">
                  <c:v>-0.11</c:v>
                </c:pt>
                <c:pt idx="27">
                  <c:v>-0.11</c:v>
                </c:pt>
                <c:pt idx="28">
                  <c:v>0.92</c:v>
                </c:pt>
              </c:numCache>
            </c:numRef>
          </c:yVal>
          <c:smooth val="0"/>
        </c:ser>
        <c:ser>
          <c:idx val="1"/>
          <c:order val="1"/>
          <c:tx>
            <c:strRef>
              <c:f>'2015-16 nMDS'!$I$6</c:f>
              <c:strCache>
                <c:ptCount val="1"/>
                <c:pt idx="0">
                  <c:v>Oct_15 Wet</c:v>
                </c:pt>
              </c:strCache>
            </c:strRef>
          </c:tx>
          <c:spPr>
            <a:ln w="25386" cap="rnd">
              <a:noFill/>
              <a:round/>
            </a:ln>
            <a:effectLst/>
          </c:spPr>
          <c:marker>
            <c:symbol val="circle"/>
            <c:size val="6"/>
            <c:spPr>
              <a:solidFill>
                <a:srgbClr val="00B0F0"/>
              </a:solidFill>
              <a:ln w="9520">
                <a:noFill/>
              </a:ln>
              <a:effectLst/>
            </c:spPr>
          </c:marker>
          <c:xVal>
            <c:numRef>
              <c:f>'2015-16 nMDS'!$F$72:$F$82</c:f>
              <c:numCache>
                <c:formatCode>General</c:formatCode>
                <c:ptCount val="11"/>
                <c:pt idx="0">
                  <c:v>-0.69</c:v>
                </c:pt>
                <c:pt idx="1">
                  <c:v>-0.66</c:v>
                </c:pt>
                <c:pt idx="2">
                  <c:v>-0.74</c:v>
                </c:pt>
                <c:pt idx="3">
                  <c:v>-1.7</c:v>
                </c:pt>
                <c:pt idx="4">
                  <c:v>-0.23</c:v>
                </c:pt>
                <c:pt idx="5">
                  <c:v>-0.11</c:v>
                </c:pt>
                <c:pt idx="6">
                  <c:v>0.25</c:v>
                </c:pt>
                <c:pt idx="7">
                  <c:v>-0.46</c:v>
                </c:pt>
                <c:pt idx="8">
                  <c:v>-0.51</c:v>
                </c:pt>
                <c:pt idx="9">
                  <c:v>-0.67</c:v>
                </c:pt>
                <c:pt idx="10">
                  <c:v>-0.82</c:v>
                </c:pt>
              </c:numCache>
            </c:numRef>
          </c:xVal>
          <c:yVal>
            <c:numRef>
              <c:f>'2015-16 nMDS'!$G$72:$G$82</c:f>
              <c:numCache>
                <c:formatCode>0.00</c:formatCode>
                <c:ptCount val="11"/>
                <c:pt idx="0">
                  <c:v>0.18</c:v>
                </c:pt>
                <c:pt idx="1">
                  <c:v>0.06</c:v>
                </c:pt>
                <c:pt idx="2">
                  <c:v>0.28000000000000003</c:v>
                </c:pt>
                <c:pt idx="3">
                  <c:v>0.56000000000000005</c:v>
                </c:pt>
                <c:pt idx="4">
                  <c:v>-0.55000000000000004</c:v>
                </c:pt>
                <c:pt idx="5">
                  <c:v>-0.56000000000000005</c:v>
                </c:pt>
                <c:pt idx="6">
                  <c:v>-0.23</c:v>
                </c:pt>
                <c:pt idx="7">
                  <c:v>0.51</c:v>
                </c:pt>
                <c:pt idx="8">
                  <c:v>0.15</c:v>
                </c:pt>
                <c:pt idx="9">
                  <c:v>-0.19</c:v>
                </c:pt>
                <c:pt idx="10">
                  <c:v>-0.26</c:v>
                </c:pt>
              </c:numCache>
            </c:numRef>
          </c:yVal>
          <c:smooth val="0"/>
        </c:ser>
        <c:ser>
          <c:idx val="2"/>
          <c:order val="2"/>
          <c:tx>
            <c:strRef>
              <c:f>'2015-16 nMDS'!$I$3</c:f>
              <c:strCache>
                <c:ptCount val="1"/>
                <c:pt idx="0">
                  <c:v>Mar_16 Dry</c:v>
                </c:pt>
              </c:strCache>
            </c:strRef>
          </c:tx>
          <c:spPr>
            <a:ln w="25386" cap="rnd">
              <a:noFill/>
              <a:round/>
            </a:ln>
            <a:effectLst/>
          </c:spPr>
          <c:marker>
            <c:symbol val="square"/>
            <c:size val="6"/>
            <c:spPr>
              <a:solidFill>
                <a:schemeClr val="accent4">
                  <a:lumMod val="60000"/>
                  <a:lumOff val="40000"/>
                </a:schemeClr>
              </a:solidFill>
              <a:ln w="9520">
                <a:noFill/>
              </a:ln>
              <a:effectLst/>
            </c:spPr>
          </c:marker>
          <c:xVal>
            <c:numRef>
              <c:f>'2015-16 nMDS'!$F$3:$F$37</c:f>
              <c:numCache>
                <c:formatCode>General</c:formatCode>
                <c:ptCount val="35"/>
                <c:pt idx="0">
                  <c:v>1.87</c:v>
                </c:pt>
                <c:pt idx="1">
                  <c:v>1.94</c:v>
                </c:pt>
                <c:pt idx="2">
                  <c:v>-0.38</c:v>
                </c:pt>
                <c:pt idx="3">
                  <c:v>-0.76</c:v>
                </c:pt>
                <c:pt idx="4">
                  <c:v>-0.93</c:v>
                </c:pt>
                <c:pt idx="5">
                  <c:v>-1.35</c:v>
                </c:pt>
                <c:pt idx="6">
                  <c:v>-0.33</c:v>
                </c:pt>
                <c:pt idx="7">
                  <c:v>-0.34</c:v>
                </c:pt>
                <c:pt idx="8">
                  <c:v>-0.03</c:v>
                </c:pt>
                <c:pt idx="9">
                  <c:v>-0.46</c:v>
                </c:pt>
                <c:pt idx="10">
                  <c:v>0.44</c:v>
                </c:pt>
                <c:pt idx="11">
                  <c:v>1.47</c:v>
                </c:pt>
                <c:pt idx="12">
                  <c:v>0.21</c:v>
                </c:pt>
                <c:pt idx="13">
                  <c:v>-0.47</c:v>
                </c:pt>
                <c:pt idx="14">
                  <c:v>-0.68</c:v>
                </c:pt>
                <c:pt idx="15">
                  <c:v>-0.01</c:v>
                </c:pt>
                <c:pt idx="16">
                  <c:v>-1.06</c:v>
                </c:pt>
                <c:pt idx="17">
                  <c:v>0.41</c:v>
                </c:pt>
                <c:pt idx="18">
                  <c:v>0.03</c:v>
                </c:pt>
                <c:pt idx="19">
                  <c:v>1.1599999999999999</c:v>
                </c:pt>
                <c:pt idx="20">
                  <c:v>0.06</c:v>
                </c:pt>
                <c:pt idx="21">
                  <c:v>1.4</c:v>
                </c:pt>
                <c:pt idx="22">
                  <c:v>0.32</c:v>
                </c:pt>
                <c:pt idx="23">
                  <c:v>0.93</c:v>
                </c:pt>
                <c:pt idx="24">
                  <c:v>-0.43</c:v>
                </c:pt>
                <c:pt idx="25">
                  <c:v>-0.65</c:v>
                </c:pt>
                <c:pt idx="26">
                  <c:v>-0.5</c:v>
                </c:pt>
                <c:pt idx="27">
                  <c:v>0.17</c:v>
                </c:pt>
                <c:pt idx="28">
                  <c:v>-0.28999999999999998</c:v>
                </c:pt>
                <c:pt idx="29">
                  <c:v>-0.9</c:v>
                </c:pt>
                <c:pt idx="30">
                  <c:v>-0.35</c:v>
                </c:pt>
                <c:pt idx="31">
                  <c:v>-0.57999999999999996</c:v>
                </c:pt>
                <c:pt idx="32">
                  <c:v>-0.97</c:v>
                </c:pt>
                <c:pt idx="33">
                  <c:v>-1.39</c:v>
                </c:pt>
                <c:pt idx="34">
                  <c:v>1.0900000000000001</c:v>
                </c:pt>
              </c:numCache>
            </c:numRef>
          </c:xVal>
          <c:yVal>
            <c:numRef>
              <c:f>'2015-16 nMDS'!$G$3:$G$37</c:f>
              <c:numCache>
                <c:formatCode>0.00</c:formatCode>
                <c:ptCount val="35"/>
                <c:pt idx="0">
                  <c:v>-0.5</c:v>
                </c:pt>
                <c:pt idx="1">
                  <c:v>-0.22</c:v>
                </c:pt>
                <c:pt idx="2">
                  <c:v>0.26</c:v>
                </c:pt>
                <c:pt idx="3">
                  <c:v>0.08</c:v>
                </c:pt>
                <c:pt idx="4">
                  <c:v>0.3</c:v>
                </c:pt>
                <c:pt idx="5">
                  <c:v>-0.52</c:v>
                </c:pt>
                <c:pt idx="6">
                  <c:v>-0.11</c:v>
                </c:pt>
                <c:pt idx="7">
                  <c:v>-7.0000000000000007E-2</c:v>
                </c:pt>
                <c:pt idx="8">
                  <c:v>-0.17</c:v>
                </c:pt>
                <c:pt idx="9">
                  <c:v>-1.17</c:v>
                </c:pt>
                <c:pt idx="10">
                  <c:v>0.92</c:v>
                </c:pt>
                <c:pt idx="11">
                  <c:v>-1.1599999999999999</c:v>
                </c:pt>
                <c:pt idx="12">
                  <c:v>0.93</c:v>
                </c:pt>
                <c:pt idx="13">
                  <c:v>0.44</c:v>
                </c:pt>
                <c:pt idx="14">
                  <c:v>0.67</c:v>
                </c:pt>
                <c:pt idx="15">
                  <c:v>1.3</c:v>
                </c:pt>
                <c:pt idx="16">
                  <c:v>-0.7</c:v>
                </c:pt>
                <c:pt idx="17">
                  <c:v>1.0900000000000001</c:v>
                </c:pt>
                <c:pt idx="18">
                  <c:v>0.1</c:v>
                </c:pt>
                <c:pt idx="19">
                  <c:v>0.81</c:v>
                </c:pt>
                <c:pt idx="20">
                  <c:v>0.3</c:v>
                </c:pt>
                <c:pt idx="21">
                  <c:v>0.56000000000000005</c:v>
                </c:pt>
                <c:pt idx="22">
                  <c:v>-0.02</c:v>
                </c:pt>
                <c:pt idx="23">
                  <c:v>0.27</c:v>
                </c:pt>
                <c:pt idx="24">
                  <c:v>-0.39</c:v>
                </c:pt>
                <c:pt idx="25">
                  <c:v>-0.51</c:v>
                </c:pt>
                <c:pt idx="26">
                  <c:v>-0.4</c:v>
                </c:pt>
                <c:pt idx="27">
                  <c:v>-0.12</c:v>
                </c:pt>
                <c:pt idx="28">
                  <c:v>-0.15</c:v>
                </c:pt>
                <c:pt idx="29">
                  <c:v>-0.54</c:v>
                </c:pt>
                <c:pt idx="30">
                  <c:v>-0.23</c:v>
                </c:pt>
                <c:pt idx="31">
                  <c:v>-0.3</c:v>
                </c:pt>
                <c:pt idx="32">
                  <c:v>-0.25</c:v>
                </c:pt>
                <c:pt idx="33">
                  <c:v>0.08</c:v>
                </c:pt>
                <c:pt idx="34">
                  <c:v>0.88</c:v>
                </c:pt>
              </c:numCache>
            </c:numRef>
          </c:yVal>
          <c:smooth val="0"/>
        </c:ser>
        <c:ser>
          <c:idx val="3"/>
          <c:order val="3"/>
          <c:tx>
            <c:strRef>
              <c:f>'2015-16 nMDS'!$I$4</c:f>
              <c:strCache>
                <c:ptCount val="1"/>
                <c:pt idx="0">
                  <c:v>Mar_16 Wet</c:v>
                </c:pt>
              </c:strCache>
            </c:strRef>
          </c:tx>
          <c:spPr>
            <a:ln w="25386" cap="rnd">
              <a:noFill/>
              <a:round/>
            </a:ln>
            <a:effectLst/>
          </c:spPr>
          <c:marker>
            <c:symbol val="square"/>
            <c:size val="6"/>
            <c:spPr>
              <a:solidFill>
                <a:srgbClr val="00B0F0"/>
              </a:solidFill>
              <a:ln w="9520">
                <a:noFill/>
              </a:ln>
              <a:effectLst/>
            </c:spPr>
          </c:marker>
          <c:xVal>
            <c:numRef>
              <c:f>'2015-16 nMDS'!$F$38:$F$42</c:f>
              <c:numCache>
                <c:formatCode>General</c:formatCode>
                <c:ptCount val="5"/>
                <c:pt idx="0">
                  <c:v>0.95</c:v>
                </c:pt>
                <c:pt idx="1">
                  <c:v>1.3</c:v>
                </c:pt>
                <c:pt idx="2">
                  <c:v>0.83</c:v>
                </c:pt>
                <c:pt idx="3">
                  <c:v>0.77</c:v>
                </c:pt>
                <c:pt idx="4">
                  <c:v>0.63</c:v>
                </c:pt>
              </c:numCache>
            </c:numRef>
          </c:xVal>
          <c:yVal>
            <c:numRef>
              <c:f>'2015-16 nMDS'!$G$38:$G$42</c:f>
              <c:numCache>
                <c:formatCode>0.00</c:formatCode>
                <c:ptCount val="5"/>
                <c:pt idx="0">
                  <c:v>-1.33</c:v>
                </c:pt>
                <c:pt idx="1">
                  <c:v>-0.79</c:v>
                </c:pt>
                <c:pt idx="2">
                  <c:v>-0.5</c:v>
                </c:pt>
                <c:pt idx="3">
                  <c:v>-0.43</c:v>
                </c:pt>
                <c:pt idx="4">
                  <c:v>-0.93</c:v>
                </c:pt>
              </c:numCache>
            </c:numRef>
          </c:yVal>
          <c:smooth val="0"/>
        </c:ser>
        <c:dLbls>
          <c:showLegendKey val="0"/>
          <c:showVal val="0"/>
          <c:showCatName val="0"/>
          <c:showSerName val="0"/>
          <c:showPercent val="0"/>
          <c:showBubbleSize val="0"/>
        </c:dLbls>
        <c:axId val="693522328"/>
        <c:axId val="693522720"/>
      </c:scatterChart>
      <c:valAx>
        <c:axId val="693522328"/>
        <c:scaling>
          <c:orientation val="minMax"/>
          <c:max val="2"/>
        </c:scaling>
        <c:delete val="0"/>
        <c:axPos val="b"/>
        <c:numFmt formatCode="General" sourceLinked="1"/>
        <c:majorTickMark val="out"/>
        <c:minorTickMark val="none"/>
        <c:tickLblPos val="nextTo"/>
        <c:spPr>
          <a:noFill/>
          <a:ln w="9520" cap="flat" cmpd="sng" algn="ctr">
            <a:solidFill>
              <a:sysClr val="window" lastClr="FFFFFF">
                <a:lumMod val="50000"/>
              </a:sysClr>
            </a:solidFill>
            <a:round/>
          </a:ln>
          <a:effectLst/>
        </c:spPr>
        <c:txPr>
          <a:bodyPr rot="0" vert="horz"/>
          <a:lstStyle/>
          <a:p>
            <a:pPr>
              <a:defRPr sz="900" b="0" i="0" u="none" strike="noStrike" baseline="0">
                <a:solidFill>
                  <a:srgbClr val="000000"/>
                </a:solidFill>
                <a:latin typeface="Arial"/>
                <a:ea typeface="Arial"/>
                <a:cs typeface="Arial"/>
              </a:defRPr>
            </a:pPr>
            <a:endParaRPr lang="en-US"/>
          </a:p>
        </c:txPr>
        <c:crossAx val="693522720"/>
        <c:crossesAt val="-2"/>
        <c:crossBetween val="midCat"/>
      </c:valAx>
      <c:valAx>
        <c:axId val="693522720"/>
        <c:scaling>
          <c:orientation val="minMax"/>
          <c:max val="2"/>
          <c:min val="-2"/>
        </c:scaling>
        <c:delete val="0"/>
        <c:axPos val="l"/>
        <c:numFmt formatCode="0" sourceLinked="0"/>
        <c:majorTickMark val="out"/>
        <c:minorTickMark val="none"/>
        <c:tickLblPos val="nextTo"/>
        <c:spPr>
          <a:noFill/>
          <a:ln w="9520" cap="flat" cmpd="sng" algn="ctr">
            <a:solidFill>
              <a:sysClr val="window" lastClr="FFFFFF">
                <a:lumMod val="50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93522328"/>
        <c:crossesAt val="-2"/>
        <c:crossBetween val="midCat"/>
        <c:majorUnit val="1"/>
      </c:valAx>
      <c:spPr>
        <a:noFill/>
        <a:ln>
          <a:solidFill>
            <a:sysClr val="window" lastClr="FFFFFF">
              <a:lumMod val="50000"/>
            </a:sysClr>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a:noFill/>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strRef>
              <c:f>'all sampling times nMDS'!$I$3</c:f>
              <c:strCache>
                <c:ptCount val="1"/>
                <c:pt idx="0">
                  <c:v>Dec_14 Dry</c:v>
                </c:pt>
              </c:strCache>
            </c:strRef>
          </c:tx>
          <c:spPr>
            <a:ln w="25385" cap="rnd">
              <a:noFill/>
              <a:round/>
            </a:ln>
            <a:effectLst/>
          </c:spPr>
          <c:marker>
            <c:symbol val="diamond"/>
            <c:size val="7"/>
            <c:spPr>
              <a:solidFill>
                <a:schemeClr val="accent4">
                  <a:lumMod val="60000"/>
                  <a:lumOff val="40000"/>
                </a:schemeClr>
              </a:solidFill>
              <a:ln w="9519">
                <a:noFill/>
              </a:ln>
              <a:effectLst/>
            </c:spPr>
          </c:marker>
          <c:xVal>
            <c:numRef>
              <c:f>'all sampling times nMDS'!$F$3:$F$27</c:f>
              <c:numCache>
                <c:formatCode>General</c:formatCode>
                <c:ptCount val="25"/>
                <c:pt idx="0">
                  <c:v>-0.33</c:v>
                </c:pt>
                <c:pt idx="1">
                  <c:v>-0.28000000000000003</c:v>
                </c:pt>
                <c:pt idx="2">
                  <c:v>-0.28999999999999998</c:v>
                </c:pt>
                <c:pt idx="3">
                  <c:v>0.82</c:v>
                </c:pt>
                <c:pt idx="4">
                  <c:v>-0.09</c:v>
                </c:pt>
                <c:pt idx="5">
                  <c:v>-0.12</c:v>
                </c:pt>
                <c:pt idx="6">
                  <c:v>-0.12</c:v>
                </c:pt>
                <c:pt idx="7">
                  <c:v>-0.1</c:v>
                </c:pt>
                <c:pt idx="8">
                  <c:v>7.0000000000000007E-2</c:v>
                </c:pt>
                <c:pt idx="9">
                  <c:v>0.54</c:v>
                </c:pt>
                <c:pt idx="10">
                  <c:v>7.0000000000000007E-2</c:v>
                </c:pt>
                <c:pt idx="11">
                  <c:v>-0.21</c:v>
                </c:pt>
                <c:pt idx="12">
                  <c:v>0.16</c:v>
                </c:pt>
                <c:pt idx="13">
                  <c:v>0.3</c:v>
                </c:pt>
                <c:pt idx="14">
                  <c:v>0.06</c:v>
                </c:pt>
                <c:pt idx="15">
                  <c:v>0.27</c:v>
                </c:pt>
                <c:pt idx="16">
                  <c:v>-0.15</c:v>
                </c:pt>
                <c:pt idx="17">
                  <c:v>0.11</c:v>
                </c:pt>
                <c:pt idx="18">
                  <c:v>-0.14000000000000001</c:v>
                </c:pt>
                <c:pt idx="19">
                  <c:v>1.73</c:v>
                </c:pt>
                <c:pt idx="20">
                  <c:v>0.61</c:v>
                </c:pt>
                <c:pt idx="21">
                  <c:v>-0.61</c:v>
                </c:pt>
                <c:pt idx="22">
                  <c:v>-0.45</c:v>
                </c:pt>
                <c:pt idx="23">
                  <c:v>-0.75</c:v>
                </c:pt>
                <c:pt idx="24">
                  <c:v>1.1000000000000001</c:v>
                </c:pt>
              </c:numCache>
            </c:numRef>
          </c:xVal>
          <c:yVal>
            <c:numRef>
              <c:f>'all sampling times nMDS'!$G$3:$G$27</c:f>
              <c:numCache>
                <c:formatCode>General</c:formatCode>
                <c:ptCount val="25"/>
                <c:pt idx="0">
                  <c:v>-0.36</c:v>
                </c:pt>
                <c:pt idx="1">
                  <c:v>-0.38</c:v>
                </c:pt>
                <c:pt idx="2">
                  <c:v>-0.69</c:v>
                </c:pt>
                <c:pt idx="3">
                  <c:v>-0.73</c:v>
                </c:pt>
                <c:pt idx="4">
                  <c:v>-0.63</c:v>
                </c:pt>
                <c:pt idx="5">
                  <c:v>-0.85</c:v>
                </c:pt>
                <c:pt idx="6">
                  <c:v>-0.26</c:v>
                </c:pt>
                <c:pt idx="7">
                  <c:v>-0.37</c:v>
                </c:pt>
                <c:pt idx="8">
                  <c:v>-0.48</c:v>
                </c:pt>
                <c:pt idx="9">
                  <c:v>-0.41</c:v>
                </c:pt>
                <c:pt idx="10">
                  <c:v>-0.61</c:v>
                </c:pt>
                <c:pt idx="11">
                  <c:v>-0.87</c:v>
                </c:pt>
                <c:pt idx="12">
                  <c:v>-0.74</c:v>
                </c:pt>
                <c:pt idx="13">
                  <c:v>-1.06</c:v>
                </c:pt>
                <c:pt idx="14">
                  <c:v>-0.78</c:v>
                </c:pt>
                <c:pt idx="15">
                  <c:v>-0.62</c:v>
                </c:pt>
                <c:pt idx="16">
                  <c:v>-0.33</c:v>
                </c:pt>
                <c:pt idx="17">
                  <c:v>-0.74</c:v>
                </c:pt>
                <c:pt idx="18">
                  <c:v>-0.41</c:v>
                </c:pt>
                <c:pt idx="19">
                  <c:v>-0.3</c:v>
                </c:pt>
                <c:pt idx="20">
                  <c:v>-0.69</c:v>
                </c:pt>
                <c:pt idx="21">
                  <c:v>-0.52</c:v>
                </c:pt>
                <c:pt idx="22">
                  <c:v>-0.44</c:v>
                </c:pt>
                <c:pt idx="23">
                  <c:v>0.05</c:v>
                </c:pt>
                <c:pt idx="24">
                  <c:v>-0.87</c:v>
                </c:pt>
              </c:numCache>
            </c:numRef>
          </c:yVal>
          <c:smooth val="0"/>
        </c:ser>
        <c:ser>
          <c:idx val="1"/>
          <c:order val="1"/>
          <c:tx>
            <c:strRef>
              <c:f>'all sampling times nMDS'!$I$4</c:f>
              <c:strCache>
                <c:ptCount val="1"/>
                <c:pt idx="0">
                  <c:v>Dec_14 Wet</c:v>
                </c:pt>
              </c:strCache>
            </c:strRef>
          </c:tx>
          <c:spPr>
            <a:ln w="25385" cap="rnd">
              <a:noFill/>
              <a:round/>
            </a:ln>
            <a:effectLst/>
          </c:spPr>
          <c:marker>
            <c:symbol val="diamond"/>
            <c:size val="7"/>
            <c:spPr>
              <a:solidFill>
                <a:srgbClr val="00B0F0"/>
              </a:solidFill>
              <a:ln w="9519">
                <a:noFill/>
              </a:ln>
              <a:effectLst/>
            </c:spPr>
          </c:marker>
          <c:xVal>
            <c:numRef>
              <c:f>'all sampling times nMDS'!$F$28:$F$34</c:f>
              <c:numCache>
                <c:formatCode>General</c:formatCode>
                <c:ptCount val="7"/>
                <c:pt idx="0">
                  <c:v>0.09</c:v>
                </c:pt>
                <c:pt idx="1">
                  <c:v>-0.2</c:v>
                </c:pt>
                <c:pt idx="2">
                  <c:v>-0.43</c:v>
                </c:pt>
                <c:pt idx="3">
                  <c:v>-0.28999999999999998</c:v>
                </c:pt>
                <c:pt idx="4">
                  <c:v>-0.15</c:v>
                </c:pt>
                <c:pt idx="5">
                  <c:v>-0.31</c:v>
                </c:pt>
                <c:pt idx="6">
                  <c:v>-0.22</c:v>
                </c:pt>
              </c:numCache>
            </c:numRef>
          </c:xVal>
          <c:yVal>
            <c:numRef>
              <c:f>'all sampling times nMDS'!$G$28:$G$34</c:f>
              <c:numCache>
                <c:formatCode>General</c:formatCode>
                <c:ptCount val="7"/>
                <c:pt idx="0">
                  <c:v>-0.56999999999999995</c:v>
                </c:pt>
                <c:pt idx="1">
                  <c:v>-0.34</c:v>
                </c:pt>
                <c:pt idx="2">
                  <c:v>-0.47</c:v>
                </c:pt>
                <c:pt idx="3">
                  <c:v>-0.24</c:v>
                </c:pt>
                <c:pt idx="4">
                  <c:v>-0.51</c:v>
                </c:pt>
                <c:pt idx="5">
                  <c:v>-0.24</c:v>
                </c:pt>
                <c:pt idx="6">
                  <c:v>-0.16</c:v>
                </c:pt>
              </c:numCache>
            </c:numRef>
          </c:yVal>
          <c:smooth val="0"/>
        </c:ser>
        <c:ser>
          <c:idx val="2"/>
          <c:order val="2"/>
          <c:tx>
            <c:strRef>
              <c:f>'all sampling times nMDS'!$I$5</c:f>
              <c:strCache>
                <c:ptCount val="1"/>
                <c:pt idx="0">
                  <c:v>Mar_15 Dry</c:v>
                </c:pt>
              </c:strCache>
            </c:strRef>
          </c:tx>
          <c:spPr>
            <a:ln w="25385" cap="rnd">
              <a:noFill/>
              <a:round/>
            </a:ln>
            <a:effectLst/>
          </c:spPr>
          <c:marker>
            <c:symbol val="triangle"/>
            <c:size val="7"/>
            <c:spPr>
              <a:solidFill>
                <a:schemeClr val="accent4">
                  <a:lumMod val="60000"/>
                  <a:lumOff val="40000"/>
                </a:schemeClr>
              </a:solidFill>
              <a:ln w="9519">
                <a:noFill/>
              </a:ln>
              <a:effectLst/>
            </c:spPr>
          </c:marker>
          <c:xVal>
            <c:numRef>
              <c:f>'all sampling times nMDS'!$F$35:$F$43</c:f>
              <c:numCache>
                <c:formatCode>General</c:formatCode>
                <c:ptCount val="9"/>
                <c:pt idx="0">
                  <c:v>0</c:v>
                </c:pt>
                <c:pt idx="1">
                  <c:v>0.37</c:v>
                </c:pt>
                <c:pt idx="2">
                  <c:v>0.05</c:v>
                </c:pt>
                <c:pt idx="3">
                  <c:v>1.54</c:v>
                </c:pt>
                <c:pt idx="4">
                  <c:v>0.23</c:v>
                </c:pt>
                <c:pt idx="5">
                  <c:v>0.94</c:v>
                </c:pt>
                <c:pt idx="6">
                  <c:v>-0.47</c:v>
                </c:pt>
                <c:pt idx="7">
                  <c:v>0.3</c:v>
                </c:pt>
                <c:pt idx="8">
                  <c:v>0.75</c:v>
                </c:pt>
              </c:numCache>
            </c:numRef>
          </c:xVal>
          <c:yVal>
            <c:numRef>
              <c:f>'all sampling times nMDS'!$G$35:$G$43</c:f>
              <c:numCache>
                <c:formatCode>General</c:formatCode>
                <c:ptCount val="9"/>
                <c:pt idx="0">
                  <c:v>-0.19</c:v>
                </c:pt>
                <c:pt idx="1">
                  <c:v>-0.49</c:v>
                </c:pt>
                <c:pt idx="2">
                  <c:v>-0.2</c:v>
                </c:pt>
                <c:pt idx="3">
                  <c:v>-0.52</c:v>
                </c:pt>
                <c:pt idx="4">
                  <c:v>-0.08</c:v>
                </c:pt>
                <c:pt idx="5">
                  <c:v>-0.11</c:v>
                </c:pt>
                <c:pt idx="6">
                  <c:v>-0.27</c:v>
                </c:pt>
                <c:pt idx="7">
                  <c:v>-0.04</c:v>
                </c:pt>
                <c:pt idx="8">
                  <c:v>-0.06</c:v>
                </c:pt>
              </c:numCache>
            </c:numRef>
          </c:yVal>
          <c:smooth val="0"/>
        </c:ser>
        <c:ser>
          <c:idx val="3"/>
          <c:order val="3"/>
          <c:tx>
            <c:strRef>
              <c:f>'all sampling times nMDS'!$I$6</c:f>
              <c:strCache>
                <c:ptCount val="1"/>
                <c:pt idx="0">
                  <c:v>Mar_15 Wet</c:v>
                </c:pt>
              </c:strCache>
            </c:strRef>
          </c:tx>
          <c:spPr>
            <a:ln w="25385" cap="rnd">
              <a:noFill/>
              <a:round/>
            </a:ln>
            <a:effectLst/>
          </c:spPr>
          <c:marker>
            <c:symbol val="triangle"/>
            <c:size val="7"/>
            <c:spPr>
              <a:solidFill>
                <a:srgbClr val="00B0F0"/>
              </a:solidFill>
              <a:ln w="9519">
                <a:noFill/>
              </a:ln>
              <a:effectLst/>
            </c:spPr>
          </c:marker>
          <c:xVal>
            <c:numRef>
              <c:f>'all sampling times nMDS'!$F$44:$F$66</c:f>
              <c:numCache>
                <c:formatCode>General</c:formatCode>
                <c:ptCount val="23"/>
                <c:pt idx="0">
                  <c:v>-0.53</c:v>
                </c:pt>
                <c:pt idx="1">
                  <c:v>-0.63</c:v>
                </c:pt>
                <c:pt idx="2">
                  <c:v>-0.81</c:v>
                </c:pt>
                <c:pt idx="3">
                  <c:v>-0.94</c:v>
                </c:pt>
                <c:pt idx="4">
                  <c:v>-0.88</c:v>
                </c:pt>
                <c:pt idx="5">
                  <c:v>-0.73</c:v>
                </c:pt>
                <c:pt idx="6">
                  <c:v>-0.33</c:v>
                </c:pt>
                <c:pt idx="7">
                  <c:v>-0.17</c:v>
                </c:pt>
                <c:pt idx="8">
                  <c:v>-0.23</c:v>
                </c:pt>
                <c:pt idx="9">
                  <c:v>7.0000000000000007E-2</c:v>
                </c:pt>
                <c:pt idx="10">
                  <c:v>-0.28999999999999998</c:v>
                </c:pt>
                <c:pt idx="11">
                  <c:v>-0.05</c:v>
                </c:pt>
                <c:pt idx="12">
                  <c:v>-0.17</c:v>
                </c:pt>
                <c:pt idx="13">
                  <c:v>-0.35</c:v>
                </c:pt>
                <c:pt idx="14">
                  <c:v>-0.23</c:v>
                </c:pt>
                <c:pt idx="15">
                  <c:v>-0.9</c:v>
                </c:pt>
                <c:pt idx="16">
                  <c:v>-0.53</c:v>
                </c:pt>
                <c:pt idx="17">
                  <c:v>-0.46</c:v>
                </c:pt>
                <c:pt idx="18">
                  <c:v>-0.83</c:v>
                </c:pt>
                <c:pt idx="19">
                  <c:v>-0.53</c:v>
                </c:pt>
                <c:pt idx="20">
                  <c:v>-1.07</c:v>
                </c:pt>
                <c:pt idx="21">
                  <c:v>-0.74</c:v>
                </c:pt>
                <c:pt idx="22">
                  <c:v>-1.03</c:v>
                </c:pt>
              </c:numCache>
            </c:numRef>
          </c:xVal>
          <c:yVal>
            <c:numRef>
              <c:f>'all sampling times nMDS'!$G$44:$G$66</c:f>
              <c:numCache>
                <c:formatCode>General</c:formatCode>
                <c:ptCount val="23"/>
                <c:pt idx="0">
                  <c:v>-0.23</c:v>
                </c:pt>
                <c:pt idx="1">
                  <c:v>-0.14000000000000001</c:v>
                </c:pt>
                <c:pt idx="2">
                  <c:v>-0.42</c:v>
                </c:pt>
                <c:pt idx="3">
                  <c:v>-0.48</c:v>
                </c:pt>
                <c:pt idx="4">
                  <c:v>-0.26</c:v>
                </c:pt>
                <c:pt idx="5">
                  <c:v>-0.2</c:v>
                </c:pt>
                <c:pt idx="6">
                  <c:v>0.28999999999999998</c:v>
                </c:pt>
                <c:pt idx="7">
                  <c:v>0.13</c:v>
                </c:pt>
                <c:pt idx="8">
                  <c:v>-0.04</c:v>
                </c:pt>
                <c:pt idx="9">
                  <c:v>0.52</c:v>
                </c:pt>
                <c:pt idx="10">
                  <c:v>0.41</c:v>
                </c:pt>
                <c:pt idx="11">
                  <c:v>0.52</c:v>
                </c:pt>
                <c:pt idx="12">
                  <c:v>0.25</c:v>
                </c:pt>
                <c:pt idx="13">
                  <c:v>0.23</c:v>
                </c:pt>
                <c:pt idx="14">
                  <c:v>0.21</c:v>
                </c:pt>
                <c:pt idx="15">
                  <c:v>-0.41</c:v>
                </c:pt>
                <c:pt idx="16">
                  <c:v>-0.61</c:v>
                </c:pt>
                <c:pt idx="17">
                  <c:v>-0.15</c:v>
                </c:pt>
                <c:pt idx="18">
                  <c:v>-0.32</c:v>
                </c:pt>
                <c:pt idx="19">
                  <c:v>-0.05</c:v>
                </c:pt>
                <c:pt idx="20">
                  <c:v>-0.11</c:v>
                </c:pt>
                <c:pt idx="21">
                  <c:v>-0.31</c:v>
                </c:pt>
                <c:pt idx="22">
                  <c:v>-0.19</c:v>
                </c:pt>
              </c:numCache>
            </c:numRef>
          </c:yVal>
          <c:smooth val="0"/>
        </c:ser>
        <c:ser>
          <c:idx val="6"/>
          <c:order val="4"/>
          <c:tx>
            <c:strRef>
              <c:f>'all sampling times nMDS'!$I$7</c:f>
              <c:strCache>
                <c:ptCount val="1"/>
                <c:pt idx="0">
                  <c:v>Oct_15 Dry</c:v>
                </c:pt>
              </c:strCache>
            </c:strRef>
          </c:tx>
          <c:spPr>
            <a:ln w="25385" cap="rnd">
              <a:noFill/>
              <a:round/>
            </a:ln>
            <a:effectLst/>
          </c:spPr>
          <c:marker>
            <c:symbol val="circle"/>
            <c:size val="6"/>
            <c:spPr>
              <a:solidFill>
                <a:schemeClr val="accent4">
                  <a:lumMod val="60000"/>
                  <a:lumOff val="40000"/>
                </a:schemeClr>
              </a:solidFill>
              <a:ln w="9519">
                <a:noFill/>
              </a:ln>
              <a:effectLst/>
            </c:spPr>
          </c:marker>
          <c:xVal>
            <c:numRef>
              <c:f>'all sampling times nMDS'!$F$107:$F$135</c:f>
              <c:numCache>
                <c:formatCode>General</c:formatCode>
                <c:ptCount val="29"/>
                <c:pt idx="0">
                  <c:v>2.15</c:v>
                </c:pt>
                <c:pt idx="1">
                  <c:v>2.14</c:v>
                </c:pt>
                <c:pt idx="2">
                  <c:v>1.39</c:v>
                </c:pt>
                <c:pt idx="3">
                  <c:v>1.82</c:v>
                </c:pt>
                <c:pt idx="4">
                  <c:v>-0.75</c:v>
                </c:pt>
                <c:pt idx="5">
                  <c:v>-0.36</c:v>
                </c:pt>
                <c:pt idx="6">
                  <c:v>-0.22</c:v>
                </c:pt>
                <c:pt idx="7">
                  <c:v>-0.18</c:v>
                </c:pt>
                <c:pt idx="8">
                  <c:v>0.03</c:v>
                </c:pt>
                <c:pt idx="9">
                  <c:v>-0.1</c:v>
                </c:pt>
                <c:pt idx="10">
                  <c:v>0.02</c:v>
                </c:pt>
                <c:pt idx="11">
                  <c:v>0.3</c:v>
                </c:pt>
                <c:pt idx="12">
                  <c:v>0.01</c:v>
                </c:pt>
                <c:pt idx="13">
                  <c:v>1.66</c:v>
                </c:pt>
                <c:pt idx="14">
                  <c:v>-0.06</c:v>
                </c:pt>
                <c:pt idx="15">
                  <c:v>1.05</c:v>
                </c:pt>
                <c:pt idx="16">
                  <c:v>-0.75</c:v>
                </c:pt>
                <c:pt idx="17">
                  <c:v>-0.99</c:v>
                </c:pt>
                <c:pt idx="18">
                  <c:v>-0.43</c:v>
                </c:pt>
                <c:pt idx="19">
                  <c:v>0.02</c:v>
                </c:pt>
                <c:pt idx="20">
                  <c:v>-0.64</c:v>
                </c:pt>
                <c:pt idx="21">
                  <c:v>-0.67</c:v>
                </c:pt>
                <c:pt idx="22">
                  <c:v>-0.47</c:v>
                </c:pt>
                <c:pt idx="23">
                  <c:v>1</c:v>
                </c:pt>
                <c:pt idx="24">
                  <c:v>1.1599999999999999</c:v>
                </c:pt>
                <c:pt idx="25">
                  <c:v>1.18</c:v>
                </c:pt>
                <c:pt idx="26">
                  <c:v>-0.86</c:v>
                </c:pt>
                <c:pt idx="27">
                  <c:v>-0.84</c:v>
                </c:pt>
                <c:pt idx="28">
                  <c:v>1.04</c:v>
                </c:pt>
              </c:numCache>
            </c:numRef>
          </c:xVal>
          <c:yVal>
            <c:numRef>
              <c:f>'all sampling times nMDS'!$G$107:$G$135</c:f>
              <c:numCache>
                <c:formatCode>General</c:formatCode>
                <c:ptCount val="29"/>
                <c:pt idx="0">
                  <c:v>0.31</c:v>
                </c:pt>
                <c:pt idx="1">
                  <c:v>-0.41</c:v>
                </c:pt>
                <c:pt idx="2">
                  <c:v>0.43</c:v>
                </c:pt>
                <c:pt idx="3">
                  <c:v>-0.54</c:v>
                </c:pt>
                <c:pt idx="4">
                  <c:v>0.17</c:v>
                </c:pt>
                <c:pt idx="5">
                  <c:v>0.13</c:v>
                </c:pt>
                <c:pt idx="6">
                  <c:v>0.14000000000000001</c:v>
                </c:pt>
                <c:pt idx="7">
                  <c:v>0.57999999999999996</c:v>
                </c:pt>
                <c:pt idx="8">
                  <c:v>0.33</c:v>
                </c:pt>
                <c:pt idx="9">
                  <c:v>0.31</c:v>
                </c:pt>
                <c:pt idx="10">
                  <c:v>-0.11</c:v>
                </c:pt>
                <c:pt idx="11">
                  <c:v>-1.18</c:v>
                </c:pt>
                <c:pt idx="12">
                  <c:v>-0.36</c:v>
                </c:pt>
                <c:pt idx="13">
                  <c:v>-0.76</c:v>
                </c:pt>
                <c:pt idx="14">
                  <c:v>0.14000000000000001</c:v>
                </c:pt>
                <c:pt idx="15">
                  <c:v>-0.51</c:v>
                </c:pt>
                <c:pt idx="16">
                  <c:v>0.28000000000000003</c:v>
                </c:pt>
                <c:pt idx="17">
                  <c:v>0.14000000000000001</c:v>
                </c:pt>
                <c:pt idx="18">
                  <c:v>-7.0000000000000007E-2</c:v>
                </c:pt>
                <c:pt idx="19">
                  <c:v>0.06</c:v>
                </c:pt>
                <c:pt idx="20">
                  <c:v>0.28000000000000003</c:v>
                </c:pt>
                <c:pt idx="21">
                  <c:v>7.0000000000000007E-2</c:v>
                </c:pt>
                <c:pt idx="22">
                  <c:v>7.0000000000000007E-2</c:v>
                </c:pt>
                <c:pt idx="23">
                  <c:v>0.73</c:v>
                </c:pt>
                <c:pt idx="24">
                  <c:v>0.73</c:v>
                </c:pt>
                <c:pt idx="25">
                  <c:v>0.54</c:v>
                </c:pt>
                <c:pt idx="26">
                  <c:v>0.14000000000000001</c:v>
                </c:pt>
                <c:pt idx="27">
                  <c:v>-0.01</c:v>
                </c:pt>
                <c:pt idx="28">
                  <c:v>-1.1100000000000001</c:v>
                </c:pt>
              </c:numCache>
            </c:numRef>
          </c:yVal>
          <c:smooth val="0"/>
        </c:ser>
        <c:ser>
          <c:idx val="7"/>
          <c:order val="5"/>
          <c:tx>
            <c:strRef>
              <c:f>'all sampling times nMDS'!$I$8</c:f>
              <c:strCache>
                <c:ptCount val="1"/>
                <c:pt idx="0">
                  <c:v>Oct_15 Wet</c:v>
                </c:pt>
              </c:strCache>
            </c:strRef>
          </c:tx>
          <c:spPr>
            <a:ln w="25385" cap="rnd">
              <a:noFill/>
              <a:round/>
            </a:ln>
            <a:effectLst/>
          </c:spPr>
          <c:marker>
            <c:symbol val="circle"/>
            <c:size val="6"/>
            <c:spPr>
              <a:solidFill>
                <a:srgbClr val="00B0F0"/>
              </a:solidFill>
              <a:ln w="9519">
                <a:noFill/>
              </a:ln>
              <a:effectLst/>
            </c:spPr>
          </c:marker>
          <c:xVal>
            <c:numRef>
              <c:f>'all sampling times nMDS'!$F$136:$F$146</c:f>
              <c:numCache>
                <c:formatCode>General</c:formatCode>
                <c:ptCount val="11"/>
                <c:pt idx="0">
                  <c:v>-0.59</c:v>
                </c:pt>
                <c:pt idx="1">
                  <c:v>-0.57999999999999996</c:v>
                </c:pt>
                <c:pt idx="2">
                  <c:v>-0.65</c:v>
                </c:pt>
                <c:pt idx="3">
                  <c:v>-1.35</c:v>
                </c:pt>
                <c:pt idx="4">
                  <c:v>-0.44</c:v>
                </c:pt>
                <c:pt idx="5">
                  <c:v>-0.21</c:v>
                </c:pt>
                <c:pt idx="6">
                  <c:v>0.28999999999999998</c:v>
                </c:pt>
                <c:pt idx="7">
                  <c:v>-0.2</c:v>
                </c:pt>
                <c:pt idx="8">
                  <c:v>-0.43</c:v>
                </c:pt>
                <c:pt idx="9">
                  <c:v>-0.59</c:v>
                </c:pt>
                <c:pt idx="10">
                  <c:v>-0.86</c:v>
                </c:pt>
              </c:numCache>
            </c:numRef>
          </c:xVal>
          <c:yVal>
            <c:numRef>
              <c:f>'all sampling times nMDS'!$G$136:$G$146</c:f>
              <c:numCache>
                <c:formatCode>General</c:formatCode>
                <c:ptCount val="11"/>
                <c:pt idx="0">
                  <c:v>-0.19</c:v>
                </c:pt>
                <c:pt idx="1">
                  <c:v>-0.04</c:v>
                </c:pt>
                <c:pt idx="2">
                  <c:v>-0.18</c:v>
                </c:pt>
                <c:pt idx="3">
                  <c:v>1.44</c:v>
                </c:pt>
                <c:pt idx="4">
                  <c:v>0.66</c:v>
                </c:pt>
                <c:pt idx="5">
                  <c:v>0.81</c:v>
                </c:pt>
                <c:pt idx="6">
                  <c:v>0.62</c:v>
                </c:pt>
                <c:pt idx="7">
                  <c:v>0.46</c:v>
                </c:pt>
                <c:pt idx="8">
                  <c:v>0.28000000000000003</c:v>
                </c:pt>
                <c:pt idx="9">
                  <c:v>0.31</c:v>
                </c:pt>
                <c:pt idx="10">
                  <c:v>0.38</c:v>
                </c:pt>
              </c:numCache>
            </c:numRef>
          </c:yVal>
          <c:smooth val="0"/>
        </c:ser>
        <c:ser>
          <c:idx val="4"/>
          <c:order val="6"/>
          <c:tx>
            <c:strRef>
              <c:f>'all sampling times nMDS'!$I$9</c:f>
              <c:strCache>
                <c:ptCount val="1"/>
                <c:pt idx="0">
                  <c:v>Mar_16 Dry</c:v>
                </c:pt>
              </c:strCache>
            </c:strRef>
          </c:tx>
          <c:spPr>
            <a:ln w="25385" cap="rnd">
              <a:noFill/>
              <a:round/>
            </a:ln>
            <a:effectLst/>
          </c:spPr>
          <c:marker>
            <c:symbol val="square"/>
            <c:size val="6"/>
            <c:spPr>
              <a:solidFill>
                <a:schemeClr val="accent4">
                  <a:lumMod val="60000"/>
                  <a:lumOff val="40000"/>
                </a:schemeClr>
              </a:solidFill>
              <a:ln w="9519">
                <a:noFill/>
              </a:ln>
              <a:effectLst/>
            </c:spPr>
          </c:marker>
          <c:xVal>
            <c:numRef>
              <c:f>'all sampling times nMDS'!$F$67:$F$101</c:f>
              <c:numCache>
                <c:formatCode>General</c:formatCode>
                <c:ptCount val="35"/>
                <c:pt idx="0">
                  <c:v>2.0299999999999998</c:v>
                </c:pt>
                <c:pt idx="1">
                  <c:v>2.09</c:v>
                </c:pt>
                <c:pt idx="2">
                  <c:v>-0.44</c:v>
                </c:pt>
                <c:pt idx="3">
                  <c:v>-0.85</c:v>
                </c:pt>
                <c:pt idx="4">
                  <c:v>-0.99</c:v>
                </c:pt>
                <c:pt idx="5">
                  <c:v>-1.36</c:v>
                </c:pt>
                <c:pt idx="6">
                  <c:v>-0.35</c:v>
                </c:pt>
                <c:pt idx="7">
                  <c:v>-0.36</c:v>
                </c:pt>
                <c:pt idx="8">
                  <c:v>0.01</c:v>
                </c:pt>
                <c:pt idx="9">
                  <c:v>-0.72</c:v>
                </c:pt>
                <c:pt idx="10">
                  <c:v>0.51</c:v>
                </c:pt>
                <c:pt idx="11">
                  <c:v>2.0499999999999998</c:v>
                </c:pt>
                <c:pt idx="12">
                  <c:v>0.48</c:v>
                </c:pt>
                <c:pt idx="13">
                  <c:v>-0.16</c:v>
                </c:pt>
                <c:pt idx="14">
                  <c:v>-0.5</c:v>
                </c:pt>
                <c:pt idx="15">
                  <c:v>0.35</c:v>
                </c:pt>
                <c:pt idx="16">
                  <c:v>-1.26</c:v>
                </c:pt>
                <c:pt idx="17">
                  <c:v>0.59</c:v>
                </c:pt>
                <c:pt idx="18">
                  <c:v>0.09</c:v>
                </c:pt>
                <c:pt idx="19">
                  <c:v>1.17</c:v>
                </c:pt>
                <c:pt idx="20">
                  <c:v>0.2</c:v>
                </c:pt>
                <c:pt idx="21">
                  <c:v>1.91</c:v>
                </c:pt>
                <c:pt idx="22">
                  <c:v>0.55000000000000004</c:v>
                </c:pt>
                <c:pt idx="23">
                  <c:v>0.99</c:v>
                </c:pt>
                <c:pt idx="24">
                  <c:v>-0.64</c:v>
                </c:pt>
                <c:pt idx="25">
                  <c:v>-0.91</c:v>
                </c:pt>
                <c:pt idx="26">
                  <c:v>-0.73</c:v>
                </c:pt>
                <c:pt idx="27">
                  <c:v>0.28000000000000003</c:v>
                </c:pt>
                <c:pt idx="28">
                  <c:v>-0.33</c:v>
                </c:pt>
                <c:pt idx="29">
                  <c:v>-1.1200000000000001</c:v>
                </c:pt>
                <c:pt idx="30">
                  <c:v>-0.4</c:v>
                </c:pt>
                <c:pt idx="31">
                  <c:v>-0.73</c:v>
                </c:pt>
                <c:pt idx="32">
                  <c:v>-1.07</c:v>
                </c:pt>
                <c:pt idx="33">
                  <c:v>-1.43</c:v>
                </c:pt>
                <c:pt idx="34">
                  <c:v>1.3</c:v>
                </c:pt>
              </c:numCache>
            </c:numRef>
          </c:xVal>
          <c:yVal>
            <c:numRef>
              <c:f>'all sampling times nMDS'!$G$67:$G$101</c:f>
              <c:numCache>
                <c:formatCode>General</c:formatCode>
                <c:ptCount val="35"/>
                <c:pt idx="0">
                  <c:v>0.2</c:v>
                </c:pt>
                <c:pt idx="1">
                  <c:v>0.02</c:v>
                </c:pt>
                <c:pt idx="2">
                  <c:v>-0.32</c:v>
                </c:pt>
                <c:pt idx="3">
                  <c:v>0.24</c:v>
                </c:pt>
                <c:pt idx="4">
                  <c:v>-0.24</c:v>
                </c:pt>
                <c:pt idx="5">
                  <c:v>-0.33</c:v>
                </c:pt>
                <c:pt idx="6">
                  <c:v>0.06</c:v>
                </c:pt>
                <c:pt idx="7">
                  <c:v>-0.01</c:v>
                </c:pt>
                <c:pt idx="8">
                  <c:v>0.38</c:v>
                </c:pt>
                <c:pt idx="9">
                  <c:v>1.57</c:v>
                </c:pt>
                <c:pt idx="10">
                  <c:v>1.53</c:v>
                </c:pt>
                <c:pt idx="11">
                  <c:v>1.39</c:v>
                </c:pt>
                <c:pt idx="12">
                  <c:v>1.1599999999999999</c:v>
                </c:pt>
                <c:pt idx="13">
                  <c:v>0.66</c:v>
                </c:pt>
                <c:pt idx="14">
                  <c:v>0.91</c:v>
                </c:pt>
                <c:pt idx="15">
                  <c:v>1.52</c:v>
                </c:pt>
                <c:pt idx="16">
                  <c:v>0.69</c:v>
                </c:pt>
                <c:pt idx="17">
                  <c:v>1.42</c:v>
                </c:pt>
                <c:pt idx="18">
                  <c:v>-0.08</c:v>
                </c:pt>
                <c:pt idx="19">
                  <c:v>-1.24</c:v>
                </c:pt>
                <c:pt idx="20">
                  <c:v>-0.22</c:v>
                </c:pt>
                <c:pt idx="21">
                  <c:v>-0.14000000000000001</c:v>
                </c:pt>
                <c:pt idx="22">
                  <c:v>0.37</c:v>
                </c:pt>
                <c:pt idx="23">
                  <c:v>-0.39</c:v>
                </c:pt>
                <c:pt idx="24">
                  <c:v>0.04</c:v>
                </c:pt>
                <c:pt idx="25">
                  <c:v>0.05</c:v>
                </c:pt>
                <c:pt idx="26">
                  <c:v>0.24</c:v>
                </c:pt>
                <c:pt idx="27">
                  <c:v>0.1</c:v>
                </c:pt>
                <c:pt idx="28">
                  <c:v>0.1</c:v>
                </c:pt>
                <c:pt idx="29">
                  <c:v>0.15</c:v>
                </c:pt>
                <c:pt idx="30">
                  <c:v>0.13</c:v>
                </c:pt>
                <c:pt idx="31">
                  <c:v>0.1</c:v>
                </c:pt>
                <c:pt idx="32">
                  <c:v>0.04</c:v>
                </c:pt>
                <c:pt idx="33">
                  <c:v>0.62</c:v>
                </c:pt>
                <c:pt idx="34">
                  <c:v>-1.02</c:v>
                </c:pt>
              </c:numCache>
            </c:numRef>
          </c:yVal>
          <c:smooth val="0"/>
        </c:ser>
        <c:ser>
          <c:idx val="5"/>
          <c:order val="7"/>
          <c:tx>
            <c:strRef>
              <c:f>'all sampling times nMDS'!$I$10</c:f>
              <c:strCache>
                <c:ptCount val="1"/>
                <c:pt idx="0">
                  <c:v>Mar_16 Wet</c:v>
                </c:pt>
              </c:strCache>
            </c:strRef>
          </c:tx>
          <c:spPr>
            <a:ln w="25385" cap="rnd">
              <a:noFill/>
              <a:round/>
            </a:ln>
            <a:effectLst/>
          </c:spPr>
          <c:marker>
            <c:symbol val="square"/>
            <c:size val="6"/>
            <c:spPr>
              <a:solidFill>
                <a:srgbClr val="00B0F0"/>
              </a:solidFill>
              <a:ln w="9519">
                <a:noFill/>
              </a:ln>
              <a:effectLst/>
            </c:spPr>
          </c:marker>
          <c:xVal>
            <c:numRef>
              <c:f>'all sampling times nMDS'!$F$102:$F$106</c:f>
              <c:numCache>
                <c:formatCode>General</c:formatCode>
                <c:ptCount val="5"/>
                <c:pt idx="0">
                  <c:v>1.48</c:v>
                </c:pt>
                <c:pt idx="1">
                  <c:v>1.43</c:v>
                </c:pt>
                <c:pt idx="2">
                  <c:v>1.06</c:v>
                </c:pt>
                <c:pt idx="3">
                  <c:v>0.78</c:v>
                </c:pt>
                <c:pt idx="4">
                  <c:v>0.95</c:v>
                </c:pt>
              </c:numCache>
            </c:numRef>
          </c:xVal>
          <c:yVal>
            <c:numRef>
              <c:f>'all sampling times nMDS'!$G$102:$G$106</c:f>
              <c:numCache>
                <c:formatCode>General</c:formatCode>
                <c:ptCount val="5"/>
                <c:pt idx="0">
                  <c:v>1.33</c:v>
                </c:pt>
                <c:pt idx="1">
                  <c:v>1.27</c:v>
                </c:pt>
                <c:pt idx="2">
                  <c:v>0.79</c:v>
                </c:pt>
                <c:pt idx="3">
                  <c:v>0.93</c:v>
                </c:pt>
                <c:pt idx="4">
                  <c:v>0.88</c:v>
                </c:pt>
              </c:numCache>
            </c:numRef>
          </c:yVal>
          <c:smooth val="0"/>
        </c:ser>
        <c:dLbls>
          <c:showLegendKey val="0"/>
          <c:showVal val="0"/>
          <c:showCatName val="0"/>
          <c:showSerName val="0"/>
          <c:showPercent val="0"/>
          <c:showBubbleSize val="0"/>
        </c:dLbls>
        <c:axId val="472464432"/>
        <c:axId val="472464824"/>
      </c:scatterChart>
      <c:valAx>
        <c:axId val="472464432"/>
        <c:scaling>
          <c:orientation val="minMax"/>
          <c:max val="2.5"/>
        </c:scaling>
        <c:delete val="0"/>
        <c:axPos val="b"/>
        <c:numFmt formatCode="General" sourceLinked="1"/>
        <c:majorTickMark val="out"/>
        <c:minorTickMark val="none"/>
        <c:tickLblPos val="nextTo"/>
        <c:spPr>
          <a:noFill/>
          <a:ln w="9519" cap="flat" cmpd="sng" algn="ctr">
            <a:solidFill>
              <a:sysClr val="window" lastClr="FFFFFF">
                <a:lumMod val="50000"/>
              </a:sysClr>
            </a:solidFill>
            <a:round/>
          </a:ln>
          <a:effectLst/>
        </c:spPr>
        <c:txPr>
          <a:bodyPr rot="0" vert="horz"/>
          <a:lstStyle/>
          <a:p>
            <a:pPr>
              <a:defRPr sz="899" b="0" i="0" u="none" strike="noStrike" baseline="0">
                <a:solidFill>
                  <a:srgbClr val="000000"/>
                </a:solidFill>
                <a:latin typeface="Arial"/>
                <a:ea typeface="Arial"/>
                <a:cs typeface="Arial"/>
              </a:defRPr>
            </a:pPr>
            <a:endParaRPr lang="en-US"/>
          </a:p>
        </c:txPr>
        <c:crossAx val="472464824"/>
        <c:crossesAt val="-2.5"/>
        <c:crossBetween val="midCat"/>
      </c:valAx>
      <c:valAx>
        <c:axId val="472464824"/>
        <c:scaling>
          <c:orientation val="minMax"/>
          <c:max val="2.5"/>
          <c:min val="-2.5"/>
        </c:scaling>
        <c:delete val="0"/>
        <c:axPos val="l"/>
        <c:numFmt formatCode="General" sourceLinked="1"/>
        <c:majorTickMark val="out"/>
        <c:minorTickMark val="none"/>
        <c:tickLblPos val="nextTo"/>
        <c:spPr>
          <a:noFill/>
          <a:ln w="9519" cap="flat" cmpd="sng" algn="ctr">
            <a:solidFill>
              <a:sysClr val="window" lastClr="FFFFFF">
                <a:lumMod val="50000"/>
              </a:sysClr>
            </a:solidFill>
            <a:round/>
          </a:ln>
          <a:effectLst/>
        </c:spPr>
        <c:txPr>
          <a:bodyPr rot="-60000000" spcFirstLastPara="1" vertOverflow="ellipsis" vert="horz" wrap="square" anchor="ctr" anchorCtr="1"/>
          <a:lstStyle/>
          <a:p>
            <a:pPr>
              <a:defRPr sz="899"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72464432"/>
        <c:crossesAt val="-2.5"/>
        <c:crossBetween val="midCat"/>
        <c:majorUnit val="1"/>
      </c:valAx>
      <c:spPr>
        <a:noFill/>
        <a:ln>
          <a:solidFill>
            <a:sysClr val="window" lastClr="FFFFFF">
              <a:lumMod val="50000"/>
            </a:sysClr>
          </a:solidFill>
        </a:ln>
        <a:effectLst/>
      </c:spPr>
    </c:plotArea>
    <c:legend>
      <c:legendPos val="r"/>
      <c:overlay val="0"/>
      <c:spPr>
        <a:noFill/>
        <a:ln>
          <a:noFill/>
        </a:ln>
        <a:effectLst/>
      </c:spPr>
      <c:txPr>
        <a:bodyPr rot="0" spcFirstLastPara="1" vertOverflow="ellipsis" vert="horz" wrap="square" anchor="ctr" anchorCtr="1"/>
        <a:lstStyle/>
        <a:p>
          <a:pPr>
            <a:defRPr sz="899"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a:noFill/>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554606666359285E-2"/>
          <c:y val="3.8674765230991032E-2"/>
          <c:w val="0.87834688360766877"/>
          <c:h val="0.65590779744694472"/>
        </c:manualLayout>
      </c:layout>
      <c:lineChart>
        <c:grouping val="standard"/>
        <c:varyColors val="0"/>
        <c:ser>
          <c:idx val="1"/>
          <c:order val="0"/>
          <c:tx>
            <c:strRef>
              <c:f>'[Chart in Microsoft Word]flows'!$E$2</c:f>
              <c:strCache>
                <c:ptCount val="1"/>
                <c:pt idx="0">
                  <c:v>Environmental water released</c:v>
                </c:pt>
              </c:strCache>
            </c:strRef>
          </c:tx>
          <c:spPr>
            <a:ln w="28575" cap="rnd">
              <a:solidFill>
                <a:srgbClr val="00B050"/>
              </a:solidFill>
              <a:round/>
            </a:ln>
            <a:effectLst/>
          </c:spPr>
          <c:marker>
            <c:symbol val="none"/>
          </c:marker>
          <c:cat>
            <c:numRef>
              <c:f>'[Chart in Microsoft Word]flows'!$A$5:$A$370</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'[Chart in Microsoft Word]flows'!$E$3:$E$325</c:f>
              <c:numCache>
                <c:formatCode>General</c:formatCode>
                <c:ptCount val="323"/>
                <c:pt idx="176">
                  <c:v>2.5</c:v>
                </c:pt>
                <c:pt idx="177">
                  <c:v>2.5</c:v>
                </c:pt>
                <c:pt idx="178">
                  <c:v>2.5</c:v>
                </c:pt>
                <c:pt idx="179">
                  <c:v>2.5</c:v>
                </c:pt>
                <c:pt idx="180">
                  <c:v>2.5</c:v>
                </c:pt>
                <c:pt idx="181">
                  <c:v>2.5</c:v>
                </c:pt>
                <c:pt idx="182">
                  <c:v>2.5</c:v>
                </c:pt>
                <c:pt idx="183">
                  <c:v>2.5</c:v>
                </c:pt>
                <c:pt idx="184">
                  <c:v>2.5</c:v>
                </c:pt>
                <c:pt idx="185">
                  <c:v>2.5</c:v>
                </c:pt>
                <c:pt idx="186">
                  <c:v>2.5</c:v>
                </c:pt>
                <c:pt idx="187">
                  <c:v>2.5</c:v>
                </c:pt>
                <c:pt idx="188">
                  <c:v>2.5</c:v>
                </c:pt>
                <c:pt idx="189">
                  <c:v>2.5</c:v>
                </c:pt>
                <c:pt idx="190">
                  <c:v>2.5</c:v>
                </c:pt>
                <c:pt idx="191">
                  <c:v>2.5</c:v>
                </c:pt>
                <c:pt idx="192">
                  <c:v>2.5</c:v>
                </c:pt>
                <c:pt idx="193">
                  <c:v>2.5</c:v>
                </c:pt>
                <c:pt idx="202">
                  <c:v>2.5</c:v>
                </c:pt>
                <c:pt idx="203">
                  <c:v>2.5</c:v>
                </c:pt>
                <c:pt idx="204">
                  <c:v>2.5</c:v>
                </c:pt>
                <c:pt idx="205">
                  <c:v>2.5</c:v>
                </c:pt>
                <c:pt idx="206">
                  <c:v>2.5</c:v>
                </c:pt>
                <c:pt idx="207">
                  <c:v>2.5</c:v>
                </c:pt>
                <c:pt idx="208">
                  <c:v>2.5</c:v>
                </c:pt>
                <c:pt idx="209">
                  <c:v>2.5</c:v>
                </c:pt>
                <c:pt idx="210">
                  <c:v>2.5</c:v>
                </c:pt>
                <c:pt idx="211">
                  <c:v>2.5</c:v>
                </c:pt>
                <c:pt idx="212">
                  <c:v>2.5</c:v>
                </c:pt>
                <c:pt idx="213">
                  <c:v>2.5</c:v>
                </c:pt>
                <c:pt idx="214">
                  <c:v>2.5</c:v>
                </c:pt>
                <c:pt idx="215">
                  <c:v>2.5</c:v>
                </c:pt>
                <c:pt idx="216">
                  <c:v>2.5</c:v>
                </c:pt>
                <c:pt idx="217">
                  <c:v>2.5</c:v>
                </c:pt>
                <c:pt idx="218">
                  <c:v>2.5</c:v>
                </c:pt>
                <c:pt idx="219">
                  <c:v>2.5</c:v>
                </c:pt>
                <c:pt idx="287">
                  <c:v>2.5</c:v>
                </c:pt>
                <c:pt idx="288">
                  <c:v>2.5</c:v>
                </c:pt>
                <c:pt idx="289">
                  <c:v>2.5</c:v>
                </c:pt>
                <c:pt idx="290">
                  <c:v>2.5</c:v>
                </c:pt>
                <c:pt idx="291">
                  <c:v>2.5</c:v>
                </c:pt>
                <c:pt idx="292">
                  <c:v>2.5</c:v>
                </c:pt>
                <c:pt idx="293">
                  <c:v>2.5</c:v>
                </c:pt>
                <c:pt idx="294">
                  <c:v>2.5</c:v>
                </c:pt>
                <c:pt idx="295">
                  <c:v>2.5</c:v>
                </c:pt>
                <c:pt idx="296">
                  <c:v>2.5</c:v>
                </c:pt>
                <c:pt idx="297">
                  <c:v>2.5</c:v>
                </c:pt>
                <c:pt idx="298">
                  <c:v>2.5</c:v>
                </c:pt>
                <c:pt idx="299">
                  <c:v>2.5</c:v>
                </c:pt>
                <c:pt idx="300">
                  <c:v>2.5</c:v>
                </c:pt>
                <c:pt idx="301">
                  <c:v>2.5</c:v>
                </c:pt>
                <c:pt idx="302">
                  <c:v>2.5</c:v>
                </c:pt>
                <c:pt idx="303">
                  <c:v>2.5</c:v>
                </c:pt>
                <c:pt idx="304">
                  <c:v>2.5</c:v>
                </c:pt>
                <c:pt idx="305">
                  <c:v>2.5</c:v>
                </c:pt>
                <c:pt idx="306">
                  <c:v>2.5</c:v>
                </c:pt>
                <c:pt idx="307">
                  <c:v>2.5</c:v>
                </c:pt>
                <c:pt idx="308">
                  <c:v>2.5</c:v>
                </c:pt>
                <c:pt idx="309">
                  <c:v>2.5</c:v>
                </c:pt>
                <c:pt idx="310">
                  <c:v>2.5</c:v>
                </c:pt>
                <c:pt idx="311">
                  <c:v>2.5</c:v>
                </c:pt>
                <c:pt idx="312">
                  <c:v>2.5</c:v>
                </c:pt>
                <c:pt idx="313">
                  <c:v>2.5</c:v>
                </c:pt>
                <c:pt idx="314">
                  <c:v>2.5</c:v>
                </c:pt>
                <c:pt idx="315">
                  <c:v>2.5</c:v>
                </c:pt>
                <c:pt idx="316">
                  <c:v>2.5</c:v>
                </c:pt>
                <c:pt idx="317">
                  <c:v>2.5</c:v>
                </c:pt>
                <c:pt idx="318">
                  <c:v>2.5</c:v>
                </c:pt>
                <c:pt idx="319">
                  <c:v>2.5</c:v>
                </c:pt>
                <c:pt idx="320">
                  <c:v>2.5</c:v>
                </c:pt>
                <c:pt idx="321">
                  <c:v>2.5</c:v>
                </c:pt>
                <c:pt idx="322">
                  <c:v>2.5</c:v>
                </c:pt>
              </c:numCache>
            </c:numRef>
          </c:val>
          <c:smooth val="0"/>
          <c:extLst xmlns:c16r2="http://schemas.microsoft.com/office/drawing/2015/06/chart">
            <c:ext xmlns:c16="http://schemas.microsoft.com/office/drawing/2014/chart" uri="{C3380CC4-5D6E-409C-BE32-E72D297353CC}">
              <c16:uniqueId val="{00000001-72EE-4BCE-B5A7-8769204907E2}"/>
            </c:ext>
          </c:extLst>
        </c:ser>
        <c:ser>
          <c:idx val="2"/>
          <c:order val="1"/>
          <c:tx>
            <c:strRef>
              <c:f>'[Chart in Microsoft Word]flows'!$J$1</c:f>
              <c:strCache>
                <c:ptCount val="1"/>
                <c:pt idx="0">
                  <c:v>418063 - Gwydir @ DS Tyreel</c:v>
                </c:pt>
              </c:strCache>
            </c:strRef>
          </c:tx>
          <c:spPr>
            <a:ln w="28575" cap="rnd">
              <a:solidFill>
                <a:srgbClr val="CC3300"/>
              </a:solidFill>
              <a:prstDash val="sysDash"/>
              <a:round/>
            </a:ln>
            <a:effectLst/>
          </c:spPr>
          <c:marker>
            <c:symbol val="none"/>
          </c:marker>
          <c:cat>
            <c:numRef>
              <c:f>'[Chart in Microsoft Word]flows'!$A$5:$A$370</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'[Chart in Microsoft Word]flows'!$J$5:$J$370</c:f>
              <c:numCache>
                <c:formatCode>General</c:formatCode>
                <c:ptCount val="366"/>
                <c:pt idx="0">
                  <c:v>0.49600000000000932</c:v>
                </c:pt>
                <c:pt idx="1">
                  <c:v>0.46899999999999409</c:v>
                </c:pt>
                <c:pt idx="2">
                  <c:v>0.44599999999999795</c:v>
                </c:pt>
                <c:pt idx="3">
                  <c:v>0.42500000000001137</c:v>
                </c:pt>
                <c:pt idx="4">
                  <c:v>0.38599999999999568</c:v>
                </c:pt>
                <c:pt idx="5">
                  <c:v>0.36299999999999955</c:v>
                </c:pt>
                <c:pt idx="6">
                  <c:v>0.36299999999999955</c:v>
                </c:pt>
                <c:pt idx="7">
                  <c:v>0.36199999999999477</c:v>
                </c:pt>
                <c:pt idx="8">
                  <c:v>0.36199999999999477</c:v>
                </c:pt>
                <c:pt idx="9">
                  <c:v>0.36199999999999477</c:v>
                </c:pt>
                <c:pt idx="10">
                  <c:v>0.36199999999999477</c:v>
                </c:pt>
                <c:pt idx="11">
                  <c:v>0.36299999999999955</c:v>
                </c:pt>
                <c:pt idx="12">
                  <c:v>0.35800000000000409</c:v>
                </c:pt>
                <c:pt idx="13">
                  <c:v>0.35800000000000409</c:v>
                </c:pt>
                <c:pt idx="14">
                  <c:v>0.35800000000000409</c:v>
                </c:pt>
                <c:pt idx="15">
                  <c:v>0.35800000000000409</c:v>
                </c:pt>
                <c:pt idx="16">
                  <c:v>0.35900000000000887</c:v>
                </c:pt>
                <c:pt idx="17">
                  <c:v>0.36000000000001364</c:v>
                </c:pt>
                <c:pt idx="18">
                  <c:v>0.36000000000001364</c:v>
                </c:pt>
                <c:pt idx="19">
                  <c:v>0.81299999999998818</c:v>
                </c:pt>
                <c:pt idx="20">
                  <c:v>0.34999999999999432</c:v>
                </c:pt>
                <c:pt idx="21">
                  <c:v>0.23300000000000409</c:v>
                </c:pt>
                <c:pt idx="22">
                  <c:v>0.13800000000000523</c:v>
                </c:pt>
                <c:pt idx="23">
                  <c:v>0.37299999999999045</c:v>
                </c:pt>
                <c:pt idx="24">
                  <c:v>1.01400000000001</c:v>
                </c:pt>
                <c:pt idx="25">
                  <c:v>2.7119999999999891</c:v>
                </c:pt>
                <c:pt idx="26">
                  <c:v>2.0829999999999984</c:v>
                </c:pt>
                <c:pt idx="27">
                  <c:v>1.7160000000000082</c:v>
                </c:pt>
                <c:pt idx="28">
                  <c:v>1.4000000000000057</c:v>
                </c:pt>
                <c:pt idx="29">
                  <c:v>1.0680000000000121</c:v>
                </c:pt>
                <c:pt idx="30">
                  <c:v>1.0480000000000018</c:v>
                </c:pt>
                <c:pt idx="31">
                  <c:v>0.99199999999999022</c:v>
                </c:pt>
                <c:pt idx="32">
                  <c:v>0.86000000000001364</c:v>
                </c:pt>
                <c:pt idx="33">
                  <c:v>0.6980000000000075</c:v>
                </c:pt>
                <c:pt idx="34">
                  <c:v>0.53499999999999659</c:v>
                </c:pt>
                <c:pt idx="35">
                  <c:v>0.47399999999998954</c:v>
                </c:pt>
                <c:pt idx="36">
                  <c:v>0.42799999999999727</c:v>
                </c:pt>
                <c:pt idx="37">
                  <c:v>0.37299999999999045</c:v>
                </c:pt>
                <c:pt idx="38">
                  <c:v>0.36099999999999</c:v>
                </c:pt>
                <c:pt idx="39">
                  <c:v>0.36000000000001364</c:v>
                </c:pt>
                <c:pt idx="40">
                  <c:v>0.36000000000001364</c:v>
                </c:pt>
                <c:pt idx="41">
                  <c:v>0.36000000000001364</c:v>
                </c:pt>
                <c:pt idx="42">
                  <c:v>0.36000000000001364</c:v>
                </c:pt>
                <c:pt idx="43">
                  <c:v>0.36299999999999955</c:v>
                </c:pt>
                <c:pt idx="44">
                  <c:v>0.36299999999999955</c:v>
                </c:pt>
                <c:pt idx="45">
                  <c:v>0.36400000000000432</c:v>
                </c:pt>
                <c:pt idx="46">
                  <c:v>0.36199999999999477</c:v>
                </c:pt>
                <c:pt idx="47">
                  <c:v>0.34100000000000819</c:v>
                </c:pt>
                <c:pt idx="48">
                  <c:v>0.33099999999998886</c:v>
                </c:pt>
                <c:pt idx="49">
                  <c:v>0.32800000000000296</c:v>
                </c:pt>
                <c:pt idx="50">
                  <c:v>0.32200000000000273</c:v>
                </c:pt>
                <c:pt idx="51">
                  <c:v>0.29499999999998749</c:v>
                </c:pt>
                <c:pt idx="52">
                  <c:v>0.28100000000000591</c:v>
                </c:pt>
                <c:pt idx="53">
                  <c:v>0.26800000000000068</c:v>
                </c:pt>
                <c:pt idx="54">
                  <c:v>0.25999999999999091</c:v>
                </c:pt>
                <c:pt idx="55">
                  <c:v>1.4240000000000066</c:v>
                </c:pt>
                <c:pt idx="56">
                  <c:v>2.4310000000000116</c:v>
                </c:pt>
                <c:pt idx="57">
                  <c:v>1.7529999999999859</c:v>
                </c:pt>
                <c:pt idx="58">
                  <c:v>1.7160000000000082</c:v>
                </c:pt>
                <c:pt idx="59">
                  <c:v>1.632000000000005</c:v>
                </c:pt>
                <c:pt idx="60">
                  <c:v>1.51400000000001</c:v>
                </c:pt>
                <c:pt idx="61">
                  <c:v>1.3580000000000041</c:v>
                </c:pt>
                <c:pt idx="62">
                  <c:v>1.0900000000000034</c:v>
                </c:pt>
                <c:pt idx="63">
                  <c:v>0.90899999999999181</c:v>
                </c:pt>
                <c:pt idx="64">
                  <c:v>0.83799999999999386</c:v>
                </c:pt>
                <c:pt idx="65">
                  <c:v>0.76800000000000068</c:v>
                </c:pt>
                <c:pt idx="66">
                  <c:v>0.76499999999998636</c:v>
                </c:pt>
                <c:pt idx="67">
                  <c:v>0.76400000000001</c:v>
                </c:pt>
                <c:pt idx="68">
                  <c:v>0.72200000000000841</c:v>
                </c:pt>
                <c:pt idx="69">
                  <c:v>0.64799999999999613</c:v>
                </c:pt>
                <c:pt idx="70">
                  <c:v>0.63100000000000023</c:v>
                </c:pt>
                <c:pt idx="71">
                  <c:v>0.62999999999999545</c:v>
                </c:pt>
                <c:pt idx="72">
                  <c:v>0.59299999999998931</c:v>
                </c:pt>
                <c:pt idx="73">
                  <c:v>0.48300000000000409</c:v>
                </c:pt>
                <c:pt idx="74">
                  <c:v>0.46500000000000341</c:v>
                </c:pt>
                <c:pt idx="75">
                  <c:v>0.43000000000000682</c:v>
                </c:pt>
                <c:pt idx="76">
                  <c:v>0.38399999999998613</c:v>
                </c:pt>
                <c:pt idx="77">
                  <c:v>0.38300000000000978</c:v>
                </c:pt>
                <c:pt idx="78">
                  <c:v>0.38100000000000023</c:v>
                </c:pt>
                <c:pt idx="79">
                  <c:v>0.34299999999998931</c:v>
                </c:pt>
                <c:pt idx="80">
                  <c:v>0.31800000000001205</c:v>
                </c:pt>
                <c:pt idx="81">
                  <c:v>0.31700000000000728</c:v>
                </c:pt>
                <c:pt idx="82">
                  <c:v>0.31700000000000728</c:v>
                </c:pt>
                <c:pt idx="83">
                  <c:v>0.31700000000000728</c:v>
                </c:pt>
                <c:pt idx="84">
                  <c:v>0.30299999999999727</c:v>
                </c:pt>
                <c:pt idx="85">
                  <c:v>0.27600000000001046</c:v>
                </c:pt>
                <c:pt idx="86">
                  <c:v>0.27600000000001046</c:v>
                </c:pt>
                <c:pt idx="87">
                  <c:v>0.27400000000000091</c:v>
                </c:pt>
                <c:pt idx="88">
                  <c:v>0.27099999999998658</c:v>
                </c:pt>
                <c:pt idx="89">
                  <c:v>0.26099999999999568</c:v>
                </c:pt>
                <c:pt idx="90">
                  <c:v>0.25100000000000477</c:v>
                </c:pt>
                <c:pt idx="91">
                  <c:v>0.25</c:v>
                </c:pt>
                <c:pt idx="92">
                  <c:v>0.25</c:v>
                </c:pt>
                <c:pt idx="93">
                  <c:v>0.24500000000000455</c:v>
                </c:pt>
                <c:pt idx="94">
                  <c:v>0.23500000000001364</c:v>
                </c:pt>
                <c:pt idx="95">
                  <c:v>0.23099999999999454</c:v>
                </c:pt>
                <c:pt idx="96">
                  <c:v>0.22599999999999909</c:v>
                </c:pt>
                <c:pt idx="97">
                  <c:v>0.22300000000001319</c:v>
                </c:pt>
                <c:pt idx="98">
                  <c:v>0.22399999999998954</c:v>
                </c:pt>
                <c:pt idx="99">
                  <c:v>0.22300000000001319</c:v>
                </c:pt>
                <c:pt idx="100">
                  <c:v>0.22200000000000841</c:v>
                </c:pt>
                <c:pt idx="101">
                  <c:v>0.22100000000000364</c:v>
                </c:pt>
                <c:pt idx="102">
                  <c:v>0.22100000000000364</c:v>
                </c:pt>
                <c:pt idx="103">
                  <c:v>0.21899999999999409</c:v>
                </c:pt>
                <c:pt idx="104">
                  <c:v>0.21799999999998931</c:v>
                </c:pt>
                <c:pt idx="105">
                  <c:v>0.21799999999998931</c:v>
                </c:pt>
                <c:pt idx="106">
                  <c:v>0.21799999999998931</c:v>
                </c:pt>
                <c:pt idx="107">
                  <c:v>0.22399999999998954</c:v>
                </c:pt>
                <c:pt idx="108">
                  <c:v>0.22700000000000387</c:v>
                </c:pt>
                <c:pt idx="109">
                  <c:v>0.22900000000001342</c:v>
                </c:pt>
                <c:pt idx="110">
                  <c:v>0.22900000000001342</c:v>
                </c:pt>
                <c:pt idx="111">
                  <c:v>0.22999999999998977</c:v>
                </c:pt>
                <c:pt idx="112">
                  <c:v>0.22900000000001342</c:v>
                </c:pt>
                <c:pt idx="113">
                  <c:v>0.22999999999998977</c:v>
                </c:pt>
                <c:pt idx="114">
                  <c:v>0.23199999999999932</c:v>
                </c:pt>
                <c:pt idx="115">
                  <c:v>0.23599999999999</c:v>
                </c:pt>
                <c:pt idx="116">
                  <c:v>0.22399999999998954</c:v>
                </c:pt>
                <c:pt idx="117">
                  <c:v>0.20400000000000773</c:v>
                </c:pt>
                <c:pt idx="118">
                  <c:v>0.20199999999999818</c:v>
                </c:pt>
                <c:pt idx="119">
                  <c:v>0.19999999999998863</c:v>
                </c:pt>
                <c:pt idx="120">
                  <c:v>0.20099999999999341</c:v>
                </c:pt>
                <c:pt idx="121">
                  <c:v>0.19999999999998863</c:v>
                </c:pt>
                <c:pt idx="122">
                  <c:v>0.19900000000001228</c:v>
                </c:pt>
                <c:pt idx="123">
                  <c:v>0.1980000000000075</c:v>
                </c:pt>
                <c:pt idx="124">
                  <c:v>0.19900000000001228</c:v>
                </c:pt>
                <c:pt idx="125">
                  <c:v>0.19900000000001228</c:v>
                </c:pt>
                <c:pt idx="126">
                  <c:v>0.1980000000000075</c:v>
                </c:pt>
                <c:pt idx="127">
                  <c:v>0.19700000000000273</c:v>
                </c:pt>
                <c:pt idx="128">
                  <c:v>1.0740000000000123</c:v>
                </c:pt>
                <c:pt idx="129">
                  <c:v>2.1949999999999932</c:v>
                </c:pt>
                <c:pt idx="130">
                  <c:v>1.1810000000000116</c:v>
                </c:pt>
                <c:pt idx="131">
                  <c:v>1.1810000000000116</c:v>
                </c:pt>
                <c:pt idx="132">
                  <c:v>1.1730000000000018</c:v>
                </c:pt>
                <c:pt idx="133">
                  <c:v>0.78999999999999204</c:v>
                </c:pt>
                <c:pt idx="134">
                  <c:v>0.56399999999999295</c:v>
                </c:pt>
                <c:pt idx="135">
                  <c:v>0.53399999999999181</c:v>
                </c:pt>
                <c:pt idx="136">
                  <c:v>0.39400000000000546</c:v>
                </c:pt>
                <c:pt idx="137">
                  <c:v>0.33199999999999363</c:v>
                </c:pt>
                <c:pt idx="138">
                  <c:v>0.32900000000000773</c:v>
                </c:pt>
                <c:pt idx="139">
                  <c:v>0.28800000000001091</c:v>
                </c:pt>
                <c:pt idx="140">
                  <c:v>0.22499999999999432</c:v>
                </c:pt>
                <c:pt idx="141">
                  <c:v>0.50399999999999068</c:v>
                </c:pt>
                <c:pt idx="142">
                  <c:v>0.56200000000001182</c:v>
                </c:pt>
                <c:pt idx="143">
                  <c:v>0.39400000000000546</c:v>
                </c:pt>
                <c:pt idx="144">
                  <c:v>0.31200000000001182</c:v>
                </c:pt>
                <c:pt idx="145">
                  <c:v>0.26300000000000523</c:v>
                </c:pt>
                <c:pt idx="146">
                  <c:v>0.24199999999999022</c:v>
                </c:pt>
                <c:pt idx="147">
                  <c:v>0.22399999999998954</c:v>
                </c:pt>
                <c:pt idx="148">
                  <c:v>0.1939999999999884</c:v>
                </c:pt>
                <c:pt idx="149">
                  <c:v>0.18000000000000682</c:v>
                </c:pt>
                <c:pt idx="150">
                  <c:v>0.18000000000000682</c:v>
                </c:pt>
                <c:pt idx="151">
                  <c:v>0.1810000000000116</c:v>
                </c:pt>
                <c:pt idx="152">
                  <c:v>0.1810000000000116</c:v>
                </c:pt>
                <c:pt idx="153">
                  <c:v>0.18000000000000682</c:v>
                </c:pt>
                <c:pt idx="154">
                  <c:v>0.17599999999998772</c:v>
                </c:pt>
                <c:pt idx="155">
                  <c:v>0.17599999999998772</c:v>
                </c:pt>
                <c:pt idx="156">
                  <c:v>0.17300000000000182</c:v>
                </c:pt>
                <c:pt idx="157">
                  <c:v>0.17199999999999704</c:v>
                </c:pt>
                <c:pt idx="158">
                  <c:v>0.17199999999999704</c:v>
                </c:pt>
                <c:pt idx="159">
                  <c:v>0.17199999999999704</c:v>
                </c:pt>
                <c:pt idx="160">
                  <c:v>0.65299999999999159</c:v>
                </c:pt>
                <c:pt idx="161">
                  <c:v>0.68700000000001182</c:v>
                </c:pt>
                <c:pt idx="162">
                  <c:v>0.64500000000001023</c:v>
                </c:pt>
                <c:pt idx="163">
                  <c:v>0.51300000000000523</c:v>
                </c:pt>
                <c:pt idx="164">
                  <c:v>0.29599999999999227</c:v>
                </c:pt>
                <c:pt idx="165">
                  <c:v>0.22599999999999909</c:v>
                </c:pt>
                <c:pt idx="166">
                  <c:v>0.22399999999998954</c:v>
                </c:pt>
                <c:pt idx="167">
                  <c:v>0.42799999999999727</c:v>
                </c:pt>
                <c:pt idx="168">
                  <c:v>0.6279999999999859</c:v>
                </c:pt>
                <c:pt idx="169">
                  <c:v>0.64500000000001023</c:v>
                </c:pt>
                <c:pt idx="170">
                  <c:v>0.70799999999999841</c:v>
                </c:pt>
                <c:pt idx="171">
                  <c:v>0.77899999999999636</c:v>
                </c:pt>
                <c:pt idx="172">
                  <c:v>0.85699999999999932</c:v>
                </c:pt>
                <c:pt idx="173">
                  <c:v>0.88100000000000023</c:v>
                </c:pt>
                <c:pt idx="174">
                  <c:v>0.67900000000000205</c:v>
                </c:pt>
                <c:pt idx="175">
                  <c:v>0.65000000000000568</c:v>
                </c:pt>
                <c:pt idx="176">
                  <c:v>0.65100000000001046</c:v>
                </c:pt>
                <c:pt idx="177">
                  <c:v>0.63100000000000023</c:v>
                </c:pt>
                <c:pt idx="178">
                  <c:v>0.53200000000001069</c:v>
                </c:pt>
                <c:pt idx="179">
                  <c:v>0.68700000000001182</c:v>
                </c:pt>
                <c:pt idx="180">
                  <c:v>0.68299999999999272</c:v>
                </c:pt>
                <c:pt idx="181">
                  <c:v>0.78499999999999659</c:v>
                </c:pt>
                <c:pt idx="182">
                  <c:v>0.90299999999999159</c:v>
                </c:pt>
                <c:pt idx="183">
                  <c:v>0.72700000000000387</c:v>
                </c:pt>
                <c:pt idx="184">
                  <c:v>0.6220000000000141</c:v>
                </c:pt>
                <c:pt idx="185">
                  <c:v>0.8189999999999884</c:v>
                </c:pt>
                <c:pt idx="186">
                  <c:v>0.83099999999998886</c:v>
                </c:pt>
                <c:pt idx="187">
                  <c:v>0.80000000000001137</c:v>
                </c:pt>
                <c:pt idx="188">
                  <c:v>0.75800000000000978</c:v>
                </c:pt>
                <c:pt idx="189">
                  <c:v>1.4130000000000109</c:v>
                </c:pt>
                <c:pt idx="190">
                  <c:v>2.2529999999999859</c:v>
                </c:pt>
                <c:pt idx="191">
                  <c:v>1.6990000000000123</c:v>
                </c:pt>
                <c:pt idx="192">
                  <c:v>1.1260000000000048</c:v>
                </c:pt>
                <c:pt idx="193">
                  <c:v>1.0020000000000095</c:v>
                </c:pt>
                <c:pt idx="194">
                  <c:v>0.90899999999999181</c:v>
                </c:pt>
                <c:pt idx="195">
                  <c:v>0.70199999999999818</c:v>
                </c:pt>
                <c:pt idx="196">
                  <c:v>0.58400000000000318</c:v>
                </c:pt>
                <c:pt idx="197">
                  <c:v>0.45699999999999363</c:v>
                </c:pt>
                <c:pt idx="198">
                  <c:v>0.33400000000000318</c:v>
                </c:pt>
                <c:pt idx="199">
                  <c:v>0.28899999999998727</c:v>
                </c:pt>
                <c:pt idx="200">
                  <c:v>0.29499999999998749</c:v>
                </c:pt>
                <c:pt idx="201">
                  <c:v>0.29099999999999682</c:v>
                </c:pt>
                <c:pt idx="202">
                  <c:v>0.26699999999999591</c:v>
                </c:pt>
                <c:pt idx="203">
                  <c:v>0.25600000000000023</c:v>
                </c:pt>
                <c:pt idx="204">
                  <c:v>0.25100000000000477</c:v>
                </c:pt>
                <c:pt idx="205">
                  <c:v>0.2529999999999859</c:v>
                </c:pt>
                <c:pt idx="206">
                  <c:v>0.5660000000000025</c:v>
                </c:pt>
                <c:pt idx="207">
                  <c:v>0.96000000000000796</c:v>
                </c:pt>
                <c:pt idx="208">
                  <c:v>0.92300000000000182</c:v>
                </c:pt>
                <c:pt idx="209">
                  <c:v>0.90000000000000568</c:v>
                </c:pt>
                <c:pt idx="210">
                  <c:v>0.88100000000000023</c:v>
                </c:pt>
                <c:pt idx="211">
                  <c:v>0.87999999999999545</c:v>
                </c:pt>
                <c:pt idx="212">
                  <c:v>0.73199999999999932</c:v>
                </c:pt>
                <c:pt idx="213">
                  <c:v>0.53700000000000614</c:v>
                </c:pt>
                <c:pt idx="214">
                  <c:v>0.74500000000000455</c:v>
                </c:pt>
                <c:pt idx="215">
                  <c:v>1.1040000000000134</c:v>
                </c:pt>
                <c:pt idx="216">
                  <c:v>0.49600000000000932</c:v>
                </c:pt>
                <c:pt idx="217">
                  <c:v>0.49000000000000909</c:v>
                </c:pt>
                <c:pt idx="218">
                  <c:v>0.49100000000001387</c:v>
                </c:pt>
                <c:pt idx="219">
                  <c:v>0.65999999999999659</c:v>
                </c:pt>
                <c:pt idx="220">
                  <c:v>1.0209999999999866</c:v>
                </c:pt>
                <c:pt idx="221">
                  <c:v>0.99600000000000932</c:v>
                </c:pt>
                <c:pt idx="222">
                  <c:v>0.46399999999999864</c:v>
                </c:pt>
                <c:pt idx="223">
                  <c:v>0.33400000000000318</c:v>
                </c:pt>
                <c:pt idx="224">
                  <c:v>0.26900000000000546</c:v>
                </c:pt>
                <c:pt idx="225">
                  <c:v>0.19300000000001205</c:v>
                </c:pt>
                <c:pt idx="226">
                  <c:v>0.1910000000000025</c:v>
                </c:pt>
                <c:pt idx="227">
                  <c:v>0.18899999999999295</c:v>
                </c:pt>
                <c:pt idx="228">
                  <c:v>0.18700000000001182</c:v>
                </c:pt>
                <c:pt idx="229">
                  <c:v>0.15600000000000591</c:v>
                </c:pt>
                <c:pt idx="230">
                  <c:v>0.13499999999999091</c:v>
                </c:pt>
                <c:pt idx="231">
                  <c:v>0.13399999999998613</c:v>
                </c:pt>
                <c:pt idx="232">
                  <c:v>0.13300000000000978</c:v>
                </c:pt>
                <c:pt idx="233">
                  <c:v>0.132000000000005</c:v>
                </c:pt>
                <c:pt idx="234">
                  <c:v>0.12999999999999545</c:v>
                </c:pt>
                <c:pt idx="235">
                  <c:v>0.1279999999999859</c:v>
                </c:pt>
                <c:pt idx="236">
                  <c:v>0.125</c:v>
                </c:pt>
                <c:pt idx="237">
                  <c:v>0.12399999999999523</c:v>
                </c:pt>
                <c:pt idx="238">
                  <c:v>0.12299999999999045</c:v>
                </c:pt>
                <c:pt idx="239">
                  <c:v>0.1220000000000141</c:v>
                </c:pt>
                <c:pt idx="240">
                  <c:v>0.12100000000000932</c:v>
                </c:pt>
                <c:pt idx="241">
                  <c:v>0.1220000000000141</c:v>
                </c:pt>
                <c:pt idx="242">
                  <c:v>0.12299999999999045</c:v>
                </c:pt>
                <c:pt idx="243">
                  <c:v>0.12399999999999523</c:v>
                </c:pt>
                <c:pt idx="244">
                  <c:v>0.12399999999999523</c:v>
                </c:pt>
                <c:pt idx="245">
                  <c:v>0.12000000000000455</c:v>
                </c:pt>
                <c:pt idx="246">
                  <c:v>0.11699999999999022</c:v>
                </c:pt>
                <c:pt idx="247">
                  <c:v>0.11699999999999022</c:v>
                </c:pt>
                <c:pt idx="248">
                  <c:v>0.11899999999999977</c:v>
                </c:pt>
                <c:pt idx="249">
                  <c:v>0.117999999999995</c:v>
                </c:pt>
                <c:pt idx="250">
                  <c:v>0.11699999999999022</c:v>
                </c:pt>
                <c:pt idx="251">
                  <c:v>0.117999999999995</c:v>
                </c:pt>
                <c:pt idx="252">
                  <c:v>0.11699999999999022</c:v>
                </c:pt>
                <c:pt idx="253">
                  <c:v>0.11600000000001387</c:v>
                </c:pt>
                <c:pt idx="254">
                  <c:v>0.11500000000000909</c:v>
                </c:pt>
                <c:pt idx="255">
                  <c:v>0.11400000000000432</c:v>
                </c:pt>
                <c:pt idx="256">
                  <c:v>0.11299999999999955</c:v>
                </c:pt>
                <c:pt idx="257">
                  <c:v>0.11299999999999955</c:v>
                </c:pt>
                <c:pt idx="258">
                  <c:v>0.11400000000000432</c:v>
                </c:pt>
                <c:pt idx="259">
                  <c:v>0.11400000000000432</c:v>
                </c:pt>
                <c:pt idx="260">
                  <c:v>0.11400000000000432</c:v>
                </c:pt>
                <c:pt idx="261">
                  <c:v>0.11400000000000432</c:v>
                </c:pt>
                <c:pt idx="262">
                  <c:v>0.11299999999999955</c:v>
                </c:pt>
                <c:pt idx="263">
                  <c:v>0.11299999999999955</c:v>
                </c:pt>
                <c:pt idx="264">
                  <c:v>0.11299999999999955</c:v>
                </c:pt>
                <c:pt idx="265">
                  <c:v>0.11299999999999955</c:v>
                </c:pt>
                <c:pt idx="266">
                  <c:v>0.11299999999999955</c:v>
                </c:pt>
                <c:pt idx="267">
                  <c:v>0.11299999999999955</c:v>
                </c:pt>
                <c:pt idx="268">
                  <c:v>0.11299999999999955</c:v>
                </c:pt>
                <c:pt idx="269">
                  <c:v>0.10800000000000409</c:v>
                </c:pt>
                <c:pt idx="270">
                  <c:v>9.8000000000013188E-2</c:v>
                </c:pt>
                <c:pt idx="271">
                  <c:v>9.8999999999989541E-2</c:v>
                </c:pt>
                <c:pt idx="272">
                  <c:v>9.8999999999989541E-2</c:v>
                </c:pt>
                <c:pt idx="273">
                  <c:v>9.8999999999989541E-2</c:v>
                </c:pt>
                <c:pt idx="274">
                  <c:v>9.9999999999994316E-2</c:v>
                </c:pt>
                <c:pt idx="275">
                  <c:v>9.9999999999994316E-2</c:v>
                </c:pt>
                <c:pt idx="276">
                  <c:v>9.8000000000013188E-2</c:v>
                </c:pt>
                <c:pt idx="277">
                  <c:v>9.8000000000013188E-2</c:v>
                </c:pt>
                <c:pt idx="278">
                  <c:v>9.8000000000013188E-2</c:v>
                </c:pt>
                <c:pt idx="279">
                  <c:v>9.8999999999989541E-2</c:v>
                </c:pt>
                <c:pt idx="280">
                  <c:v>9.8999999999989541E-2</c:v>
                </c:pt>
                <c:pt idx="281">
                  <c:v>0.10099999999999909</c:v>
                </c:pt>
                <c:pt idx="282">
                  <c:v>0.10200000000000387</c:v>
                </c:pt>
                <c:pt idx="283">
                  <c:v>0.10200000000000387</c:v>
                </c:pt>
                <c:pt idx="284">
                  <c:v>9.9999999999994316E-2</c:v>
                </c:pt>
                <c:pt idx="285">
                  <c:v>0.10300000000000864</c:v>
                </c:pt>
                <c:pt idx="286">
                  <c:v>0.10300000000000864</c:v>
                </c:pt>
                <c:pt idx="287">
                  <c:v>0.10300000000000864</c:v>
                </c:pt>
                <c:pt idx="288">
                  <c:v>0.10300000000000864</c:v>
                </c:pt>
                <c:pt idx="289">
                  <c:v>0.10499999999998977</c:v>
                </c:pt>
                <c:pt idx="290">
                  <c:v>0.1279999999999859</c:v>
                </c:pt>
                <c:pt idx="291">
                  <c:v>0.17599999999998772</c:v>
                </c:pt>
                <c:pt idx="292">
                  <c:v>0.17300000000000182</c:v>
                </c:pt>
                <c:pt idx="293">
                  <c:v>0.17199999999999704</c:v>
                </c:pt>
                <c:pt idx="294">
                  <c:v>0.17099999999999227</c:v>
                </c:pt>
                <c:pt idx="295">
                  <c:v>0.16999999999998749</c:v>
                </c:pt>
                <c:pt idx="296">
                  <c:v>0.15899999999999181</c:v>
                </c:pt>
                <c:pt idx="297">
                  <c:v>0.12700000000000955</c:v>
                </c:pt>
                <c:pt idx="298">
                  <c:v>0.14099999999999113</c:v>
                </c:pt>
                <c:pt idx="299">
                  <c:v>0.16599999999999682</c:v>
                </c:pt>
                <c:pt idx="300">
                  <c:v>0.20300000000000296</c:v>
                </c:pt>
                <c:pt idx="301">
                  <c:v>0.22200000000000841</c:v>
                </c:pt>
                <c:pt idx="302">
                  <c:v>0.21600000000000819</c:v>
                </c:pt>
                <c:pt idx="303">
                  <c:v>0.20799999999999841</c:v>
                </c:pt>
                <c:pt idx="304">
                  <c:v>0.20500000000001251</c:v>
                </c:pt>
                <c:pt idx="305">
                  <c:v>0.19300000000001205</c:v>
                </c:pt>
                <c:pt idx="306">
                  <c:v>0.18899999999999295</c:v>
                </c:pt>
                <c:pt idx="307">
                  <c:v>0.17199999999999704</c:v>
                </c:pt>
                <c:pt idx="308">
                  <c:v>0.14900000000000091</c:v>
                </c:pt>
                <c:pt idx="309">
                  <c:v>0.14500000000001023</c:v>
                </c:pt>
                <c:pt idx="310">
                  <c:v>0.14400000000000546</c:v>
                </c:pt>
                <c:pt idx="311">
                  <c:v>0.14300000000000068</c:v>
                </c:pt>
                <c:pt idx="312">
                  <c:v>0.14300000000000068</c:v>
                </c:pt>
                <c:pt idx="313">
                  <c:v>0.14599999999998658</c:v>
                </c:pt>
                <c:pt idx="314">
                  <c:v>0.14699999999999136</c:v>
                </c:pt>
                <c:pt idx="315">
                  <c:v>0.15000000000000568</c:v>
                </c:pt>
                <c:pt idx="316">
                  <c:v>0.15399999999999636</c:v>
                </c:pt>
                <c:pt idx="317">
                  <c:v>0.15799999999998704</c:v>
                </c:pt>
                <c:pt idx="318">
                  <c:v>0.16100000000000136</c:v>
                </c:pt>
                <c:pt idx="319">
                  <c:v>0.16300000000001091</c:v>
                </c:pt>
                <c:pt idx="320">
                  <c:v>0.16599999999999682</c:v>
                </c:pt>
                <c:pt idx="321">
                  <c:v>0.16700000000000159</c:v>
                </c:pt>
                <c:pt idx="322">
                  <c:v>0.16800000000000637</c:v>
                </c:pt>
                <c:pt idx="323">
                  <c:v>0.16900000000001114</c:v>
                </c:pt>
                <c:pt idx="324">
                  <c:v>0.17099999999999227</c:v>
                </c:pt>
                <c:pt idx="325">
                  <c:v>0.17199999999999704</c:v>
                </c:pt>
                <c:pt idx="326">
                  <c:v>0.17500000000001137</c:v>
                </c:pt>
                <c:pt idx="327">
                  <c:v>0.17599999999998772</c:v>
                </c:pt>
                <c:pt idx="328">
                  <c:v>0.17900000000000205</c:v>
                </c:pt>
                <c:pt idx="329">
                  <c:v>0.22300000000001319</c:v>
                </c:pt>
                <c:pt idx="330">
                  <c:v>0.28200000000001069</c:v>
                </c:pt>
                <c:pt idx="331">
                  <c:v>0.23599999999999</c:v>
                </c:pt>
                <c:pt idx="332">
                  <c:v>0.21000000000000796</c:v>
                </c:pt>
                <c:pt idx="333">
                  <c:v>0.21199999999998909</c:v>
                </c:pt>
                <c:pt idx="334">
                  <c:v>0.21700000000001296</c:v>
                </c:pt>
                <c:pt idx="335">
                  <c:v>0.21999999999999886</c:v>
                </c:pt>
                <c:pt idx="336">
                  <c:v>0.22100000000000364</c:v>
                </c:pt>
                <c:pt idx="337">
                  <c:v>0.31000000000000227</c:v>
                </c:pt>
                <c:pt idx="338">
                  <c:v>0.40899999999999181</c:v>
                </c:pt>
                <c:pt idx="339">
                  <c:v>0.44900000000001228</c:v>
                </c:pt>
                <c:pt idx="340">
                  <c:v>0.4480000000000075</c:v>
                </c:pt>
                <c:pt idx="341">
                  <c:v>0.44700000000000273</c:v>
                </c:pt>
                <c:pt idx="342">
                  <c:v>0.44700000000000273</c:v>
                </c:pt>
                <c:pt idx="343">
                  <c:v>0.42199999999999704</c:v>
                </c:pt>
                <c:pt idx="344">
                  <c:v>0.39199999999999591</c:v>
                </c:pt>
                <c:pt idx="345">
                  <c:v>0.34299999999998931</c:v>
                </c:pt>
                <c:pt idx="346">
                  <c:v>0.30799999999999272</c:v>
                </c:pt>
                <c:pt idx="347">
                  <c:v>0.29800000000000182</c:v>
                </c:pt>
                <c:pt idx="348">
                  <c:v>0.29699999999999704</c:v>
                </c:pt>
                <c:pt idx="349">
                  <c:v>0.29400000000001114</c:v>
                </c:pt>
                <c:pt idx="350">
                  <c:v>0.32800000000000296</c:v>
                </c:pt>
                <c:pt idx="351">
                  <c:v>0.33799999999999386</c:v>
                </c:pt>
                <c:pt idx="352">
                  <c:v>0.34200000000001296</c:v>
                </c:pt>
                <c:pt idx="353">
                  <c:v>0.34200000000001296</c:v>
                </c:pt>
                <c:pt idx="354">
                  <c:v>0.33600000000001273</c:v>
                </c:pt>
                <c:pt idx="355">
                  <c:v>0.24000000000000909</c:v>
                </c:pt>
                <c:pt idx="356">
                  <c:v>0.23300000000000409</c:v>
                </c:pt>
                <c:pt idx="357">
                  <c:v>0.23400000000000887</c:v>
                </c:pt>
                <c:pt idx="358">
                  <c:v>0.60599999999999454</c:v>
                </c:pt>
                <c:pt idx="359">
                  <c:v>1.9230000000000018</c:v>
                </c:pt>
                <c:pt idx="360">
                  <c:v>2.0349999999999966</c:v>
                </c:pt>
                <c:pt idx="361">
                  <c:v>1.9399999999999977</c:v>
                </c:pt>
                <c:pt idx="362">
                  <c:v>1.6709999999999923</c:v>
                </c:pt>
                <c:pt idx="363">
                  <c:v>1.7210000000000036</c:v>
                </c:pt>
                <c:pt idx="364">
                  <c:v>1.7160000000000082</c:v>
                </c:pt>
                <c:pt idx="365">
                  <c:v>1.6090000000000089</c:v>
                </c:pt>
              </c:numCache>
            </c:numRef>
          </c:val>
          <c:smooth val="0"/>
          <c:extLst xmlns:c16r2="http://schemas.microsoft.com/office/drawing/2015/06/chart">
            <c:ext xmlns:c16="http://schemas.microsoft.com/office/drawing/2014/chart" uri="{C3380CC4-5D6E-409C-BE32-E72D297353CC}">
              <c16:uniqueId val="{00000002-72EE-4BCE-B5A7-8769204907E2}"/>
            </c:ext>
          </c:extLst>
        </c:ser>
        <c:ser>
          <c:idx val="3"/>
          <c:order val="2"/>
          <c:tx>
            <c:strRef>
              <c:f>'[Chart in Microsoft Word]flows'!$K$1</c:f>
              <c:strCache>
                <c:ptCount val="1"/>
                <c:pt idx="0">
                  <c:v>418066 - Gwydir @ Millewa</c:v>
                </c:pt>
              </c:strCache>
            </c:strRef>
          </c:tx>
          <c:spPr>
            <a:ln w="28575" cap="rnd">
              <a:solidFill>
                <a:schemeClr val="tx2">
                  <a:lumMod val="60000"/>
                  <a:lumOff val="40000"/>
                </a:schemeClr>
              </a:solidFill>
              <a:round/>
            </a:ln>
            <a:effectLst/>
          </c:spPr>
          <c:marker>
            <c:symbol val="none"/>
          </c:marker>
          <c:cat>
            <c:numRef>
              <c:f>'[Chart in Microsoft Word]flows'!$A$5:$A$370</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'[Chart in Microsoft Word]flows'!$K$5:$K$370</c:f>
              <c:numCache>
                <c:formatCode>General</c:formatCode>
                <c:ptCount val="366"/>
                <c:pt idx="0">
                  <c:v>1.4510000000000001</c:v>
                </c:pt>
                <c:pt idx="1">
                  <c:v>1.3720000000000001</c:v>
                </c:pt>
                <c:pt idx="2">
                  <c:v>1.27</c:v>
                </c:pt>
                <c:pt idx="3">
                  <c:v>1.238</c:v>
                </c:pt>
                <c:pt idx="4">
                  <c:v>1.1910000000000001</c:v>
                </c:pt>
                <c:pt idx="5">
                  <c:v>1.161</c:v>
                </c:pt>
                <c:pt idx="6">
                  <c:v>1.0840000000000001</c:v>
                </c:pt>
                <c:pt idx="7">
                  <c:v>1.038</c:v>
                </c:pt>
                <c:pt idx="8">
                  <c:v>1.0329999999999999</c:v>
                </c:pt>
                <c:pt idx="9">
                  <c:v>1.032</c:v>
                </c:pt>
                <c:pt idx="10">
                  <c:v>1.0389999999999999</c:v>
                </c:pt>
                <c:pt idx="11">
                  <c:v>1.0349999999999999</c:v>
                </c:pt>
                <c:pt idx="12">
                  <c:v>1.03</c:v>
                </c:pt>
                <c:pt idx="13">
                  <c:v>1.026</c:v>
                </c:pt>
                <c:pt idx="14">
                  <c:v>1.0189999999999999</c:v>
                </c:pt>
                <c:pt idx="15">
                  <c:v>1.018</c:v>
                </c:pt>
                <c:pt idx="16">
                  <c:v>1.0169999999999999</c:v>
                </c:pt>
                <c:pt idx="17">
                  <c:v>1.0149999999999999</c:v>
                </c:pt>
                <c:pt idx="18">
                  <c:v>1.0169999999999999</c:v>
                </c:pt>
                <c:pt idx="19">
                  <c:v>1.0189999999999999</c:v>
                </c:pt>
                <c:pt idx="20">
                  <c:v>1.234</c:v>
                </c:pt>
                <c:pt idx="21">
                  <c:v>1.581</c:v>
                </c:pt>
                <c:pt idx="22">
                  <c:v>1.0780000000000001</c:v>
                </c:pt>
                <c:pt idx="23">
                  <c:v>0.90500000000000003</c:v>
                </c:pt>
                <c:pt idx="24">
                  <c:v>0.77700000000000002</c:v>
                </c:pt>
                <c:pt idx="25">
                  <c:v>1.0860000000000001</c:v>
                </c:pt>
                <c:pt idx="26">
                  <c:v>1.958</c:v>
                </c:pt>
                <c:pt idx="27">
                  <c:v>1.6910000000000001</c:v>
                </c:pt>
                <c:pt idx="28">
                  <c:v>2.1190000000000002</c:v>
                </c:pt>
                <c:pt idx="29">
                  <c:v>2.17</c:v>
                </c:pt>
                <c:pt idx="30">
                  <c:v>2.06</c:v>
                </c:pt>
                <c:pt idx="31">
                  <c:v>2.0009999999999999</c:v>
                </c:pt>
                <c:pt idx="32">
                  <c:v>1.974</c:v>
                </c:pt>
                <c:pt idx="33">
                  <c:v>1.8680000000000001</c:v>
                </c:pt>
                <c:pt idx="34">
                  <c:v>1.7030000000000001</c:v>
                </c:pt>
                <c:pt idx="35">
                  <c:v>1.49</c:v>
                </c:pt>
                <c:pt idx="36">
                  <c:v>1.306</c:v>
                </c:pt>
                <c:pt idx="37">
                  <c:v>1.2509999999999999</c:v>
                </c:pt>
                <c:pt idx="38">
                  <c:v>1.165</c:v>
                </c:pt>
                <c:pt idx="39">
                  <c:v>1.077</c:v>
                </c:pt>
                <c:pt idx="40">
                  <c:v>1.048</c:v>
                </c:pt>
                <c:pt idx="41">
                  <c:v>1.042</c:v>
                </c:pt>
                <c:pt idx="42">
                  <c:v>1.0349999999999999</c:v>
                </c:pt>
                <c:pt idx="43">
                  <c:v>1.028</c:v>
                </c:pt>
                <c:pt idx="44">
                  <c:v>1.026</c:v>
                </c:pt>
                <c:pt idx="45">
                  <c:v>1.0289999999999999</c:v>
                </c:pt>
                <c:pt idx="46">
                  <c:v>1.0309999999999999</c:v>
                </c:pt>
                <c:pt idx="47">
                  <c:v>1.0329999999999999</c:v>
                </c:pt>
                <c:pt idx="48">
                  <c:v>1.028</c:v>
                </c:pt>
                <c:pt idx="49">
                  <c:v>0.99199999999999999</c:v>
                </c:pt>
                <c:pt idx="50">
                  <c:v>0.96</c:v>
                </c:pt>
                <c:pt idx="51">
                  <c:v>0.95299999999999996</c:v>
                </c:pt>
                <c:pt idx="52">
                  <c:v>0.94599999999999995</c:v>
                </c:pt>
                <c:pt idx="53">
                  <c:v>0.9</c:v>
                </c:pt>
                <c:pt idx="54">
                  <c:v>0.85299999999999998</c:v>
                </c:pt>
                <c:pt idx="55">
                  <c:v>0.83599999999999997</c:v>
                </c:pt>
                <c:pt idx="56">
                  <c:v>0.85099999999999998</c:v>
                </c:pt>
                <c:pt idx="57">
                  <c:v>1.214</c:v>
                </c:pt>
                <c:pt idx="58">
                  <c:v>1.034</c:v>
                </c:pt>
                <c:pt idx="59">
                  <c:v>2.1459999999999999</c:v>
                </c:pt>
                <c:pt idx="60">
                  <c:v>2.2010000000000001</c:v>
                </c:pt>
                <c:pt idx="61">
                  <c:v>2.19</c:v>
                </c:pt>
                <c:pt idx="62">
                  <c:v>2.153</c:v>
                </c:pt>
                <c:pt idx="63">
                  <c:v>2.06</c:v>
                </c:pt>
                <c:pt idx="64">
                  <c:v>1.8939999999999999</c:v>
                </c:pt>
                <c:pt idx="65">
                  <c:v>1.833</c:v>
                </c:pt>
                <c:pt idx="66">
                  <c:v>1.6970000000000001</c:v>
                </c:pt>
                <c:pt idx="67">
                  <c:v>1.6819999999999999</c:v>
                </c:pt>
                <c:pt idx="68">
                  <c:v>1.681</c:v>
                </c:pt>
                <c:pt idx="69">
                  <c:v>1.6679999999999999</c:v>
                </c:pt>
                <c:pt idx="70">
                  <c:v>1.5649999999999999</c:v>
                </c:pt>
                <c:pt idx="71">
                  <c:v>1.508</c:v>
                </c:pt>
                <c:pt idx="72">
                  <c:v>1.5069999999999999</c:v>
                </c:pt>
                <c:pt idx="73">
                  <c:v>1.4990000000000001</c:v>
                </c:pt>
                <c:pt idx="74">
                  <c:v>1.399</c:v>
                </c:pt>
                <c:pt idx="75">
                  <c:v>1.246</c:v>
                </c:pt>
                <c:pt idx="76">
                  <c:v>1.2729999999999999</c:v>
                </c:pt>
                <c:pt idx="77">
                  <c:v>1.153</c:v>
                </c:pt>
                <c:pt idx="78">
                  <c:v>1.095</c:v>
                </c:pt>
                <c:pt idx="79">
                  <c:v>1.089</c:v>
                </c:pt>
                <c:pt idx="80">
                  <c:v>1.083</c:v>
                </c:pt>
                <c:pt idx="81">
                  <c:v>1.012</c:v>
                </c:pt>
                <c:pt idx="82">
                  <c:v>0.95199999999999996</c:v>
                </c:pt>
                <c:pt idx="83">
                  <c:v>0.94599999999999995</c:v>
                </c:pt>
                <c:pt idx="84">
                  <c:v>0.93600000000000005</c:v>
                </c:pt>
                <c:pt idx="85">
                  <c:v>0.93300000000000005</c:v>
                </c:pt>
                <c:pt idx="86">
                  <c:v>0.91800000000000004</c:v>
                </c:pt>
                <c:pt idx="87">
                  <c:v>0.84499999999999997</c:v>
                </c:pt>
                <c:pt idx="88">
                  <c:v>0.83199999999999996</c:v>
                </c:pt>
                <c:pt idx="89">
                  <c:v>0.82899999999999996</c:v>
                </c:pt>
                <c:pt idx="90">
                  <c:v>0.82199999999999995</c:v>
                </c:pt>
                <c:pt idx="91">
                  <c:v>0.80800000000000005</c:v>
                </c:pt>
                <c:pt idx="92">
                  <c:v>0.77600000000000002</c:v>
                </c:pt>
                <c:pt idx="93">
                  <c:v>0.75800000000000001</c:v>
                </c:pt>
                <c:pt idx="94">
                  <c:v>0.754</c:v>
                </c:pt>
                <c:pt idx="95">
                  <c:v>0.749</c:v>
                </c:pt>
                <c:pt idx="96">
                  <c:v>0.73099999999999998</c:v>
                </c:pt>
                <c:pt idx="97">
                  <c:v>0.70799999999999996</c:v>
                </c:pt>
                <c:pt idx="98">
                  <c:v>0.69199999999999995</c:v>
                </c:pt>
                <c:pt idx="99">
                  <c:v>0.67600000000000005</c:v>
                </c:pt>
                <c:pt idx="100">
                  <c:v>0.66700000000000004</c:v>
                </c:pt>
                <c:pt idx="101">
                  <c:v>0.66300000000000003</c:v>
                </c:pt>
                <c:pt idx="102">
                  <c:v>0.66200000000000003</c:v>
                </c:pt>
                <c:pt idx="103">
                  <c:v>0.65900000000000003</c:v>
                </c:pt>
                <c:pt idx="104">
                  <c:v>0.65500000000000003</c:v>
                </c:pt>
                <c:pt idx="105">
                  <c:v>0.64900000000000002</c:v>
                </c:pt>
                <c:pt idx="106">
                  <c:v>0.65</c:v>
                </c:pt>
                <c:pt idx="107">
                  <c:v>0.64700000000000002</c:v>
                </c:pt>
                <c:pt idx="108">
                  <c:v>0.64300000000000002</c:v>
                </c:pt>
                <c:pt idx="109">
                  <c:v>0.63500000000000001</c:v>
                </c:pt>
                <c:pt idx="110">
                  <c:v>0.629</c:v>
                </c:pt>
                <c:pt idx="111">
                  <c:v>0.63800000000000001</c:v>
                </c:pt>
                <c:pt idx="112">
                  <c:v>0.64</c:v>
                </c:pt>
                <c:pt idx="113">
                  <c:v>0.64200000000000002</c:v>
                </c:pt>
                <c:pt idx="114">
                  <c:v>0.64400000000000002</c:v>
                </c:pt>
                <c:pt idx="115">
                  <c:v>0.64</c:v>
                </c:pt>
                <c:pt idx="116">
                  <c:v>0.63500000000000001</c:v>
                </c:pt>
                <c:pt idx="117">
                  <c:v>0.63700000000000001</c:v>
                </c:pt>
                <c:pt idx="118">
                  <c:v>0.64300000000000002</c:v>
                </c:pt>
                <c:pt idx="119">
                  <c:v>0.63600000000000001</c:v>
                </c:pt>
                <c:pt idx="120">
                  <c:v>0.64800000000000002</c:v>
                </c:pt>
                <c:pt idx="121">
                  <c:v>0.65300000000000002</c:v>
                </c:pt>
                <c:pt idx="122">
                  <c:v>0.64600000000000002</c:v>
                </c:pt>
                <c:pt idx="123">
                  <c:v>0.63100000000000001</c:v>
                </c:pt>
                <c:pt idx="124">
                  <c:v>0.61699999999999999</c:v>
                </c:pt>
                <c:pt idx="125">
                  <c:v>0.60799999999999998</c:v>
                </c:pt>
                <c:pt idx="126">
                  <c:v>0.60299999999999998</c:v>
                </c:pt>
                <c:pt idx="127">
                  <c:v>0.60799999999999998</c:v>
                </c:pt>
                <c:pt idx="128">
                  <c:v>0.624</c:v>
                </c:pt>
                <c:pt idx="129">
                  <c:v>0.78300000000000003</c:v>
                </c:pt>
                <c:pt idx="130">
                  <c:v>2.161</c:v>
                </c:pt>
                <c:pt idx="131">
                  <c:v>2.028</c:v>
                </c:pt>
                <c:pt idx="132">
                  <c:v>1.8129999999999999</c:v>
                </c:pt>
                <c:pt idx="133">
                  <c:v>1.8580000000000001</c:v>
                </c:pt>
                <c:pt idx="134">
                  <c:v>1.9339999999999999</c:v>
                </c:pt>
                <c:pt idx="135">
                  <c:v>1.4890000000000001</c:v>
                </c:pt>
                <c:pt idx="136">
                  <c:v>1.4259999999999999</c:v>
                </c:pt>
                <c:pt idx="137">
                  <c:v>1.341</c:v>
                </c:pt>
                <c:pt idx="138">
                  <c:v>1.109</c:v>
                </c:pt>
                <c:pt idx="139">
                  <c:v>0.999</c:v>
                </c:pt>
                <c:pt idx="140">
                  <c:v>0.98599999999999999</c:v>
                </c:pt>
                <c:pt idx="141">
                  <c:v>0.93899999999999995</c:v>
                </c:pt>
                <c:pt idx="142">
                  <c:v>0.77100000000000002</c:v>
                </c:pt>
                <c:pt idx="143">
                  <c:v>1.2869999999999999</c:v>
                </c:pt>
                <c:pt idx="144">
                  <c:v>1.2949999999999999</c:v>
                </c:pt>
                <c:pt idx="145">
                  <c:v>1.0880000000000001</c:v>
                </c:pt>
                <c:pt idx="146">
                  <c:v>0.95199999999999996</c:v>
                </c:pt>
                <c:pt idx="147">
                  <c:v>0.85299999999999998</c:v>
                </c:pt>
                <c:pt idx="148">
                  <c:v>0.755</c:v>
                </c:pt>
                <c:pt idx="149">
                  <c:v>0.71699999999999997</c:v>
                </c:pt>
                <c:pt idx="150">
                  <c:v>0.67900000000000005</c:v>
                </c:pt>
                <c:pt idx="151">
                  <c:v>0.63400000000000001</c:v>
                </c:pt>
                <c:pt idx="152">
                  <c:v>0.59899999999999998</c:v>
                </c:pt>
                <c:pt idx="153">
                  <c:v>0.57399999999999995</c:v>
                </c:pt>
                <c:pt idx="154">
                  <c:v>0.56100000000000005</c:v>
                </c:pt>
                <c:pt idx="155">
                  <c:v>0.55300000000000005</c:v>
                </c:pt>
                <c:pt idx="156">
                  <c:v>0.54</c:v>
                </c:pt>
                <c:pt idx="157">
                  <c:v>0.53500000000000003</c:v>
                </c:pt>
                <c:pt idx="158">
                  <c:v>0.53100000000000003</c:v>
                </c:pt>
                <c:pt idx="159">
                  <c:v>0.52700000000000002</c:v>
                </c:pt>
                <c:pt idx="160">
                  <c:v>0.52200000000000002</c:v>
                </c:pt>
                <c:pt idx="161">
                  <c:v>0.51900000000000002</c:v>
                </c:pt>
                <c:pt idx="162">
                  <c:v>0.68400000000000005</c:v>
                </c:pt>
                <c:pt idx="163">
                  <c:v>0.86699999999999999</c:v>
                </c:pt>
                <c:pt idx="164">
                  <c:v>0.89200000000000002</c:v>
                </c:pt>
                <c:pt idx="165">
                  <c:v>1.2</c:v>
                </c:pt>
                <c:pt idx="166">
                  <c:v>1.0009999999999999</c:v>
                </c:pt>
                <c:pt idx="167">
                  <c:v>0.77800000000000002</c:v>
                </c:pt>
                <c:pt idx="168">
                  <c:v>0.69199999999999995</c:v>
                </c:pt>
                <c:pt idx="169">
                  <c:v>0.71099999999999997</c:v>
                </c:pt>
                <c:pt idx="170">
                  <c:v>0.75</c:v>
                </c:pt>
                <c:pt idx="171">
                  <c:v>0.70399999999999996</c:v>
                </c:pt>
                <c:pt idx="172">
                  <c:v>0.70699999999999996</c:v>
                </c:pt>
                <c:pt idx="173">
                  <c:v>0.82099999999999995</c:v>
                </c:pt>
                <c:pt idx="174">
                  <c:v>0.68100000000000005</c:v>
                </c:pt>
                <c:pt idx="175">
                  <c:v>0.66300000000000003</c:v>
                </c:pt>
                <c:pt idx="176">
                  <c:v>0.69199999999999995</c:v>
                </c:pt>
                <c:pt idx="177">
                  <c:v>0.81399999999999995</c:v>
                </c:pt>
                <c:pt idx="178">
                  <c:v>0.71599999999999997</c:v>
                </c:pt>
                <c:pt idx="179">
                  <c:v>0.628</c:v>
                </c:pt>
                <c:pt idx="180">
                  <c:v>0.57899999999999996</c:v>
                </c:pt>
                <c:pt idx="181">
                  <c:v>0.54900000000000004</c:v>
                </c:pt>
                <c:pt idx="182">
                  <c:v>0.53500000000000003</c:v>
                </c:pt>
                <c:pt idx="183">
                  <c:v>0.54</c:v>
                </c:pt>
                <c:pt idx="184">
                  <c:v>1.036</c:v>
                </c:pt>
                <c:pt idx="185">
                  <c:v>0.92</c:v>
                </c:pt>
                <c:pt idx="186">
                  <c:v>0.75</c:v>
                </c:pt>
                <c:pt idx="187">
                  <c:v>0.98399999999999999</c:v>
                </c:pt>
                <c:pt idx="188">
                  <c:v>0.86499999999999999</c:v>
                </c:pt>
                <c:pt idx="189">
                  <c:v>0.85199999999999998</c:v>
                </c:pt>
                <c:pt idx="190">
                  <c:v>1.1339999999999999</c:v>
                </c:pt>
                <c:pt idx="191">
                  <c:v>0.60599999999999998</c:v>
                </c:pt>
                <c:pt idx="192">
                  <c:v>0.68600000000000005</c:v>
                </c:pt>
                <c:pt idx="193">
                  <c:v>1.454</c:v>
                </c:pt>
                <c:pt idx="194">
                  <c:v>1.7170000000000001</c:v>
                </c:pt>
                <c:pt idx="195">
                  <c:v>1.768</c:v>
                </c:pt>
                <c:pt idx="196">
                  <c:v>1.714</c:v>
                </c:pt>
                <c:pt idx="197">
                  <c:v>1.4930000000000001</c:v>
                </c:pt>
                <c:pt idx="198">
                  <c:v>1.349</c:v>
                </c:pt>
                <c:pt idx="199">
                  <c:v>1.163</c:v>
                </c:pt>
                <c:pt idx="200">
                  <c:v>1.0009999999999999</c:v>
                </c:pt>
                <c:pt idx="201">
                  <c:v>0.85899999999999999</c:v>
                </c:pt>
                <c:pt idx="202">
                  <c:v>0.83799999999999997</c:v>
                </c:pt>
                <c:pt idx="203">
                  <c:v>0.84099999999999997</c:v>
                </c:pt>
                <c:pt idx="204">
                  <c:v>0.80700000000000005</c:v>
                </c:pt>
                <c:pt idx="205">
                  <c:v>0.76200000000000001</c:v>
                </c:pt>
                <c:pt idx="206">
                  <c:v>0.74099999999999999</c:v>
                </c:pt>
                <c:pt idx="207">
                  <c:v>0.71599999999999997</c:v>
                </c:pt>
                <c:pt idx="208">
                  <c:v>0.68300000000000005</c:v>
                </c:pt>
                <c:pt idx="209">
                  <c:v>0.64200000000000002</c:v>
                </c:pt>
                <c:pt idx="210">
                  <c:v>0.63200000000000001</c:v>
                </c:pt>
                <c:pt idx="211">
                  <c:v>0.70199999999999996</c:v>
                </c:pt>
                <c:pt idx="212">
                  <c:v>0.73299999999999998</c:v>
                </c:pt>
                <c:pt idx="213">
                  <c:v>0.69</c:v>
                </c:pt>
                <c:pt idx="214">
                  <c:v>0.61499999999999999</c:v>
                </c:pt>
                <c:pt idx="215">
                  <c:v>0.56000000000000005</c:v>
                </c:pt>
                <c:pt idx="216">
                  <c:v>0.83899999999999997</c:v>
                </c:pt>
                <c:pt idx="217">
                  <c:v>1.472</c:v>
                </c:pt>
                <c:pt idx="218">
                  <c:v>1.36</c:v>
                </c:pt>
                <c:pt idx="219">
                  <c:v>1.2569999999999999</c:v>
                </c:pt>
                <c:pt idx="220">
                  <c:v>1.2410000000000001</c:v>
                </c:pt>
                <c:pt idx="221">
                  <c:v>1.75</c:v>
                </c:pt>
                <c:pt idx="222">
                  <c:v>1.9039999999999999</c:v>
                </c:pt>
                <c:pt idx="223">
                  <c:v>1.6990000000000001</c:v>
                </c:pt>
                <c:pt idx="224">
                  <c:v>1.1619999999999999</c:v>
                </c:pt>
                <c:pt idx="225">
                  <c:v>0.97099999999999997</c:v>
                </c:pt>
                <c:pt idx="226">
                  <c:v>0.91200000000000003</c:v>
                </c:pt>
                <c:pt idx="227">
                  <c:v>0.74199999999999999</c:v>
                </c:pt>
                <c:pt idx="228">
                  <c:v>0.64500000000000002</c:v>
                </c:pt>
                <c:pt idx="229">
                  <c:v>0.59799999999999998</c:v>
                </c:pt>
                <c:pt idx="230">
                  <c:v>0.57899999999999996</c:v>
                </c:pt>
                <c:pt idx="231">
                  <c:v>0.55600000000000005</c:v>
                </c:pt>
                <c:pt idx="232">
                  <c:v>0.54400000000000004</c:v>
                </c:pt>
                <c:pt idx="233">
                  <c:v>0.53700000000000003</c:v>
                </c:pt>
                <c:pt idx="234">
                  <c:v>0.52800000000000002</c:v>
                </c:pt>
                <c:pt idx="235">
                  <c:v>0.51800000000000002</c:v>
                </c:pt>
                <c:pt idx="236">
                  <c:v>0.505</c:v>
                </c:pt>
                <c:pt idx="237">
                  <c:v>0.48899999999999999</c:v>
                </c:pt>
                <c:pt idx="238">
                  <c:v>0.46600000000000003</c:v>
                </c:pt>
                <c:pt idx="239">
                  <c:v>0.46300000000000002</c:v>
                </c:pt>
                <c:pt idx="240">
                  <c:v>0.46300000000000002</c:v>
                </c:pt>
                <c:pt idx="241">
                  <c:v>0.46300000000000002</c:v>
                </c:pt>
                <c:pt idx="242">
                  <c:v>0.46300000000000002</c:v>
                </c:pt>
                <c:pt idx="243">
                  <c:v>0.46300000000000002</c:v>
                </c:pt>
                <c:pt idx="244">
                  <c:v>0.46300000000000002</c:v>
                </c:pt>
                <c:pt idx="245">
                  <c:v>0.46300000000000002</c:v>
                </c:pt>
                <c:pt idx="246">
                  <c:v>0.46300000000000002</c:v>
                </c:pt>
                <c:pt idx="247">
                  <c:v>0.46300000000000002</c:v>
                </c:pt>
                <c:pt idx="248">
                  <c:v>0.46300000000000002</c:v>
                </c:pt>
                <c:pt idx="249">
                  <c:v>0.46300000000000002</c:v>
                </c:pt>
                <c:pt idx="250">
                  <c:v>0.46300000000000002</c:v>
                </c:pt>
                <c:pt idx="251">
                  <c:v>0.46300000000000002</c:v>
                </c:pt>
                <c:pt idx="252">
                  <c:v>0.46300000000000002</c:v>
                </c:pt>
                <c:pt idx="253">
                  <c:v>0.46300000000000002</c:v>
                </c:pt>
                <c:pt idx="254">
                  <c:v>0.46300000000000002</c:v>
                </c:pt>
                <c:pt idx="255">
                  <c:v>0.46300000000000002</c:v>
                </c:pt>
                <c:pt idx="256">
                  <c:v>0.46300000000000002</c:v>
                </c:pt>
                <c:pt idx="257">
                  <c:v>0.46300000000000002</c:v>
                </c:pt>
                <c:pt idx="258">
                  <c:v>0.46300000000000002</c:v>
                </c:pt>
                <c:pt idx="259">
                  <c:v>0.46300000000000002</c:v>
                </c:pt>
                <c:pt idx="260">
                  <c:v>0.46300000000000002</c:v>
                </c:pt>
                <c:pt idx="261">
                  <c:v>0.46300000000000002</c:v>
                </c:pt>
                <c:pt idx="262">
                  <c:v>0.46300000000000002</c:v>
                </c:pt>
                <c:pt idx="263">
                  <c:v>0.46300000000000002</c:v>
                </c:pt>
                <c:pt idx="264">
                  <c:v>0.46300000000000002</c:v>
                </c:pt>
                <c:pt idx="265">
                  <c:v>0.46300000000000002</c:v>
                </c:pt>
                <c:pt idx="266">
                  <c:v>0.46300000000000002</c:v>
                </c:pt>
                <c:pt idx="267">
                  <c:v>0.46300000000000002</c:v>
                </c:pt>
                <c:pt idx="268">
                  <c:v>0.46300000000000002</c:v>
                </c:pt>
                <c:pt idx="269">
                  <c:v>0.46300000000000002</c:v>
                </c:pt>
                <c:pt idx="270">
                  <c:v>0.46300000000000002</c:v>
                </c:pt>
                <c:pt idx="271">
                  <c:v>0.46300000000000002</c:v>
                </c:pt>
                <c:pt idx="272">
                  <c:v>0.46300000000000002</c:v>
                </c:pt>
                <c:pt idx="273">
                  <c:v>0.46300000000000002</c:v>
                </c:pt>
                <c:pt idx="274">
                  <c:v>0.46300000000000002</c:v>
                </c:pt>
                <c:pt idx="275">
                  <c:v>0.46300000000000002</c:v>
                </c:pt>
                <c:pt idx="276">
                  <c:v>0.46300000000000002</c:v>
                </c:pt>
                <c:pt idx="277">
                  <c:v>0.46300000000000002</c:v>
                </c:pt>
                <c:pt idx="278">
                  <c:v>0.46300000000000002</c:v>
                </c:pt>
                <c:pt idx="279">
                  <c:v>0.46300000000000002</c:v>
                </c:pt>
                <c:pt idx="280">
                  <c:v>0.46300000000000002</c:v>
                </c:pt>
                <c:pt idx="281">
                  <c:v>0.46300000000000002</c:v>
                </c:pt>
                <c:pt idx="282">
                  <c:v>0.46300000000000002</c:v>
                </c:pt>
                <c:pt idx="283">
                  <c:v>0.46300000000000002</c:v>
                </c:pt>
                <c:pt idx="284">
                  <c:v>0.46300000000000002</c:v>
                </c:pt>
                <c:pt idx="285">
                  <c:v>0.46300000000000002</c:v>
                </c:pt>
                <c:pt idx="286">
                  <c:v>0.46300000000000002</c:v>
                </c:pt>
                <c:pt idx="287">
                  <c:v>0.46300000000000002</c:v>
                </c:pt>
                <c:pt idx="288">
                  <c:v>0.46300000000000002</c:v>
                </c:pt>
                <c:pt idx="289">
                  <c:v>0.46300000000000002</c:v>
                </c:pt>
                <c:pt idx="290">
                  <c:v>0.46300000000000002</c:v>
                </c:pt>
                <c:pt idx="291">
                  <c:v>0.46300000000000002</c:v>
                </c:pt>
                <c:pt idx="292">
                  <c:v>0.46300000000000002</c:v>
                </c:pt>
                <c:pt idx="293">
                  <c:v>0.46300000000000002</c:v>
                </c:pt>
                <c:pt idx="294">
                  <c:v>0.46300000000000002</c:v>
                </c:pt>
                <c:pt idx="295">
                  <c:v>0.46300000000000002</c:v>
                </c:pt>
                <c:pt idx="296">
                  <c:v>0.46300000000000002</c:v>
                </c:pt>
                <c:pt idx="297">
                  <c:v>0.46300000000000002</c:v>
                </c:pt>
                <c:pt idx="298">
                  <c:v>0.46300000000000002</c:v>
                </c:pt>
                <c:pt idx="299">
                  <c:v>0.46300000000000002</c:v>
                </c:pt>
                <c:pt idx="300">
                  <c:v>0.46300000000000002</c:v>
                </c:pt>
                <c:pt idx="301">
                  <c:v>0.46300000000000002</c:v>
                </c:pt>
                <c:pt idx="302">
                  <c:v>0.46300000000000002</c:v>
                </c:pt>
                <c:pt idx="303">
                  <c:v>0.46300000000000002</c:v>
                </c:pt>
                <c:pt idx="304">
                  <c:v>0.46300000000000002</c:v>
                </c:pt>
                <c:pt idx="305">
                  <c:v>0.46300000000000002</c:v>
                </c:pt>
                <c:pt idx="306">
                  <c:v>0.46300000000000002</c:v>
                </c:pt>
                <c:pt idx="307">
                  <c:v>0.46300000000000002</c:v>
                </c:pt>
                <c:pt idx="308">
                  <c:v>0.46300000000000002</c:v>
                </c:pt>
                <c:pt idx="309">
                  <c:v>0.46300000000000002</c:v>
                </c:pt>
                <c:pt idx="310">
                  <c:v>0.46300000000000002</c:v>
                </c:pt>
                <c:pt idx="311">
                  <c:v>0.46300000000000002</c:v>
                </c:pt>
                <c:pt idx="312">
                  <c:v>0.46300000000000002</c:v>
                </c:pt>
                <c:pt idx="313">
                  <c:v>0.46300000000000002</c:v>
                </c:pt>
                <c:pt idx="314">
                  <c:v>0.46300000000000002</c:v>
                </c:pt>
                <c:pt idx="315">
                  <c:v>0.46300000000000002</c:v>
                </c:pt>
                <c:pt idx="316">
                  <c:v>0.46300000000000002</c:v>
                </c:pt>
                <c:pt idx="317">
                  <c:v>0.46300000000000002</c:v>
                </c:pt>
                <c:pt idx="318">
                  <c:v>0.46300000000000002</c:v>
                </c:pt>
                <c:pt idx="319">
                  <c:v>0.46300000000000002</c:v>
                </c:pt>
                <c:pt idx="320">
                  <c:v>0.46300000000000002</c:v>
                </c:pt>
                <c:pt idx="321">
                  <c:v>0.46300000000000002</c:v>
                </c:pt>
                <c:pt idx="322">
                  <c:v>0.46300000000000002</c:v>
                </c:pt>
                <c:pt idx="323">
                  <c:v>0.46300000000000002</c:v>
                </c:pt>
                <c:pt idx="324">
                  <c:v>0.46300000000000002</c:v>
                </c:pt>
                <c:pt idx="325">
                  <c:v>0.46300000000000002</c:v>
                </c:pt>
                <c:pt idx="326">
                  <c:v>0.46300000000000002</c:v>
                </c:pt>
                <c:pt idx="327">
                  <c:v>0.46300000000000002</c:v>
                </c:pt>
                <c:pt idx="328">
                  <c:v>0.46300000000000002</c:v>
                </c:pt>
                <c:pt idx="329">
                  <c:v>0.46300000000000002</c:v>
                </c:pt>
                <c:pt idx="330">
                  <c:v>0.46300000000000002</c:v>
                </c:pt>
                <c:pt idx="331">
                  <c:v>0.46300000000000002</c:v>
                </c:pt>
                <c:pt idx="332">
                  <c:v>0.46300000000000002</c:v>
                </c:pt>
                <c:pt idx="333">
                  <c:v>0.46300000000000002</c:v>
                </c:pt>
                <c:pt idx="334">
                  <c:v>0.46300000000000002</c:v>
                </c:pt>
                <c:pt idx="335">
                  <c:v>0.46300000000000002</c:v>
                </c:pt>
                <c:pt idx="336">
                  <c:v>0.46300000000000002</c:v>
                </c:pt>
                <c:pt idx="337">
                  <c:v>0.46300000000000002</c:v>
                </c:pt>
                <c:pt idx="338">
                  <c:v>0.46300000000000002</c:v>
                </c:pt>
                <c:pt idx="339">
                  <c:v>0.46300000000000002</c:v>
                </c:pt>
                <c:pt idx="340">
                  <c:v>0.46300000000000002</c:v>
                </c:pt>
                <c:pt idx="341">
                  <c:v>0.46300000000000002</c:v>
                </c:pt>
                <c:pt idx="342">
                  <c:v>0.46300000000000002</c:v>
                </c:pt>
                <c:pt idx="343">
                  <c:v>0.46300000000000002</c:v>
                </c:pt>
                <c:pt idx="344">
                  <c:v>0.82399999999999995</c:v>
                </c:pt>
                <c:pt idx="345">
                  <c:v>0.98699999999999999</c:v>
                </c:pt>
                <c:pt idx="346">
                  <c:v>0.92800000000000005</c:v>
                </c:pt>
                <c:pt idx="347">
                  <c:v>0.84599999999999997</c:v>
                </c:pt>
                <c:pt idx="348">
                  <c:v>0.753</c:v>
                </c:pt>
                <c:pt idx="349">
                  <c:v>0.68600000000000005</c:v>
                </c:pt>
                <c:pt idx="350">
                  <c:v>0.64300000000000002</c:v>
                </c:pt>
                <c:pt idx="351">
                  <c:v>0.622</c:v>
                </c:pt>
                <c:pt idx="352">
                  <c:v>0.61499999999999999</c:v>
                </c:pt>
                <c:pt idx="353">
                  <c:v>0.64700000000000002</c:v>
                </c:pt>
                <c:pt idx="354">
                  <c:v>0.73599999999999999</c:v>
                </c:pt>
                <c:pt idx="355">
                  <c:v>0.78100000000000003</c:v>
                </c:pt>
                <c:pt idx="356">
                  <c:v>0.82699999999999996</c:v>
                </c:pt>
                <c:pt idx="357">
                  <c:v>0.84199999999999997</c:v>
                </c:pt>
                <c:pt idx="358">
                  <c:v>0.77900000000000003</c:v>
                </c:pt>
                <c:pt idx="359">
                  <c:v>0.73299999999999998</c:v>
                </c:pt>
                <c:pt idx="360">
                  <c:v>0.91800000000000004</c:v>
                </c:pt>
                <c:pt idx="361">
                  <c:v>0.84599999999999997</c:v>
                </c:pt>
                <c:pt idx="362">
                  <c:v>1.2130000000000001</c:v>
                </c:pt>
                <c:pt idx="363">
                  <c:v>1.9330000000000001</c:v>
                </c:pt>
                <c:pt idx="364">
                  <c:v>2.0630000000000002</c:v>
                </c:pt>
                <c:pt idx="365">
                  <c:v>2.1469999999999998</c:v>
                </c:pt>
              </c:numCache>
            </c:numRef>
          </c:val>
          <c:smooth val="0"/>
          <c:extLst xmlns:c16r2="http://schemas.microsoft.com/office/drawing/2015/06/chart">
            <c:ext xmlns:c16="http://schemas.microsoft.com/office/drawing/2014/chart" uri="{C3380CC4-5D6E-409C-BE32-E72D297353CC}">
              <c16:uniqueId val="{00000003-72EE-4BCE-B5A7-8769204907E2}"/>
            </c:ext>
          </c:extLst>
        </c:ser>
        <c:ser>
          <c:idx val="4"/>
          <c:order val="3"/>
          <c:tx>
            <c:strRef>
              <c:f>'[Chart in Microsoft Word]flows'!$L$1</c:f>
              <c:strCache>
                <c:ptCount val="1"/>
                <c:pt idx="0">
                  <c:v>Old Dromana Ramsar rmCam</c:v>
                </c:pt>
              </c:strCache>
            </c:strRef>
          </c:tx>
          <c:spPr>
            <a:ln w="28575" cap="rnd">
              <a:solidFill>
                <a:schemeClr val="tx1"/>
              </a:solidFill>
              <a:prstDash val="sysDot"/>
              <a:round/>
            </a:ln>
            <a:effectLst/>
          </c:spPr>
          <c:marker>
            <c:symbol val="none"/>
          </c:marker>
          <c:cat>
            <c:numRef>
              <c:f>'[Chart in Microsoft Word]flows'!$A$5:$A$370</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'[Chart in Microsoft Word]flows'!$L$5:$L$370</c:f>
              <c:numCache>
                <c:formatCode>General</c:formatCode>
                <c:ptCount val="366"/>
                <c:pt idx="0">
                  <c:v>0.16</c:v>
                </c:pt>
                <c:pt idx="1">
                  <c:v>0.15</c:v>
                </c:pt>
                <c:pt idx="2">
                  <c:v>0.14000000000000001</c:v>
                </c:pt>
                <c:pt idx="3">
                  <c:v>0.13</c:v>
                </c:pt>
                <c:pt idx="4">
                  <c:v>0.13</c:v>
                </c:pt>
                <c:pt idx="5">
                  <c:v>0.12</c:v>
                </c:pt>
                <c:pt idx="6">
                  <c:v>0.12</c:v>
                </c:pt>
                <c:pt idx="7">
                  <c:v>0.11</c:v>
                </c:pt>
                <c:pt idx="8">
                  <c:v>0.11</c:v>
                </c:pt>
                <c:pt idx="9">
                  <c:v>0.11</c:v>
                </c:pt>
                <c:pt idx="10">
                  <c:v>0.11</c:v>
                </c:pt>
                <c:pt idx="11">
                  <c:v>0.11</c:v>
                </c:pt>
                <c:pt idx="12">
                  <c:v>0.1</c:v>
                </c:pt>
                <c:pt idx="13">
                  <c:v>0.09</c:v>
                </c:pt>
                <c:pt idx="14">
                  <c:v>0.09</c:v>
                </c:pt>
                <c:pt idx="15">
                  <c:v>0.09</c:v>
                </c:pt>
                <c:pt idx="16">
                  <c:v>0.09</c:v>
                </c:pt>
                <c:pt idx="17">
                  <c:v>0.09</c:v>
                </c:pt>
                <c:pt idx="18">
                  <c:v>0.09</c:v>
                </c:pt>
                <c:pt idx="19">
                  <c:v>0.09</c:v>
                </c:pt>
                <c:pt idx="20">
                  <c:v>0.09</c:v>
                </c:pt>
                <c:pt idx="21">
                  <c:v>0.09</c:v>
                </c:pt>
                <c:pt idx="22">
                  <c:v>0.12</c:v>
                </c:pt>
                <c:pt idx="23">
                  <c:v>0.14000000000000001</c:v>
                </c:pt>
                <c:pt idx="24">
                  <c:v>0.13</c:v>
                </c:pt>
                <c:pt idx="25">
                  <c:v>0.12</c:v>
                </c:pt>
                <c:pt idx="26">
                  <c:v>0.11</c:v>
                </c:pt>
                <c:pt idx="27">
                  <c:v>0.11</c:v>
                </c:pt>
                <c:pt idx="28">
                  <c:v>0.11</c:v>
                </c:pt>
                <c:pt idx="29">
                  <c:v>0.14000000000000001</c:v>
                </c:pt>
                <c:pt idx="30">
                  <c:v>0.15</c:v>
                </c:pt>
                <c:pt idx="31">
                  <c:v>0.16</c:v>
                </c:pt>
                <c:pt idx="32">
                  <c:v>0.16</c:v>
                </c:pt>
                <c:pt idx="33">
                  <c:v>0.16</c:v>
                </c:pt>
                <c:pt idx="34">
                  <c:v>0.16</c:v>
                </c:pt>
                <c:pt idx="35">
                  <c:v>0.16</c:v>
                </c:pt>
                <c:pt idx="36">
                  <c:v>0.15</c:v>
                </c:pt>
                <c:pt idx="37">
                  <c:v>0.15</c:v>
                </c:pt>
                <c:pt idx="38">
                  <c:v>0.14000000000000001</c:v>
                </c:pt>
                <c:pt idx="39">
                  <c:v>0.13</c:v>
                </c:pt>
                <c:pt idx="40">
                  <c:v>0.12</c:v>
                </c:pt>
                <c:pt idx="41">
                  <c:v>0.12</c:v>
                </c:pt>
                <c:pt idx="42">
                  <c:v>0.12</c:v>
                </c:pt>
                <c:pt idx="43">
                  <c:v>0.11</c:v>
                </c:pt>
                <c:pt idx="44">
                  <c:v>0.1</c:v>
                </c:pt>
                <c:pt idx="45">
                  <c:v>0.09</c:v>
                </c:pt>
                <c:pt idx="46">
                  <c:v>0.09</c:v>
                </c:pt>
                <c:pt idx="47">
                  <c:v>0.09</c:v>
                </c:pt>
                <c:pt idx="48">
                  <c:v>0.09</c:v>
                </c:pt>
                <c:pt idx="49">
                  <c:v>0.08</c:v>
                </c:pt>
                <c:pt idx="50">
                  <c:v>0.08</c:v>
                </c:pt>
                <c:pt idx="51">
                  <c:v>0.08</c:v>
                </c:pt>
                <c:pt idx="52">
                  <c:v>0.08</c:v>
                </c:pt>
                <c:pt idx="53">
                  <c:v>0.08</c:v>
                </c:pt>
                <c:pt idx="54">
                  <c:v>0.08</c:v>
                </c:pt>
                <c:pt idx="55">
                  <c:v>0.08</c:v>
                </c:pt>
                <c:pt idx="56">
                  <c:v>7.0000000000000007E-2</c:v>
                </c:pt>
                <c:pt idx="57">
                  <c:v>7.0000000000000007E-2</c:v>
                </c:pt>
                <c:pt idx="58">
                  <c:v>0.06</c:v>
                </c:pt>
                <c:pt idx="59">
                  <c:v>0.05</c:v>
                </c:pt>
                <c:pt idx="60">
                  <c:v>0.12</c:v>
                </c:pt>
                <c:pt idx="61">
                  <c:v>0.14000000000000001</c:v>
                </c:pt>
                <c:pt idx="62">
                  <c:v>0.15</c:v>
                </c:pt>
                <c:pt idx="63">
                  <c:v>0.16</c:v>
                </c:pt>
                <c:pt idx="64">
                  <c:v>0.16</c:v>
                </c:pt>
                <c:pt idx="65">
                  <c:v>0.16</c:v>
                </c:pt>
                <c:pt idx="66">
                  <c:v>0.16</c:v>
                </c:pt>
                <c:pt idx="67">
                  <c:v>0.15</c:v>
                </c:pt>
                <c:pt idx="68">
                  <c:v>0.15</c:v>
                </c:pt>
                <c:pt idx="69">
                  <c:v>0.15</c:v>
                </c:pt>
                <c:pt idx="70">
                  <c:v>0.15</c:v>
                </c:pt>
                <c:pt idx="71">
                  <c:v>0.15</c:v>
                </c:pt>
                <c:pt idx="72">
                  <c:v>0.14000000000000001</c:v>
                </c:pt>
                <c:pt idx="73">
                  <c:v>0.14000000000000001</c:v>
                </c:pt>
                <c:pt idx="74">
                  <c:v>0.14000000000000001</c:v>
                </c:pt>
                <c:pt idx="75">
                  <c:v>0.14000000000000001</c:v>
                </c:pt>
                <c:pt idx="76">
                  <c:v>0.13</c:v>
                </c:pt>
                <c:pt idx="77">
                  <c:v>0.12</c:v>
                </c:pt>
                <c:pt idx="78">
                  <c:v>0.12</c:v>
                </c:pt>
                <c:pt idx="79">
                  <c:v>0.11</c:v>
                </c:pt>
                <c:pt idx="80">
                  <c:v>0.1</c:v>
                </c:pt>
                <c:pt idx="81">
                  <c:v>0.09</c:v>
                </c:pt>
                <c:pt idx="82">
                  <c:v>0.09</c:v>
                </c:pt>
                <c:pt idx="83">
                  <c:v>0.08</c:v>
                </c:pt>
                <c:pt idx="84">
                  <c:v>7.0000000000000007E-2</c:v>
                </c:pt>
                <c:pt idx="85">
                  <c:v>0.06</c:v>
                </c:pt>
                <c:pt idx="86">
                  <c:v>0.06</c:v>
                </c:pt>
                <c:pt idx="87">
                  <c:v>0.05</c:v>
                </c:pt>
                <c:pt idx="88">
                  <c:v>0.04</c:v>
                </c:pt>
                <c:pt idx="89">
                  <c:v>0.04</c:v>
                </c:pt>
                <c:pt idx="90">
                  <c:v>0.03</c:v>
                </c:pt>
                <c:pt idx="91">
                  <c:v>0.02</c:v>
                </c:pt>
                <c:pt idx="92">
                  <c:v>0.01</c:v>
                </c:pt>
                <c:pt idx="93">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0.09</c:v>
                </c:pt>
                <c:pt idx="135">
                  <c:v>0.12</c:v>
                </c:pt>
                <c:pt idx="136">
                  <c:v>0.13</c:v>
                </c:pt>
                <c:pt idx="137">
                  <c:v>0.13</c:v>
                </c:pt>
                <c:pt idx="138">
                  <c:v>0.12</c:v>
                </c:pt>
                <c:pt idx="139">
                  <c:v>0.11</c:v>
                </c:pt>
                <c:pt idx="140">
                  <c:v>0.1</c:v>
                </c:pt>
                <c:pt idx="141">
                  <c:v>0.09</c:v>
                </c:pt>
                <c:pt idx="142">
                  <c:v>0.09</c:v>
                </c:pt>
                <c:pt idx="143">
                  <c:v>0.08</c:v>
                </c:pt>
                <c:pt idx="144">
                  <c:v>0.06</c:v>
                </c:pt>
                <c:pt idx="145">
                  <c:v>0.06</c:v>
                </c:pt>
                <c:pt idx="146">
                  <c:v>7.0000000000000007E-2</c:v>
                </c:pt>
                <c:pt idx="147">
                  <c:v>0.08</c:v>
                </c:pt>
                <c:pt idx="148">
                  <c:v>7.0000000000000007E-2</c:v>
                </c:pt>
                <c:pt idx="149">
                  <c:v>0.06</c:v>
                </c:pt>
                <c:pt idx="150">
                  <c:v>0.04</c:v>
                </c:pt>
                <c:pt idx="151">
                  <c:v>0.03</c:v>
                </c:pt>
                <c:pt idx="152">
                  <c:v>0.01</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7">
                  <c:v>0</c:v>
                </c:pt>
                <c:pt idx="188">
                  <c:v>0</c:v>
                </c:pt>
                <c:pt idx="189">
                  <c:v>0</c:v>
                </c:pt>
                <c:pt idx="190">
                  <c:v>0</c:v>
                </c:pt>
                <c:pt idx="192">
                  <c:v>0</c:v>
                </c:pt>
                <c:pt idx="193">
                  <c:v>0</c:v>
                </c:pt>
                <c:pt idx="194">
                  <c:v>0</c:v>
                </c:pt>
                <c:pt idx="195">
                  <c:v>0</c:v>
                </c:pt>
                <c:pt idx="196">
                  <c:v>0</c:v>
                </c:pt>
                <c:pt idx="197">
                  <c:v>0.01</c:v>
                </c:pt>
                <c:pt idx="198">
                  <c:v>0.03</c:v>
                </c:pt>
                <c:pt idx="199">
                  <c:v>0.04</c:v>
                </c:pt>
                <c:pt idx="200">
                  <c:v>0.05</c:v>
                </c:pt>
                <c:pt idx="201">
                  <c:v>0.05</c:v>
                </c:pt>
                <c:pt idx="202">
                  <c:v>0.04</c:v>
                </c:pt>
                <c:pt idx="203">
                  <c:v>0.04</c:v>
                </c:pt>
                <c:pt idx="204">
                  <c:v>0.03</c:v>
                </c:pt>
                <c:pt idx="205">
                  <c:v>0.02</c:v>
                </c:pt>
                <c:pt idx="206">
                  <c:v>0.02</c:v>
                </c:pt>
                <c:pt idx="207">
                  <c:v>0.01</c:v>
                </c:pt>
                <c:pt idx="208">
                  <c:v>0</c:v>
                </c:pt>
                <c:pt idx="209">
                  <c:v>0</c:v>
                </c:pt>
                <c:pt idx="210">
                  <c:v>0.04</c:v>
                </c:pt>
                <c:pt idx="211">
                  <c:v>0.09</c:v>
                </c:pt>
                <c:pt idx="212">
                  <c:v>0.08</c:v>
                </c:pt>
                <c:pt idx="213">
                  <c:v>7.0000000000000007E-2</c:v>
                </c:pt>
                <c:pt idx="214">
                  <c:v>0.05</c:v>
                </c:pt>
                <c:pt idx="215">
                  <c:v>0.04</c:v>
                </c:pt>
                <c:pt idx="216">
                  <c:v>0.02</c:v>
                </c:pt>
                <c:pt idx="217">
                  <c:v>7.0000000000000007E-2</c:v>
                </c:pt>
                <c:pt idx="218">
                  <c:v>0.08</c:v>
                </c:pt>
                <c:pt idx="219">
                  <c:v>0.09</c:v>
                </c:pt>
                <c:pt idx="220">
                  <c:v>0.09</c:v>
                </c:pt>
                <c:pt idx="221">
                  <c:v>0.1</c:v>
                </c:pt>
                <c:pt idx="222">
                  <c:v>0.12</c:v>
                </c:pt>
                <c:pt idx="223">
                  <c:v>0.13</c:v>
                </c:pt>
                <c:pt idx="224">
                  <c:v>0.13</c:v>
                </c:pt>
                <c:pt idx="225">
                  <c:v>0.13</c:v>
                </c:pt>
                <c:pt idx="226">
                  <c:v>0.12</c:v>
                </c:pt>
                <c:pt idx="227">
                  <c:v>0.11</c:v>
                </c:pt>
                <c:pt idx="228">
                  <c:v>0.09</c:v>
                </c:pt>
                <c:pt idx="229">
                  <c:v>0.08</c:v>
                </c:pt>
                <c:pt idx="230">
                  <c:v>0.06</c:v>
                </c:pt>
                <c:pt idx="231">
                  <c:v>0.05</c:v>
                </c:pt>
                <c:pt idx="232">
                  <c:v>0.03</c:v>
                </c:pt>
                <c:pt idx="233">
                  <c:v>0.01</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3">
                  <c:v>0</c:v>
                </c:pt>
                <c:pt idx="255">
                  <c:v>0</c:v>
                </c:pt>
                <c:pt idx="256">
                  <c:v>0</c:v>
                </c:pt>
                <c:pt idx="257">
                  <c:v>0</c:v>
                </c:pt>
                <c:pt idx="258">
                  <c:v>0</c:v>
                </c:pt>
                <c:pt idx="260">
                  <c:v>0</c:v>
                </c:pt>
                <c:pt idx="261">
                  <c:v>0</c:v>
                </c:pt>
                <c:pt idx="268">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7">
                  <c:v>0</c:v>
                </c:pt>
                <c:pt idx="308">
                  <c:v>0</c:v>
                </c:pt>
                <c:pt idx="309">
                  <c:v>0</c:v>
                </c:pt>
                <c:pt idx="310">
                  <c:v>0</c:v>
                </c:pt>
                <c:pt idx="311">
                  <c:v>0</c:v>
                </c:pt>
                <c:pt idx="312">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30">
                  <c:v>0</c:v>
                </c:pt>
                <c:pt idx="332">
                  <c:v>0</c:v>
                </c:pt>
                <c:pt idx="342">
                  <c:v>0</c:v>
                </c:pt>
                <c:pt idx="343">
                  <c:v>0</c:v>
                </c:pt>
                <c:pt idx="344">
                  <c:v>0</c:v>
                </c:pt>
                <c:pt idx="345">
                  <c:v>0</c:v>
                </c:pt>
                <c:pt idx="347">
                  <c:v>0</c:v>
                </c:pt>
                <c:pt idx="348">
                  <c:v>0</c:v>
                </c:pt>
                <c:pt idx="349">
                  <c:v>0</c:v>
                </c:pt>
                <c:pt idx="350">
                  <c:v>0</c:v>
                </c:pt>
                <c:pt idx="359">
                  <c:v>0</c:v>
                </c:pt>
                <c:pt idx="360">
                  <c:v>0</c:v>
                </c:pt>
                <c:pt idx="361">
                  <c:v>0.02</c:v>
                </c:pt>
                <c:pt idx="362">
                  <c:v>0.03</c:v>
                </c:pt>
                <c:pt idx="363">
                  <c:v>0.04</c:v>
                </c:pt>
                <c:pt idx="364">
                  <c:v>0.05</c:v>
                </c:pt>
                <c:pt idx="365">
                  <c:v>0.06</c:v>
                </c:pt>
              </c:numCache>
            </c:numRef>
          </c:val>
          <c:smooth val="0"/>
          <c:extLst xmlns:c16r2="http://schemas.microsoft.com/office/drawing/2015/06/chart">
            <c:ext xmlns:c16="http://schemas.microsoft.com/office/drawing/2014/chart" uri="{C3380CC4-5D6E-409C-BE32-E72D297353CC}">
              <c16:uniqueId val="{00000004-72EE-4BCE-B5A7-8769204907E2}"/>
            </c:ext>
          </c:extLst>
        </c:ser>
        <c:dLbls>
          <c:showLegendKey val="0"/>
          <c:showVal val="0"/>
          <c:showCatName val="0"/>
          <c:showSerName val="0"/>
          <c:showPercent val="0"/>
          <c:showBubbleSize val="0"/>
        </c:dLbls>
        <c:smooth val="0"/>
        <c:axId val="484413568"/>
        <c:axId val="484413960"/>
      </c:lineChart>
      <c:dateAx>
        <c:axId val="484413568"/>
        <c:scaling>
          <c:orientation val="minMax"/>
        </c:scaling>
        <c:delete val="0"/>
        <c:axPos val="b"/>
        <c:numFmt formatCode="m/d/yyyy"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84413960"/>
        <c:crosses val="autoZero"/>
        <c:auto val="1"/>
        <c:lblOffset val="100"/>
        <c:baseTimeUnit val="days"/>
      </c:dateAx>
      <c:valAx>
        <c:axId val="484413960"/>
        <c:scaling>
          <c:orientation val="minMax"/>
          <c:max val="3"/>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Gauge height (m)</a:t>
                </a:r>
              </a:p>
            </c:rich>
          </c:tx>
          <c:layout>
            <c:manualLayout>
              <c:xMode val="edge"/>
              <c:yMode val="edge"/>
              <c:x val="3.7107430536700153E-4"/>
              <c:y val="0.2227827739149186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84413568"/>
        <c:crosses val="autoZero"/>
        <c:crossBetween val="between"/>
      </c:valAx>
      <c:spPr>
        <a:noFill/>
        <a:ln>
          <a:noFill/>
        </a:ln>
        <a:effectLst/>
      </c:spPr>
    </c:plotArea>
    <c:legend>
      <c:legendPos val="t"/>
      <c:layout>
        <c:manualLayout>
          <c:xMode val="edge"/>
          <c:yMode val="edge"/>
          <c:x val="3.4664124015748018E-2"/>
          <c:y val="0.86923168348513757"/>
          <c:w val="0.92593345753655798"/>
          <c:h val="0.10464966915420042"/>
        </c:manualLayout>
      </c:layout>
      <c:overlay val="0"/>
      <c:spPr>
        <a:noFill/>
        <a:ln>
          <a:solidFill>
            <a:schemeClr val="bg1"/>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46302636083533"/>
          <c:y val="2.6328640415691856E-2"/>
          <c:w val="0.86935381718589522"/>
          <c:h val="0.63002209597027703"/>
        </c:manualLayout>
      </c:layout>
      <c:lineChart>
        <c:grouping val="standard"/>
        <c:varyColors val="0"/>
        <c:ser>
          <c:idx val="1"/>
          <c:order val="0"/>
          <c:tx>
            <c:strRef>
              <c:f>flows!$E$2</c:f>
              <c:strCache>
                <c:ptCount val="1"/>
                <c:pt idx="0">
                  <c:v>Environmental water released</c:v>
                </c:pt>
              </c:strCache>
            </c:strRef>
          </c:tx>
          <c:spPr>
            <a:ln w="28575" cap="rnd">
              <a:solidFill>
                <a:srgbClr val="00B050"/>
              </a:solidFill>
              <a:round/>
            </a:ln>
            <a:effectLst/>
          </c:spPr>
          <c:marker>
            <c:symbol val="none"/>
          </c:marker>
          <c:cat>
            <c:numRef>
              <c:f>flows!$A$5:$A$370</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flows!$E$3:$E$370</c:f>
              <c:numCache>
                <c:formatCode>General</c:formatCode>
                <c:ptCount val="368"/>
                <c:pt idx="176">
                  <c:v>2.5</c:v>
                </c:pt>
                <c:pt idx="177">
                  <c:v>2.5</c:v>
                </c:pt>
                <c:pt idx="178">
                  <c:v>2.5</c:v>
                </c:pt>
                <c:pt idx="179">
                  <c:v>2.5</c:v>
                </c:pt>
                <c:pt idx="180">
                  <c:v>2.5</c:v>
                </c:pt>
                <c:pt idx="181">
                  <c:v>2.5</c:v>
                </c:pt>
                <c:pt idx="182">
                  <c:v>2.5</c:v>
                </c:pt>
                <c:pt idx="183">
                  <c:v>2.5</c:v>
                </c:pt>
                <c:pt idx="184">
                  <c:v>2.5</c:v>
                </c:pt>
                <c:pt idx="185">
                  <c:v>2.5</c:v>
                </c:pt>
                <c:pt idx="186">
                  <c:v>2.5</c:v>
                </c:pt>
                <c:pt idx="187">
                  <c:v>2.5</c:v>
                </c:pt>
                <c:pt idx="188">
                  <c:v>2.5</c:v>
                </c:pt>
                <c:pt idx="189">
                  <c:v>2.5</c:v>
                </c:pt>
                <c:pt idx="190">
                  <c:v>2.5</c:v>
                </c:pt>
                <c:pt idx="191">
                  <c:v>2.5</c:v>
                </c:pt>
                <c:pt idx="192">
                  <c:v>2.5</c:v>
                </c:pt>
                <c:pt idx="193">
                  <c:v>2.5</c:v>
                </c:pt>
                <c:pt idx="202">
                  <c:v>2.5</c:v>
                </c:pt>
                <c:pt idx="203">
                  <c:v>2.5</c:v>
                </c:pt>
                <c:pt idx="204">
                  <c:v>2.5</c:v>
                </c:pt>
                <c:pt idx="205">
                  <c:v>2.5</c:v>
                </c:pt>
                <c:pt idx="206">
                  <c:v>2.5</c:v>
                </c:pt>
                <c:pt idx="207">
                  <c:v>2.5</c:v>
                </c:pt>
                <c:pt idx="208">
                  <c:v>2.5</c:v>
                </c:pt>
                <c:pt idx="209">
                  <c:v>2.5</c:v>
                </c:pt>
                <c:pt idx="210">
                  <c:v>2.5</c:v>
                </c:pt>
                <c:pt idx="211">
                  <c:v>2.5</c:v>
                </c:pt>
                <c:pt idx="212">
                  <c:v>2.5</c:v>
                </c:pt>
                <c:pt idx="213">
                  <c:v>2.5</c:v>
                </c:pt>
                <c:pt idx="214">
                  <c:v>2.5</c:v>
                </c:pt>
                <c:pt idx="215">
                  <c:v>2.5</c:v>
                </c:pt>
                <c:pt idx="216">
                  <c:v>2.5</c:v>
                </c:pt>
                <c:pt idx="217">
                  <c:v>2.5</c:v>
                </c:pt>
                <c:pt idx="218">
                  <c:v>2.5</c:v>
                </c:pt>
                <c:pt idx="219">
                  <c:v>2.5</c:v>
                </c:pt>
                <c:pt idx="287">
                  <c:v>2.5</c:v>
                </c:pt>
                <c:pt idx="288">
                  <c:v>2.5</c:v>
                </c:pt>
                <c:pt idx="289">
                  <c:v>2.5</c:v>
                </c:pt>
                <c:pt idx="290">
                  <c:v>2.5</c:v>
                </c:pt>
                <c:pt idx="291">
                  <c:v>2.5</c:v>
                </c:pt>
                <c:pt idx="292">
                  <c:v>2.5</c:v>
                </c:pt>
                <c:pt idx="293">
                  <c:v>2.5</c:v>
                </c:pt>
                <c:pt idx="294">
                  <c:v>2.5</c:v>
                </c:pt>
                <c:pt idx="295">
                  <c:v>2.5</c:v>
                </c:pt>
                <c:pt idx="296">
                  <c:v>2.5</c:v>
                </c:pt>
                <c:pt idx="297">
                  <c:v>2.5</c:v>
                </c:pt>
                <c:pt idx="298">
                  <c:v>2.5</c:v>
                </c:pt>
                <c:pt idx="299">
                  <c:v>2.5</c:v>
                </c:pt>
                <c:pt idx="300">
                  <c:v>2.5</c:v>
                </c:pt>
                <c:pt idx="301">
                  <c:v>2.5</c:v>
                </c:pt>
                <c:pt idx="302">
                  <c:v>2.5</c:v>
                </c:pt>
                <c:pt idx="303">
                  <c:v>2.5</c:v>
                </c:pt>
                <c:pt idx="304">
                  <c:v>2.5</c:v>
                </c:pt>
                <c:pt idx="305">
                  <c:v>2.5</c:v>
                </c:pt>
                <c:pt idx="306">
                  <c:v>2.5</c:v>
                </c:pt>
                <c:pt idx="307">
                  <c:v>2.5</c:v>
                </c:pt>
                <c:pt idx="308">
                  <c:v>2.5</c:v>
                </c:pt>
                <c:pt idx="309">
                  <c:v>2.5</c:v>
                </c:pt>
                <c:pt idx="310">
                  <c:v>2.5</c:v>
                </c:pt>
                <c:pt idx="311">
                  <c:v>2.5</c:v>
                </c:pt>
                <c:pt idx="312">
                  <c:v>2.5</c:v>
                </c:pt>
                <c:pt idx="313">
                  <c:v>2.5</c:v>
                </c:pt>
                <c:pt idx="314">
                  <c:v>2.5</c:v>
                </c:pt>
                <c:pt idx="315">
                  <c:v>2.5</c:v>
                </c:pt>
                <c:pt idx="316">
                  <c:v>2.5</c:v>
                </c:pt>
                <c:pt idx="317">
                  <c:v>2.5</c:v>
                </c:pt>
                <c:pt idx="318">
                  <c:v>2.5</c:v>
                </c:pt>
                <c:pt idx="319">
                  <c:v>2.5</c:v>
                </c:pt>
                <c:pt idx="320">
                  <c:v>2.5</c:v>
                </c:pt>
                <c:pt idx="321">
                  <c:v>2.5</c:v>
                </c:pt>
                <c:pt idx="322">
                  <c:v>2.5</c:v>
                </c:pt>
              </c:numCache>
            </c:numRef>
          </c:val>
          <c:smooth val="0"/>
          <c:extLst xmlns:c16r2="http://schemas.microsoft.com/office/drawing/2015/06/chart">
            <c:ext xmlns:c16="http://schemas.microsoft.com/office/drawing/2014/chart" uri="{C3380CC4-5D6E-409C-BE32-E72D297353CC}">
              <c16:uniqueId val="{00000001-6B83-4F32-895E-FF7105E1F411}"/>
            </c:ext>
          </c:extLst>
        </c:ser>
        <c:ser>
          <c:idx val="2"/>
          <c:order val="1"/>
          <c:tx>
            <c:strRef>
              <c:f>flows!$N$1</c:f>
              <c:strCache>
                <c:ptCount val="1"/>
                <c:pt idx="0">
                  <c:v>418074 - Gingham @ Teralba</c:v>
                </c:pt>
              </c:strCache>
            </c:strRef>
          </c:tx>
          <c:spPr>
            <a:ln w="28575" cap="rnd">
              <a:solidFill>
                <a:schemeClr val="accent2"/>
              </a:solidFill>
              <a:prstDash val="sysDash"/>
              <a:round/>
            </a:ln>
            <a:effectLst/>
          </c:spPr>
          <c:marker>
            <c:symbol val="none"/>
          </c:marker>
          <c:cat>
            <c:numRef>
              <c:f>flows!$A$5:$A$370</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flows!$N$5:$N$370</c:f>
              <c:numCache>
                <c:formatCode>General</c:formatCode>
                <c:ptCount val="366"/>
                <c:pt idx="0">
                  <c:v>0.40899999999999997</c:v>
                </c:pt>
                <c:pt idx="1">
                  <c:v>0.40899999999999997</c:v>
                </c:pt>
                <c:pt idx="2">
                  <c:v>0.41799999999999998</c:v>
                </c:pt>
                <c:pt idx="3">
                  <c:v>0.40699999999999997</c:v>
                </c:pt>
                <c:pt idx="4">
                  <c:v>0.37</c:v>
                </c:pt>
                <c:pt idx="5">
                  <c:v>0.36899999999999999</c:v>
                </c:pt>
                <c:pt idx="6">
                  <c:v>0.371</c:v>
                </c:pt>
                <c:pt idx="7">
                  <c:v>0.37</c:v>
                </c:pt>
                <c:pt idx="8">
                  <c:v>0.36899999999999999</c:v>
                </c:pt>
                <c:pt idx="9">
                  <c:v>0.36299999999999999</c:v>
                </c:pt>
                <c:pt idx="10">
                  <c:v>0.35899999999999999</c:v>
                </c:pt>
                <c:pt idx="11">
                  <c:v>0.35799999999999998</c:v>
                </c:pt>
                <c:pt idx="12">
                  <c:v>0.35699999999999998</c:v>
                </c:pt>
                <c:pt idx="13">
                  <c:v>0.36499999999999999</c:v>
                </c:pt>
                <c:pt idx="14">
                  <c:v>0.36299999999999999</c:v>
                </c:pt>
                <c:pt idx="15">
                  <c:v>0.35899999999999999</c:v>
                </c:pt>
                <c:pt idx="16">
                  <c:v>0.35699999999999998</c:v>
                </c:pt>
                <c:pt idx="17">
                  <c:v>0.35899999999999999</c:v>
                </c:pt>
                <c:pt idx="18">
                  <c:v>0.35499999999999998</c:v>
                </c:pt>
                <c:pt idx="19">
                  <c:v>0.32100000000000001</c:v>
                </c:pt>
                <c:pt idx="20">
                  <c:v>0.27100000000000002</c:v>
                </c:pt>
                <c:pt idx="21">
                  <c:v>0.23499999999999999</c:v>
                </c:pt>
                <c:pt idx="22">
                  <c:v>0.214</c:v>
                </c:pt>
                <c:pt idx="23">
                  <c:v>0.33500000000000002</c:v>
                </c:pt>
                <c:pt idx="24">
                  <c:v>0.45700000000000002</c:v>
                </c:pt>
                <c:pt idx="25">
                  <c:v>1.77</c:v>
                </c:pt>
                <c:pt idx="26">
                  <c:v>1.1930000000000001</c:v>
                </c:pt>
                <c:pt idx="27">
                  <c:v>0.495</c:v>
                </c:pt>
                <c:pt idx="28">
                  <c:v>0.49</c:v>
                </c:pt>
                <c:pt idx="29">
                  <c:v>0.57699999999999996</c:v>
                </c:pt>
                <c:pt idx="30">
                  <c:v>0.55800000000000005</c:v>
                </c:pt>
                <c:pt idx="31">
                  <c:v>0.53600000000000003</c:v>
                </c:pt>
                <c:pt idx="32">
                  <c:v>0.50600000000000001</c:v>
                </c:pt>
                <c:pt idx="33">
                  <c:v>0.46400000000000002</c:v>
                </c:pt>
                <c:pt idx="34">
                  <c:v>0.439</c:v>
                </c:pt>
                <c:pt idx="35">
                  <c:v>0.41399999999999998</c:v>
                </c:pt>
                <c:pt idx="36">
                  <c:v>0.39500000000000002</c:v>
                </c:pt>
                <c:pt idx="37">
                  <c:v>0.4</c:v>
                </c:pt>
                <c:pt idx="38">
                  <c:v>0.4</c:v>
                </c:pt>
                <c:pt idx="39">
                  <c:v>0.39200000000000002</c:v>
                </c:pt>
                <c:pt idx="40">
                  <c:v>0.38600000000000001</c:v>
                </c:pt>
                <c:pt idx="41">
                  <c:v>0.38100000000000001</c:v>
                </c:pt>
                <c:pt idx="42">
                  <c:v>0.373</c:v>
                </c:pt>
                <c:pt idx="43">
                  <c:v>0.35799999999999998</c:v>
                </c:pt>
                <c:pt idx="44">
                  <c:v>0.35</c:v>
                </c:pt>
                <c:pt idx="45">
                  <c:v>0.34699999999999998</c:v>
                </c:pt>
                <c:pt idx="46">
                  <c:v>0.34300000000000003</c:v>
                </c:pt>
                <c:pt idx="47">
                  <c:v>0.34</c:v>
                </c:pt>
                <c:pt idx="48">
                  <c:v>0.375</c:v>
                </c:pt>
                <c:pt idx="49">
                  <c:v>0.36</c:v>
                </c:pt>
                <c:pt idx="50">
                  <c:v>0.32300000000000001</c:v>
                </c:pt>
                <c:pt idx="51">
                  <c:v>0.308</c:v>
                </c:pt>
                <c:pt idx="52">
                  <c:v>0.309</c:v>
                </c:pt>
                <c:pt idx="53">
                  <c:v>0.32200000000000001</c:v>
                </c:pt>
                <c:pt idx="54">
                  <c:v>0.32800000000000001</c:v>
                </c:pt>
                <c:pt idx="55">
                  <c:v>0.441</c:v>
                </c:pt>
                <c:pt idx="56">
                  <c:v>1.827</c:v>
                </c:pt>
                <c:pt idx="57">
                  <c:v>0.59499999999999997</c:v>
                </c:pt>
                <c:pt idx="58">
                  <c:v>0.39900000000000002</c:v>
                </c:pt>
                <c:pt idx="59">
                  <c:v>0.47399999999999998</c:v>
                </c:pt>
                <c:pt idx="60">
                  <c:v>0.51100000000000001</c:v>
                </c:pt>
                <c:pt idx="61">
                  <c:v>0.57699999999999996</c:v>
                </c:pt>
                <c:pt idx="62">
                  <c:v>0.57299999999999995</c:v>
                </c:pt>
                <c:pt idx="63">
                  <c:v>0.57999999999999996</c:v>
                </c:pt>
                <c:pt idx="64">
                  <c:v>0.54800000000000004</c:v>
                </c:pt>
                <c:pt idx="65">
                  <c:v>0.53500000000000003</c:v>
                </c:pt>
                <c:pt idx="66">
                  <c:v>0.50600000000000001</c:v>
                </c:pt>
                <c:pt idx="67">
                  <c:v>0.48899999999999999</c:v>
                </c:pt>
                <c:pt idx="68">
                  <c:v>0.47599999999999998</c:v>
                </c:pt>
                <c:pt idx="69">
                  <c:v>0.48</c:v>
                </c:pt>
                <c:pt idx="70">
                  <c:v>0.48899999999999999</c:v>
                </c:pt>
                <c:pt idx="71">
                  <c:v>0.49299999999999999</c:v>
                </c:pt>
                <c:pt idx="72">
                  <c:v>0.48499999999999999</c:v>
                </c:pt>
                <c:pt idx="73">
                  <c:v>0.41799999999999998</c:v>
                </c:pt>
                <c:pt idx="74">
                  <c:v>0.45700000000000002</c:v>
                </c:pt>
                <c:pt idx="75">
                  <c:v>0.47299999999999998</c:v>
                </c:pt>
                <c:pt idx="76">
                  <c:v>0.40799999999999997</c:v>
                </c:pt>
                <c:pt idx="77">
                  <c:v>0.38300000000000001</c:v>
                </c:pt>
                <c:pt idx="78">
                  <c:v>0.372</c:v>
                </c:pt>
                <c:pt idx="79">
                  <c:v>0.35199999999999998</c:v>
                </c:pt>
                <c:pt idx="80">
                  <c:v>0.33700000000000002</c:v>
                </c:pt>
                <c:pt idx="81">
                  <c:v>0.35199999999999998</c:v>
                </c:pt>
                <c:pt idx="82">
                  <c:v>0.36</c:v>
                </c:pt>
                <c:pt idx="83">
                  <c:v>0.35899999999999999</c:v>
                </c:pt>
                <c:pt idx="84">
                  <c:v>0.35199999999999998</c:v>
                </c:pt>
                <c:pt idx="85">
                  <c:v>0.33200000000000002</c:v>
                </c:pt>
                <c:pt idx="86">
                  <c:v>0.31900000000000001</c:v>
                </c:pt>
                <c:pt idx="87">
                  <c:v>0.31</c:v>
                </c:pt>
                <c:pt idx="88">
                  <c:v>0.30599999999999999</c:v>
                </c:pt>
                <c:pt idx="89">
                  <c:v>0.30599999999999999</c:v>
                </c:pt>
                <c:pt idx="90">
                  <c:v>0.308</c:v>
                </c:pt>
                <c:pt idx="91">
                  <c:v>0.31</c:v>
                </c:pt>
                <c:pt idx="92">
                  <c:v>0.30399999999999999</c:v>
                </c:pt>
                <c:pt idx="93">
                  <c:v>0.29699999999999999</c:v>
                </c:pt>
                <c:pt idx="94">
                  <c:v>0.29499999999999998</c:v>
                </c:pt>
                <c:pt idx="95">
                  <c:v>0.29599999999999999</c:v>
                </c:pt>
                <c:pt idx="96">
                  <c:v>0.29299999999999998</c:v>
                </c:pt>
                <c:pt idx="97">
                  <c:v>0.28599999999999998</c:v>
                </c:pt>
                <c:pt idx="98">
                  <c:v>0.28699999999999998</c:v>
                </c:pt>
                <c:pt idx="99">
                  <c:v>0.30199999999999999</c:v>
                </c:pt>
                <c:pt idx="100">
                  <c:v>0.30099999999999999</c:v>
                </c:pt>
                <c:pt idx="101">
                  <c:v>0.29699999999999999</c:v>
                </c:pt>
                <c:pt idx="102">
                  <c:v>0.29199999999999998</c:v>
                </c:pt>
                <c:pt idx="103">
                  <c:v>0.28699999999999998</c:v>
                </c:pt>
                <c:pt idx="104">
                  <c:v>0.28199999999999997</c:v>
                </c:pt>
                <c:pt idx="105">
                  <c:v>0.27800000000000002</c:v>
                </c:pt>
                <c:pt idx="106">
                  <c:v>0.26700000000000002</c:v>
                </c:pt>
                <c:pt idx="107">
                  <c:v>0.25800000000000001</c:v>
                </c:pt>
                <c:pt idx="108">
                  <c:v>0.26900000000000002</c:v>
                </c:pt>
                <c:pt idx="109">
                  <c:v>0.27600000000000002</c:v>
                </c:pt>
                <c:pt idx="110">
                  <c:v>0.26100000000000001</c:v>
                </c:pt>
                <c:pt idx="111">
                  <c:v>0.24399999999999999</c:v>
                </c:pt>
                <c:pt idx="112">
                  <c:v>0.23200000000000001</c:v>
                </c:pt>
                <c:pt idx="113">
                  <c:v>0.22800000000000001</c:v>
                </c:pt>
                <c:pt idx="114">
                  <c:v>0.216</c:v>
                </c:pt>
                <c:pt idx="115">
                  <c:v>0.20799999999999999</c:v>
                </c:pt>
                <c:pt idx="116">
                  <c:v>0.20200000000000001</c:v>
                </c:pt>
                <c:pt idx="117">
                  <c:v>0.20699999999999999</c:v>
                </c:pt>
                <c:pt idx="118">
                  <c:v>0.224</c:v>
                </c:pt>
                <c:pt idx="119">
                  <c:v>0.25</c:v>
                </c:pt>
                <c:pt idx="120">
                  <c:v>0.254</c:v>
                </c:pt>
                <c:pt idx="121">
                  <c:v>0.26200000000000001</c:v>
                </c:pt>
                <c:pt idx="122">
                  <c:v>0.26800000000000002</c:v>
                </c:pt>
                <c:pt idx="123">
                  <c:v>0.27</c:v>
                </c:pt>
                <c:pt idx="124">
                  <c:v>0.28499999999999998</c:v>
                </c:pt>
                <c:pt idx="125">
                  <c:v>0.28499999999999998</c:v>
                </c:pt>
                <c:pt idx="126">
                  <c:v>0.27400000000000002</c:v>
                </c:pt>
                <c:pt idx="127">
                  <c:v>0.29899999999999999</c:v>
                </c:pt>
                <c:pt idx="128">
                  <c:v>0.33100000000000002</c:v>
                </c:pt>
                <c:pt idx="129">
                  <c:v>1.161</c:v>
                </c:pt>
                <c:pt idx="130">
                  <c:v>0.53300000000000003</c:v>
                </c:pt>
                <c:pt idx="131">
                  <c:v>0.50800000000000001</c:v>
                </c:pt>
                <c:pt idx="132">
                  <c:v>0.45</c:v>
                </c:pt>
                <c:pt idx="133">
                  <c:v>0.39400000000000002</c:v>
                </c:pt>
                <c:pt idx="134">
                  <c:v>0.47499999999999998</c:v>
                </c:pt>
                <c:pt idx="135">
                  <c:v>0.45100000000000001</c:v>
                </c:pt>
                <c:pt idx="136">
                  <c:v>0.40799999999999997</c:v>
                </c:pt>
                <c:pt idx="137">
                  <c:v>0.36799999999999999</c:v>
                </c:pt>
                <c:pt idx="138">
                  <c:v>0.31</c:v>
                </c:pt>
                <c:pt idx="139">
                  <c:v>0.26300000000000001</c:v>
                </c:pt>
                <c:pt idx="140">
                  <c:v>0.25600000000000001</c:v>
                </c:pt>
                <c:pt idx="141">
                  <c:v>0.38200000000000001</c:v>
                </c:pt>
                <c:pt idx="142">
                  <c:v>0.42899999999999999</c:v>
                </c:pt>
                <c:pt idx="143">
                  <c:v>0.378</c:v>
                </c:pt>
                <c:pt idx="144">
                  <c:v>0.33600000000000002</c:v>
                </c:pt>
                <c:pt idx="145">
                  <c:v>0.31</c:v>
                </c:pt>
                <c:pt idx="146">
                  <c:v>0.29499999999999998</c:v>
                </c:pt>
                <c:pt idx="147">
                  <c:v>0.28000000000000003</c:v>
                </c:pt>
                <c:pt idx="148">
                  <c:v>0.27200000000000002</c:v>
                </c:pt>
                <c:pt idx="149">
                  <c:v>0.26400000000000001</c:v>
                </c:pt>
                <c:pt idx="150">
                  <c:v>0.255</c:v>
                </c:pt>
                <c:pt idx="151">
                  <c:v>0.245</c:v>
                </c:pt>
                <c:pt idx="152">
                  <c:v>0.23799999999999999</c:v>
                </c:pt>
                <c:pt idx="153">
                  <c:v>0.23100000000000001</c:v>
                </c:pt>
                <c:pt idx="154">
                  <c:v>0.23300000000000001</c:v>
                </c:pt>
                <c:pt idx="155">
                  <c:v>0.249</c:v>
                </c:pt>
                <c:pt idx="156">
                  <c:v>0.246</c:v>
                </c:pt>
                <c:pt idx="157">
                  <c:v>0.23200000000000001</c:v>
                </c:pt>
                <c:pt idx="158">
                  <c:v>0.217</c:v>
                </c:pt>
                <c:pt idx="159">
                  <c:v>0.20799999999999999</c:v>
                </c:pt>
                <c:pt idx="160">
                  <c:v>0.312</c:v>
                </c:pt>
                <c:pt idx="161">
                  <c:v>0.309</c:v>
                </c:pt>
                <c:pt idx="162">
                  <c:v>0.29099999999999998</c:v>
                </c:pt>
                <c:pt idx="163">
                  <c:v>0.26400000000000001</c:v>
                </c:pt>
                <c:pt idx="164">
                  <c:v>0.23400000000000001</c:v>
                </c:pt>
                <c:pt idx="165">
                  <c:v>0.29099999999999998</c:v>
                </c:pt>
                <c:pt idx="166">
                  <c:v>0.32300000000000001</c:v>
                </c:pt>
                <c:pt idx="167">
                  <c:v>0.29699999999999999</c:v>
                </c:pt>
                <c:pt idx="168">
                  <c:v>0.25800000000000001</c:v>
                </c:pt>
                <c:pt idx="169">
                  <c:v>0.28299999999999997</c:v>
                </c:pt>
                <c:pt idx="170">
                  <c:v>0.27300000000000002</c:v>
                </c:pt>
                <c:pt idx="171">
                  <c:v>0.30299999999999999</c:v>
                </c:pt>
                <c:pt idx="172">
                  <c:v>0.312</c:v>
                </c:pt>
                <c:pt idx="173">
                  <c:v>0.249</c:v>
                </c:pt>
                <c:pt idx="174">
                  <c:v>0.221</c:v>
                </c:pt>
                <c:pt idx="175">
                  <c:v>0.251</c:v>
                </c:pt>
                <c:pt idx="176">
                  <c:v>0.26400000000000001</c:v>
                </c:pt>
                <c:pt idx="177">
                  <c:v>0.26800000000000002</c:v>
                </c:pt>
                <c:pt idx="178">
                  <c:v>0.30399999999999999</c:v>
                </c:pt>
                <c:pt idx="179">
                  <c:v>0.30499999999999999</c:v>
                </c:pt>
                <c:pt idx="180">
                  <c:v>0.3</c:v>
                </c:pt>
                <c:pt idx="181">
                  <c:v>0.307</c:v>
                </c:pt>
                <c:pt idx="182">
                  <c:v>0.379</c:v>
                </c:pt>
                <c:pt idx="183">
                  <c:v>0.377</c:v>
                </c:pt>
                <c:pt idx="184">
                  <c:v>0.34899999999999998</c:v>
                </c:pt>
                <c:pt idx="185">
                  <c:v>0.33400000000000002</c:v>
                </c:pt>
                <c:pt idx="186">
                  <c:v>0.37</c:v>
                </c:pt>
                <c:pt idx="187">
                  <c:v>0.38200000000000001</c:v>
                </c:pt>
                <c:pt idx="188">
                  <c:v>0.32200000000000001</c:v>
                </c:pt>
                <c:pt idx="189">
                  <c:v>0.40300000000000002</c:v>
                </c:pt>
                <c:pt idx="190">
                  <c:v>1.3</c:v>
                </c:pt>
                <c:pt idx="191">
                  <c:v>0.76200000000000001</c:v>
                </c:pt>
                <c:pt idx="192">
                  <c:v>0.48899999999999999</c:v>
                </c:pt>
                <c:pt idx="193">
                  <c:v>0.443</c:v>
                </c:pt>
                <c:pt idx="194">
                  <c:v>0.48499999999999999</c:v>
                </c:pt>
                <c:pt idx="195">
                  <c:v>0.47799999999999998</c:v>
                </c:pt>
                <c:pt idx="196">
                  <c:v>0.40500000000000003</c:v>
                </c:pt>
                <c:pt idx="197">
                  <c:v>0.39300000000000002</c:v>
                </c:pt>
                <c:pt idx="198">
                  <c:v>0.314</c:v>
                </c:pt>
                <c:pt idx="199">
                  <c:v>0.35099999999999998</c:v>
                </c:pt>
                <c:pt idx="200">
                  <c:v>0.372</c:v>
                </c:pt>
                <c:pt idx="201">
                  <c:v>0.32</c:v>
                </c:pt>
                <c:pt idx="202">
                  <c:v>0.28799999999999998</c:v>
                </c:pt>
                <c:pt idx="203">
                  <c:v>0.33200000000000002</c:v>
                </c:pt>
                <c:pt idx="204">
                  <c:v>0.32400000000000001</c:v>
                </c:pt>
                <c:pt idx="205">
                  <c:v>0.31</c:v>
                </c:pt>
                <c:pt idx="206">
                  <c:v>0.36299999999999999</c:v>
                </c:pt>
                <c:pt idx="207">
                  <c:v>0.33500000000000002</c:v>
                </c:pt>
                <c:pt idx="208">
                  <c:v>0.20399999999999999</c:v>
                </c:pt>
                <c:pt idx="209">
                  <c:v>0.13400000000000001</c:v>
                </c:pt>
                <c:pt idx="210">
                  <c:v>0.108</c:v>
                </c:pt>
                <c:pt idx="211">
                  <c:v>0.14000000000000001</c:v>
                </c:pt>
                <c:pt idx="212">
                  <c:v>0.129</c:v>
                </c:pt>
                <c:pt idx="213">
                  <c:v>0.113</c:v>
                </c:pt>
                <c:pt idx="214">
                  <c:v>0.217</c:v>
                </c:pt>
                <c:pt idx="215">
                  <c:v>0.44400000000000001</c:v>
                </c:pt>
                <c:pt idx="216">
                  <c:v>0.38600000000000001</c:v>
                </c:pt>
                <c:pt idx="217">
                  <c:v>0.35299999999999998</c:v>
                </c:pt>
                <c:pt idx="218">
                  <c:v>0.35</c:v>
                </c:pt>
                <c:pt idx="219">
                  <c:v>0.34200000000000003</c:v>
                </c:pt>
                <c:pt idx="220">
                  <c:v>0.49</c:v>
                </c:pt>
                <c:pt idx="221">
                  <c:v>0.441</c:v>
                </c:pt>
                <c:pt idx="222">
                  <c:v>0.35299999999999998</c:v>
                </c:pt>
                <c:pt idx="223">
                  <c:v>0.46100000000000002</c:v>
                </c:pt>
                <c:pt idx="224">
                  <c:v>0.44500000000000001</c:v>
                </c:pt>
                <c:pt idx="225">
                  <c:v>0.439</c:v>
                </c:pt>
                <c:pt idx="226">
                  <c:v>0.34699999999999998</c:v>
                </c:pt>
                <c:pt idx="227">
                  <c:v>0.28899999999999998</c:v>
                </c:pt>
                <c:pt idx="228">
                  <c:v>0.26500000000000001</c:v>
                </c:pt>
                <c:pt idx="229">
                  <c:v>0.23499999999999999</c:v>
                </c:pt>
                <c:pt idx="230">
                  <c:v>0.217</c:v>
                </c:pt>
                <c:pt idx="231">
                  <c:v>0.26400000000000001</c:v>
                </c:pt>
                <c:pt idx="232">
                  <c:v>0.316</c:v>
                </c:pt>
                <c:pt idx="233">
                  <c:v>0.311</c:v>
                </c:pt>
                <c:pt idx="234">
                  <c:v>0.29599999999999999</c:v>
                </c:pt>
                <c:pt idx="235">
                  <c:v>0.26200000000000001</c:v>
                </c:pt>
                <c:pt idx="236">
                  <c:v>0.23599999999999999</c:v>
                </c:pt>
                <c:pt idx="237">
                  <c:v>0.21199999999999999</c:v>
                </c:pt>
                <c:pt idx="238">
                  <c:v>0.19400000000000001</c:v>
                </c:pt>
                <c:pt idx="239">
                  <c:v>0.18</c:v>
                </c:pt>
                <c:pt idx="240">
                  <c:v>0.17</c:v>
                </c:pt>
                <c:pt idx="241">
                  <c:v>0.20200000000000001</c:v>
                </c:pt>
                <c:pt idx="242">
                  <c:v>0.253</c:v>
                </c:pt>
                <c:pt idx="243">
                  <c:v>0.22900000000000001</c:v>
                </c:pt>
                <c:pt idx="244">
                  <c:v>0.22900000000000001</c:v>
                </c:pt>
                <c:pt idx="245">
                  <c:v>0.21199999999999999</c:v>
                </c:pt>
                <c:pt idx="246">
                  <c:v>0.23799999999999999</c:v>
                </c:pt>
                <c:pt idx="247">
                  <c:v>0.26600000000000001</c:v>
                </c:pt>
                <c:pt idx="248">
                  <c:v>0.247</c:v>
                </c:pt>
                <c:pt idx="249">
                  <c:v>0.22700000000000001</c:v>
                </c:pt>
                <c:pt idx="250">
                  <c:v>0.20899999999999999</c:v>
                </c:pt>
                <c:pt idx="251">
                  <c:v>0.193</c:v>
                </c:pt>
                <c:pt idx="252">
                  <c:v>0.17899999999999999</c:v>
                </c:pt>
                <c:pt idx="253">
                  <c:v>0.16900000000000001</c:v>
                </c:pt>
                <c:pt idx="254">
                  <c:v>0.158</c:v>
                </c:pt>
                <c:pt idx="255">
                  <c:v>0.14899999999999999</c:v>
                </c:pt>
                <c:pt idx="256">
                  <c:v>0.14099999999999999</c:v>
                </c:pt>
                <c:pt idx="257">
                  <c:v>0.13200000000000001</c:v>
                </c:pt>
                <c:pt idx="258">
                  <c:v>0.124</c:v>
                </c:pt>
                <c:pt idx="259">
                  <c:v>0.113</c:v>
                </c:pt>
                <c:pt idx="260">
                  <c:v>0.1</c:v>
                </c:pt>
                <c:pt idx="261">
                  <c:v>0.08</c:v>
                </c:pt>
                <c:pt idx="262">
                  <c:v>5.8999999999999997E-2</c:v>
                </c:pt>
                <c:pt idx="263">
                  <c:v>3.7999999999999999E-2</c:v>
                </c:pt>
                <c:pt idx="264">
                  <c:v>2.9000000000000001E-2</c:v>
                </c:pt>
                <c:pt idx="265">
                  <c:v>2.9000000000000001E-2</c:v>
                </c:pt>
                <c:pt idx="266">
                  <c:v>2.9000000000000001E-2</c:v>
                </c:pt>
                <c:pt idx="267">
                  <c:v>2.9000000000000001E-2</c:v>
                </c:pt>
                <c:pt idx="268">
                  <c:v>2.9000000000000001E-2</c:v>
                </c:pt>
                <c:pt idx="269">
                  <c:v>2.9000000000000001E-2</c:v>
                </c:pt>
                <c:pt idx="270">
                  <c:v>2.9000000000000001E-2</c:v>
                </c:pt>
                <c:pt idx="271">
                  <c:v>2.9000000000000001E-2</c:v>
                </c:pt>
                <c:pt idx="272">
                  <c:v>2.9000000000000001E-2</c:v>
                </c:pt>
                <c:pt idx="273">
                  <c:v>2.9000000000000001E-2</c:v>
                </c:pt>
                <c:pt idx="274">
                  <c:v>2.9000000000000001E-2</c:v>
                </c:pt>
                <c:pt idx="275">
                  <c:v>2.9000000000000001E-2</c:v>
                </c:pt>
                <c:pt idx="276">
                  <c:v>2.9000000000000001E-2</c:v>
                </c:pt>
                <c:pt idx="277">
                  <c:v>2.9000000000000001E-2</c:v>
                </c:pt>
                <c:pt idx="278">
                  <c:v>2.9000000000000001E-2</c:v>
                </c:pt>
                <c:pt idx="279">
                  <c:v>2.9000000000000001E-2</c:v>
                </c:pt>
                <c:pt idx="280">
                  <c:v>2.9000000000000001E-2</c:v>
                </c:pt>
                <c:pt idx="281">
                  <c:v>2.9000000000000001E-2</c:v>
                </c:pt>
                <c:pt idx="282">
                  <c:v>2.9000000000000001E-2</c:v>
                </c:pt>
                <c:pt idx="283">
                  <c:v>2.9000000000000001E-2</c:v>
                </c:pt>
                <c:pt idx="284">
                  <c:v>2.9000000000000001E-2</c:v>
                </c:pt>
                <c:pt idx="285">
                  <c:v>2.9000000000000001E-2</c:v>
                </c:pt>
                <c:pt idx="286">
                  <c:v>2.9000000000000001E-2</c:v>
                </c:pt>
                <c:pt idx="287">
                  <c:v>2.9000000000000001E-2</c:v>
                </c:pt>
                <c:pt idx="288">
                  <c:v>2.9000000000000001E-2</c:v>
                </c:pt>
                <c:pt idx="289">
                  <c:v>2.9000000000000001E-2</c:v>
                </c:pt>
                <c:pt idx="290">
                  <c:v>2.9000000000000001E-2</c:v>
                </c:pt>
                <c:pt idx="291">
                  <c:v>2.9000000000000001E-2</c:v>
                </c:pt>
                <c:pt idx="292">
                  <c:v>2.9000000000000001E-2</c:v>
                </c:pt>
                <c:pt idx="293">
                  <c:v>2.9000000000000001E-2</c:v>
                </c:pt>
                <c:pt idx="294">
                  <c:v>2.9000000000000001E-2</c:v>
                </c:pt>
                <c:pt idx="295">
                  <c:v>2.9000000000000001E-2</c:v>
                </c:pt>
                <c:pt idx="296">
                  <c:v>2.9000000000000001E-2</c:v>
                </c:pt>
                <c:pt idx="297">
                  <c:v>2.9000000000000001E-2</c:v>
                </c:pt>
                <c:pt idx="298">
                  <c:v>2.9000000000000001E-2</c:v>
                </c:pt>
                <c:pt idx="299">
                  <c:v>2.9000000000000001E-2</c:v>
                </c:pt>
                <c:pt idx="300">
                  <c:v>2.9000000000000001E-2</c:v>
                </c:pt>
                <c:pt idx="301">
                  <c:v>2.9000000000000001E-2</c:v>
                </c:pt>
                <c:pt idx="302">
                  <c:v>2.9000000000000001E-2</c:v>
                </c:pt>
                <c:pt idx="303">
                  <c:v>2.9000000000000001E-2</c:v>
                </c:pt>
                <c:pt idx="304">
                  <c:v>2.9000000000000001E-2</c:v>
                </c:pt>
                <c:pt idx="305">
                  <c:v>2.9000000000000001E-2</c:v>
                </c:pt>
                <c:pt idx="306">
                  <c:v>0.27</c:v>
                </c:pt>
                <c:pt idx="307">
                  <c:v>0.29199999999999998</c:v>
                </c:pt>
                <c:pt idx="308">
                  <c:v>0.33400000000000002</c:v>
                </c:pt>
                <c:pt idx="309">
                  <c:v>0.34699999999999998</c:v>
                </c:pt>
                <c:pt idx="310">
                  <c:v>0.33300000000000002</c:v>
                </c:pt>
                <c:pt idx="311">
                  <c:v>0.32200000000000001</c:v>
                </c:pt>
                <c:pt idx="312">
                  <c:v>0.317</c:v>
                </c:pt>
                <c:pt idx="313">
                  <c:v>0.312</c:v>
                </c:pt>
                <c:pt idx="314">
                  <c:v>0.31900000000000001</c:v>
                </c:pt>
                <c:pt idx="315">
                  <c:v>0.32300000000000001</c:v>
                </c:pt>
                <c:pt idx="316">
                  <c:v>0.312</c:v>
                </c:pt>
                <c:pt idx="317">
                  <c:v>0.29899999999999999</c:v>
                </c:pt>
                <c:pt idx="318">
                  <c:v>0.29399999999999998</c:v>
                </c:pt>
                <c:pt idx="319">
                  <c:v>0.29099999999999998</c:v>
                </c:pt>
                <c:pt idx="320">
                  <c:v>0.28899999999999998</c:v>
                </c:pt>
                <c:pt idx="321">
                  <c:v>0.316</c:v>
                </c:pt>
                <c:pt idx="322">
                  <c:v>0.32700000000000001</c:v>
                </c:pt>
                <c:pt idx="323">
                  <c:v>0.33</c:v>
                </c:pt>
                <c:pt idx="324">
                  <c:v>0.33700000000000002</c:v>
                </c:pt>
                <c:pt idx="325">
                  <c:v>0.33600000000000002</c:v>
                </c:pt>
                <c:pt idx="326">
                  <c:v>0.33</c:v>
                </c:pt>
                <c:pt idx="327">
                  <c:v>0.32700000000000001</c:v>
                </c:pt>
                <c:pt idx="328">
                  <c:v>0.32300000000000001</c:v>
                </c:pt>
                <c:pt idx="329">
                  <c:v>0.317</c:v>
                </c:pt>
                <c:pt idx="330">
                  <c:v>0.29199999999999998</c:v>
                </c:pt>
                <c:pt idx="331">
                  <c:v>0.25800000000000001</c:v>
                </c:pt>
                <c:pt idx="332">
                  <c:v>0.23100000000000001</c:v>
                </c:pt>
                <c:pt idx="333">
                  <c:v>0.20899999999999999</c:v>
                </c:pt>
                <c:pt idx="334">
                  <c:v>0.19400000000000001</c:v>
                </c:pt>
                <c:pt idx="335">
                  <c:v>0.182</c:v>
                </c:pt>
                <c:pt idx="336">
                  <c:v>0.17199999999999999</c:v>
                </c:pt>
                <c:pt idx="337">
                  <c:v>0.16500000000000001</c:v>
                </c:pt>
                <c:pt idx="338">
                  <c:v>0.161</c:v>
                </c:pt>
                <c:pt idx="339">
                  <c:v>0.187</c:v>
                </c:pt>
                <c:pt idx="340">
                  <c:v>0.245</c:v>
                </c:pt>
                <c:pt idx="341">
                  <c:v>0.27500000000000002</c:v>
                </c:pt>
                <c:pt idx="342">
                  <c:v>0.249</c:v>
                </c:pt>
                <c:pt idx="343">
                  <c:v>0.22800000000000001</c:v>
                </c:pt>
                <c:pt idx="344">
                  <c:v>0.22</c:v>
                </c:pt>
                <c:pt idx="345">
                  <c:v>0.22900000000000001</c:v>
                </c:pt>
                <c:pt idx="346">
                  <c:v>0.25600000000000001</c:v>
                </c:pt>
                <c:pt idx="347">
                  <c:v>0.28000000000000003</c:v>
                </c:pt>
                <c:pt idx="348">
                  <c:v>0.29499999999999998</c:v>
                </c:pt>
                <c:pt idx="349">
                  <c:v>0.29899999999999999</c:v>
                </c:pt>
                <c:pt idx="350">
                  <c:v>0.29699999999999999</c:v>
                </c:pt>
                <c:pt idx="351">
                  <c:v>0.28599999999999998</c:v>
                </c:pt>
                <c:pt idx="352">
                  <c:v>0.27900000000000003</c:v>
                </c:pt>
                <c:pt idx="353">
                  <c:v>0.27100000000000002</c:v>
                </c:pt>
                <c:pt idx="354">
                  <c:v>0.26600000000000001</c:v>
                </c:pt>
                <c:pt idx="355">
                  <c:v>0.253</c:v>
                </c:pt>
                <c:pt idx="356">
                  <c:v>0.23899999999999999</c:v>
                </c:pt>
                <c:pt idx="357">
                  <c:v>0.22800000000000001</c:v>
                </c:pt>
                <c:pt idx="358">
                  <c:v>0.23699999999999999</c:v>
                </c:pt>
                <c:pt idx="359">
                  <c:v>0.46400000000000002</c:v>
                </c:pt>
                <c:pt idx="360">
                  <c:v>0.74299999999999999</c:v>
                </c:pt>
                <c:pt idx="361">
                  <c:v>0.71299999999999997</c:v>
                </c:pt>
                <c:pt idx="362">
                  <c:v>0.54100000000000004</c:v>
                </c:pt>
                <c:pt idx="363">
                  <c:v>0.55300000000000005</c:v>
                </c:pt>
                <c:pt idx="364">
                  <c:v>0.51500000000000001</c:v>
                </c:pt>
                <c:pt idx="365">
                  <c:v>0.50600000000000001</c:v>
                </c:pt>
              </c:numCache>
            </c:numRef>
          </c:val>
          <c:smooth val="0"/>
          <c:extLst xmlns:c16r2="http://schemas.microsoft.com/office/drawing/2015/06/chart">
            <c:ext xmlns:c16="http://schemas.microsoft.com/office/drawing/2014/chart" uri="{C3380CC4-5D6E-409C-BE32-E72D297353CC}">
              <c16:uniqueId val="{00000002-6B83-4F32-895E-FF7105E1F411}"/>
            </c:ext>
          </c:extLst>
        </c:ser>
        <c:ser>
          <c:idx val="3"/>
          <c:order val="2"/>
          <c:tx>
            <c:strRef>
              <c:f>flows!$O$1</c:f>
              <c:strCache>
                <c:ptCount val="1"/>
                <c:pt idx="0">
                  <c:v>418079 - Gingham @ Gingham Bridge</c:v>
                </c:pt>
              </c:strCache>
            </c:strRef>
          </c:tx>
          <c:spPr>
            <a:ln w="28575" cap="rnd">
              <a:solidFill>
                <a:schemeClr val="accent1"/>
              </a:solidFill>
              <a:round/>
            </a:ln>
            <a:effectLst/>
          </c:spPr>
          <c:marker>
            <c:symbol val="none"/>
          </c:marker>
          <c:cat>
            <c:numRef>
              <c:f>flows!$A$5:$A$370</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flows!$O$5:$O$370</c:f>
              <c:numCache>
                <c:formatCode>General</c:formatCode>
                <c:ptCount val="366"/>
                <c:pt idx="0">
                  <c:v>0.50700000000000001</c:v>
                </c:pt>
                <c:pt idx="1">
                  <c:v>0.58199999999999996</c:v>
                </c:pt>
                <c:pt idx="2">
                  <c:v>0.63200000000000001</c:v>
                </c:pt>
                <c:pt idx="3">
                  <c:v>0.64800000000000002</c:v>
                </c:pt>
                <c:pt idx="4">
                  <c:v>0.63400000000000001</c:v>
                </c:pt>
                <c:pt idx="5">
                  <c:v>0.61199999999999999</c:v>
                </c:pt>
                <c:pt idx="6">
                  <c:v>0.58799999999999997</c:v>
                </c:pt>
                <c:pt idx="7">
                  <c:v>0.56499999999999995</c:v>
                </c:pt>
                <c:pt idx="8">
                  <c:v>0.54400000000000004</c:v>
                </c:pt>
                <c:pt idx="9">
                  <c:v>0.53100000000000003</c:v>
                </c:pt>
                <c:pt idx="10">
                  <c:v>0.54300000000000004</c:v>
                </c:pt>
                <c:pt idx="11">
                  <c:v>0.55000000000000004</c:v>
                </c:pt>
                <c:pt idx="12">
                  <c:v>0.53100000000000003</c:v>
                </c:pt>
                <c:pt idx="13">
                  <c:v>0.51600000000000001</c:v>
                </c:pt>
                <c:pt idx="14">
                  <c:v>0.503</c:v>
                </c:pt>
                <c:pt idx="15">
                  <c:v>0.495</c:v>
                </c:pt>
                <c:pt idx="16">
                  <c:v>0.48299999999999998</c:v>
                </c:pt>
                <c:pt idx="17">
                  <c:v>0.46899999999999997</c:v>
                </c:pt>
                <c:pt idx="18">
                  <c:v>0.45500000000000002</c:v>
                </c:pt>
                <c:pt idx="19">
                  <c:v>0.442</c:v>
                </c:pt>
                <c:pt idx="20">
                  <c:v>0.43</c:v>
                </c:pt>
                <c:pt idx="21">
                  <c:v>0.41599999999999998</c:v>
                </c:pt>
                <c:pt idx="22">
                  <c:v>0.41499999999999998</c:v>
                </c:pt>
                <c:pt idx="23">
                  <c:v>0.42</c:v>
                </c:pt>
                <c:pt idx="24">
                  <c:v>0.441</c:v>
                </c:pt>
                <c:pt idx="25">
                  <c:v>0.436</c:v>
                </c:pt>
                <c:pt idx="26">
                  <c:v>0.42799999999999999</c:v>
                </c:pt>
                <c:pt idx="27">
                  <c:v>0.41899999999999998</c:v>
                </c:pt>
                <c:pt idx="28">
                  <c:v>0.41499999999999998</c:v>
                </c:pt>
                <c:pt idx="29">
                  <c:v>0.41399999999999998</c:v>
                </c:pt>
                <c:pt idx="30">
                  <c:v>0.41</c:v>
                </c:pt>
                <c:pt idx="31">
                  <c:v>0.40400000000000003</c:v>
                </c:pt>
                <c:pt idx="32">
                  <c:v>0.39500000000000002</c:v>
                </c:pt>
                <c:pt idx="33">
                  <c:v>0.38300000000000001</c:v>
                </c:pt>
                <c:pt idx="34">
                  <c:v>0.376</c:v>
                </c:pt>
                <c:pt idx="35">
                  <c:v>0.47699999999999998</c:v>
                </c:pt>
                <c:pt idx="36">
                  <c:v>0.57599999999999996</c:v>
                </c:pt>
                <c:pt idx="37">
                  <c:v>0.60499999999999998</c:v>
                </c:pt>
                <c:pt idx="38">
                  <c:v>0.61699999999999999</c:v>
                </c:pt>
                <c:pt idx="39">
                  <c:v>0.622</c:v>
                </c:pt>
                <c:pt idx="40">
                  <c:v>0.621</c:v>
                </c:pt>
                <c:pt idx="41">
                  <c:v>0.61599999999999999</c:v>
                </c:pt>
                <c:pt idx="42">
                  <c:v>0.60599999999999998</c:v>
                </c:pt>
                <c:pt idx="43">
                  <c:v>0.58499999999999996</c:v>
                </c:pt>
                <c:pt idx="44">
                  <c:v>0.56799999999999995</c:v>
                </c:pt>
                <c:pt idx="45">
                  <c:v>0.55100000000000005</c:v>
                </c:pt>
                <c:pt idx="46">
                  <c:v>0.53400000000000003</c:v>
                </c:pt>
                <c:pt idx="47">
                  <c:v>0.51800000000000002</c:v>
                </c:pt>
                <c:pt idx="48">
                  <c:v>0.503</c:v>
                </c:pt>
                <c:pt idx="49">
                  <c:v>0.49</c:v>
                </c:pt>
                <c:pt idx="50">
                  <c:v>0.47799999999999998</c:v>
                </c:pt>
                <c:pt idx="51">
                  <c:v>0.46800000000000003</c:v>
                </c:pt>
                <c:pt idx="52">
                  <c:v>0.46100000000000002</c:v>
                </c:pt>
                <c:pt idx="53">
                  <c:v>0.45300000000000001</c:v>
                </c:pt>
                <c:pt idx="54">
                  <c:v>0.44700000000000001</c:v>
                </c:pt>
                <c:pt idx="55">
                  <c:v>0.442</c:v>
                </c:pt>
                <c:pt idx="56">
                  <c:v>0.43099999999999999</c:v>
                </c:pt>
                <c:pt idx="57">
                  <c:v>0.43</c:v>
                </c:pt>
                <c:pt idx="58">
                  <c:v>0.439</c:v>
                </c:pt>
                <c:pt idx="59">
                  <c:v>0.432</c:v>
                </c:pt>
                <c:pt idx="60">
                  <c:v>0.42399999999999999</c:v>
                </c:pt>
                <c:pt idx="61">
                  <c:v>0.41299999999999998</c:v>
                </c:pt>
                <c:pt idx="62">
                  <c:v>0.40400000000000003</c:v>
                </c:pt>
                <c:pt idx="63">
                  <c:v>0.39400000000000002</c:v>
                </c:pt>
                <c:pt idx="64">
                  <c:v>0.38800000000000001</c:v>
                </c:pt>
                <c:pt idx="65">
                  <c:v>0.38300000000000001</c:v>
                </c:pt>
                <c:pt idx="66">
                  <c:v>0.39100000000000001</c:v>
                </c:pt>
                <c:pt idx="67">
                  <c:v>0.47099999999999997</c:v>
                </c:pt>
                <c:pt idx="68">
                  <c:v>0.53600000000000003</c:v>
                </c:pt>
                <c:pt idx="69">
                  <c:v>0.57699999999999996</c:v>
                </c:pt>
                <c:pt idx="70">
                  <c:v>0.61</c:v>
                </c:pt>
                <c:pt idx="71">
                  <c:v>0.63800000000000001</c:v>
                </c:pt>
                <c:pt idx="72">
                  <c:v>0.65300000000000002</c:v>
                </c:pt>
                <c:pt idx="73">
                  <c:v>0.65800000000000003</c:v>
                </c:pt>
                <c:pt idx="74">
                  <c:v>0.65800000000000003</c:v>
                </c:pt>
                <c:pt idx="75">
                  <c:v>0.65500000000000003</c:v>
                </c:pt>
                <c:pt idx="76">
                  <c:v>0.64600000000000002</c:v>
                </c:pt>
                <c:pt idx="77">
                  <c:v>0.63500000000000001</c:v>
                </c:pt>
                <c:pt idx="78">
                  <c:v>0.622</c:v>
                </c:pt>
                <c:pt idx="79">
                  <c:v>0.60399999999999998</c:v>
                </c:pt>
                <c:pt idx="80">
                  <c:v>0.59399999999999997</c:v>
                </c:pt>
                <c:pt idx="81">
                  <c:v>0.58499999999999996</c:v>
                </c:pt>
                <c:pt idx="82">
                  <c:v>0.57499999999999996</c:v>
                </c:pt>
                <c:pt idx="83">
                  <c:v>0.56000000000000005</c:v>
                </c:pt>
                <c:pt idx="84">
                  <c:v>0.53800000000000003</c:v>
                </c:pt>
                <c:pt idx="85">
                  <c:v>0.51900000000000002</c:v>
                </c:pt>
                <c:pt idx="86">
                  <c:v>0.504</c:v>
                </c:pt>
                <c:pt idx="87">
                  <c:v>0.48899999999999999</c:v>
                </c:pt>
                <c:pt idx="88">
                  <c:v>0.47199999999999998</c:v>
                </c:pt>
                <c:pt idx="89">
                  <c:v>0.45400000000000001</c:v>
                </c:pt>
                <c:pt idx="90">
                  <c:v>0.434</c:v>
                </c:pt>
                <c:pt idx="91">
                  <c:v>0.41699999999999998</c:v>
                </c:pt>
                <c:pt idx="92">
                  <c:v>0.40100000000000002</c:v>
                </c:pt>
                <c:pt idx="93">
                  <c:v>0.38100000000000001</c:v>
                </c:pt>
                <c:pt idx="94">
                  <c:v>0.35599999999999998</c:v>
                </c:pt>
                <c:pt idx="95">
                  <c:v>0.32900000000000001</c:v>
                </c:pt>
                <c:pt idx="96">
                  <c:v>0.30299999999999999</c:v>
                </c:pt>
                <c:pt idx="97">
                  <c:v>0.27900000000000003</c:v>
                </c:pt>
                <c:pt idx="98">
                  <c:v>0.25800000000000001</c:v>
                </c:pt>
                <c:pt idx="99">
                  <c:v>0.245</c:v>
                </c:pt>
                <c:pt idx="100">
                  <c:v>0.23400000000000001</c:v>
                </c:pt>
                <c:pt idx="101">
                  <c:v>0.223</c:v>
                </c:pt>
                <c:pt idx="102">
                  <c:v>0.21199999999999999</c:v>
                </c:pt>
                <c:pt idx="103">
                  <c:v>0.20399999999999999</c:v>
                </c:pt>
                <c:pt idx="104">
                  <c:v>0.19900000000000001</c:v>
                </c:pt>
                <c:pt idx="105">
                  <c:v>0.20100000000000001</c:v>
                </c:pt>
                <c:pt idx="106">
                  <c:v>0.20499999999999999</c:v>
                </c:pt>
                <c:pt idx="107">
                  <c:v>0.19600000000000001</c:v>
                </c:pt>
                <c:pt idx="108">
                  <c:v>0.186</c:v>
                </c:pt>
                <c:pt idx="109">
                  <c:v>0.17299999999999999</c:v>
                </c:pt>
                <c:pt idx="110">
                  <c:v>0.159</c:v>
                </c:pt>
                <c:pt idx="111">
                  <c:v>0.13700000000000001</c:v>
                </c:pt>
                <c:pt idx="112">
                  <c:v>0.10199999999999999</c:v>
                </c:pt>
                <c:pt idx="113">
                  <c:v>7.6999999999999999E-2</c:v>
                </c:pt>
                <c:pt idx="114">
                  <c:v>6.3E-2</c:v>
                </c:pt>
                <c:pt idx="115">
                  <c:v>5.0999999999999997E-2</c:v>
                </c:pt>
                <c:pt idx="116">
                  <c:v>0.04</c:v>
                </c:pt>
                <c:pt idx="117">
                  <c:v>3.2000000000000001E-2</c:v>
                </c:pt>
                <c:pt idx="118">
                  <c:v>2.9000000000000001E-2</c:v>
                </c:pt>
                <c:pt idx="119">
                  <c:v>0.02</c:v>
                </c:pt>
                <c:pt idx="120">
                  <c:v>1.0999999999999999E-2</c:v>
                </c:pt>
                <c:pt idx="121">
                  <c:v>2E-3</c:v>
                </c:pt>
                <c:pt idx="122">
                  <c:v>-8.0000000000000002E-3</c:v>
                </c:pt>
                <c:pt idx="123">
                  <c:v>-0.01</c:v>
                </c:pt>
                <c:pt idx="124">
                  <c:v>-1.0999999999999999E-2</c:v>
                </c:pt>
                <c:pt idx="125">
                  <c:v>-1.0999999999999999E-2</c:v>
                </c:pt>
                <c:pt idx="126">
                  <c:v>-0.01</c:v>
                </c:pt>
                <c:pt idx="127">
                  <c:v>-0.01</c:v>
                </c:pt>
                <c:pt idx="128">
                  <c:v>-1.0999999999999999E-2</c:v>
                </c:pt>
                <c:pt idx="129">
                  <c:v>-1.0999999999999999E-2</c:v>
                </c:pt>
                <c:pt idx="130">
                  <c:v>-1.0999999999999999E-2</c:v>
                </c:pt>
                <c:pt idx="131">
                  <c:v>-1.0999999999999999E-2</c:v>
                </c:pt>
                <c:pt idx="132">
                  <c:v>-0.01</c:v>
                </c:pt>
                <c:pt idx="133">
                  <c:v>-0.01</c:v>
                </c:pt>
                <c:pt idx="134">
                  <c:v>-0.01</c:v>
                </c:pt>
                <c:pt idx="135">
                  <c:v>-1.0999999999999999E-2</c:v>
                </c:pt>
                <c:pt idx="136">
                  <c:v>-1.0999999999999999E-2</c:v>
                </c:pt>
                <c:pt idx="137">
                  <c:v>-0.01</c:v>
                </c:pt>
                <c:pt idx="138">
                  <c:v>-0.01</c:v>
                </c:pt>
                <c:pt idx="139">
                  <c:v>-0.01</c:v>
                </c:pt>
                <c:pt idx="140">
                  <c:v>-0.01</c:v>
                </c:pt>
                <c:pt idx="141">
                  <c:v>-0.01</c:v>
                </c:pt>
                <c:pt idx="142">
                  <c:v>-0.01</c:v>
                </c:pt>
                <c:pt idx="143">
                  <c:v>-1.0999999999999999E-2</c:v>
                </c:pt>
                <c:pt idx="144">
                  <c:v>-0.01</c:v>
                </c:pt>
                <c:pt idx="145">
                  <c:v>-1.0999999999999999E-2</c:v>
                </c:pt>
                <c:pt idx="146">
                  <c:v>-0.01</c:v>
                </c:pt>
                <c:pt idx="147">
                  <c:v>-0.01</c:v>
                </c:pt>
                <c:pt idx="148">
                  <c:v>-1.0999999999999999E-2</c:v>
                </c:pt>
                <c:pt idx="149">
                  <c:v>-1.0999999999999999E-2</c:v>
                </c:pt>
                <c:pt idx="150">
                  <c:v>-0.01</c:v>
                </c:pt>
                <c:pt idx="151">
                  <c:v>-1.0999999999999999E-2</c:v>
                </c:pt>
                <c:pt idx="152">
                  <c:v>-0.01</c:v>
                </c:pt>
                <c:pt idx="153">
                  <c:v>-0.01</c:v>
                </c:pt>
                <c:pt idx="154">
                  <c:v>-0.01</c:v>
                </c:pt>
                <c:pt idx="155">
                  <c:v>-0.01</c:v>
                </c:pt>
                <c:pt idx="156">
                  <c:v>-0.01</c:v>
                </c:pt>
                <c:pt idx="157">
                  <c:v>-0.01</c:v>
                </c:pt>
                <c:pt idx="158">
                  <c:v>-0.01</c:v>
                </c:pt>
                <c:pt idx="159">
                  <c:v>-0.01</c:v>
                </c:pt>
                <c:pt idx="160">
                  <c:v>-0.01</c:v>
                </c:pt>
                <c:pt idx="161">
                  <c:v>-0.01</c:v>
                </c:pt>
                <c:pt idx="162">
                  <c:v>-0.01</c:v>
                </c:pt>
                <c:pt idx="163">
                  <c:v>-1.0999999999999999E-2</c:v>
                </c:pt>
                <c:pt idx="164">
                  <c:v>-0.01</c:v>
                </c:pt>
                <c:pt idx="165">
                  <c:v>-0.01</c:v>
                </c:pt>
                <c:pt idx="166">
                  <c:v>-0.01</c:v>
                </c:pt>
                <c:pt idx="167">
                  <c:v>-0.01</c:v>
                </c:pt>
                <c:pt idx="168">
                  <c:v>-0.01</c:v>
                </c:pt>
                <c:pt idx="169">
                  <c:v>-0.01</c:v>
                </c:pt>
                <c:pt idx="170">
                  <c:v>-0.01</c:v>
                </c:pt>
                <c:pt idx="171">
                  <c:v>-0.01</c:v>
                </c:pt>
                <c:pt idx="172">
                  <c:v>-0.01</c:v>
                </c:pt>
                <c:pt idx="173">
                  <c:v>-0.01</c:v>
                </c:pt>
                <c:pt idx="174">
                  <c:v>-0.01</c:v>
                </c:pt>
                <c:pt idx="175">
                  <c:v>-0.01</c:v>
                </c:pt>
                <c:pt idx="176">
                  <c:v>-0.01</c:v>
                </c:pt>
                <c:pt idx="177">
                  <c:v>-0.01</c:v>
                </c:pt>
                <c:pt idx="178">
                  <c:v>-0.01</c:v>
                </c:pt>
                <c:pt idx="179">
                  <c:v>-1.0999999999999999E-2</c:v>
                </c:pt>
                <c:pt idx="180">
                  <c:v>-0.01</c:v>
                </c:pt>
                <c:pt idx="181">
                  <c:v>-0.01</c:v>
                </c:pt>
                <c:pt idx="182">
                  <c:v>-0.01</c:v>
                </c:pt>
                <c:pt idx="183">
                  <c:v>-0.01</c:v>
                </c:pt>
                <c:pt idx="184">
                  <c:v>-0.01</c:v>
                </c:pt>
                <c:pt idx="185">
                  <c:v>-0.01</c:v>
                </c:pt>
                <c:pt idx="186">
                  <c:v>-0.01</c:v>
                </c:pt>
                <c:pt idx="187">
                  <c:v>-0.01</c:v>
                </c:pt>
                <c:pt idx="188">
                  <c:v>-0.01</c:v>
                </c:pt>
                <c:pt idx="189">
                  <c:v>-0.01</c:v>
                </c:pt>
                <c:pt idx="190">
                  <c:v>-0.01</c:v>
                </c:pt>
                <c:pt idx="191">
                  <c:v>-0.01</c:v>
                </c:pt>
                <c:pt idx="192">
                  <c:v>-0.01</c:v>
                </c:pt>
                <c:pt idx="193">
                  <c:v>-0.01</c:v>
                </c:pt>
                <c:pt idx="194">
                  <c:v>-0.01</c:v>
                </c:pt>
                <c:pt idx="195">
                  <c:v>-0.01</c:v>
                </c:pt>
                <c:pt idx="196">
                  <c:v>-0.01</c:v>
                </c:pt>
                <c:pt idx="197">
                  <c:v>-0.01</c:v>
                </c:pt>
                <c:pt idx="198">
                  <c:v>-0.01</c:v>
                </c:pt>
                <c:pt idx="199">
                  <c:v>-0.01</c:v>
                </c:pt>
                <c:pt idx="200">
                  <c:v>-0.01</c:v>
                </c:pt>
                <c:pt idx="201">
                  <c:v>-0.01</c:v>
                </c:pt>
                <c:pt idx="202">
                  <c:v>-0.01</c:v>
                </c:pt>
                <c:pt idx="203">
                  <c:v>-0.01</c:v>
                </c:pt>
                <c:pt idx="204">
                  <c:v>-0.01</c:v>
                </c:pt>
                <c:pt idx="205">
                  <c:v>-0.01</c:v>
                </c:pt>
                <c:pt idx="206">
                  <c:v>-0.01</c:v>
                </c:pt>
                <c:pt idx="207">
                  <c:v>-0.01</c:v>
                </c:pt>
                <c:pt idx="208">
                  <c:v>-0.01</c:v>
                </c:pt>
                <c:pt idx="209">
                  <c:v>-0.01</c:v>
                </c:pt>
                <c:pt idx="210">
                  <c:v>-0.01</c:v>
                </c:pt>
                <c:pt idx="211">
                  <c:v>0.21</c:v>
                </c:pt>
                <c:pt idx="212">
                  <c:v>0.17</c:v>
                </c:pt>
                <c:pt idx="213">
                  <c:v>0.13200000000000001</c:v>
                </c:pt>
                <c:pt idx="214">
                  <c:v>0.1</c:v>
                </c:pt>
                <c:pt idx="215">
                  <c:v>7.1999999999999995E-2</c:v>
                </c:pt>
                <c:pt idx="216">
                  <c:v>5.1999999999999998E-2</c:v>
                </c:pt>
                <c:pt idx="217">
                  <c:v>4.1000000000000002E-2</c:v>
                </c:pt>
                <c:pt idx="218">
                  <c:v>3.2000000000000001E-2</c:v>
                </c:pt>
                <c:pt idx="219">
                  <c:v>1.6E-2</c:v>
                </c:pt>
                <c:pt idx="220">
                  <c:v>1E-3</c:v>
                </c:pt>
                <c:pt idx="221">
                  <c:v>-8.9999999999999993E-3</c:v>
                </c:pt>
                <c:pt idx="222">
                  <c:v>-0.01</c:v>
                </c:pt>
                <c:pt idx="223">
                  <c:v>-0.01</c:v>
                </c:pt>
                <c:pt idx="224">
                  <c:v>-0.01</c:v>
                </c:pt>
                <c:pt idx="225">
                  <c:v>-0.01</c:v>
                </c:pt>
                <c:pt idx="226">
                  <c:v>-0.01</c:v>
                </c:pt>
                <c:pt idx="227">
                  <c:v>-0.01</c:v>
                </c:pt>
                <c:pt idx="228">
                  <c:v>-0.01</c:v>
                </c:pt>
                <c:pt idx="229">
                  <c:v>-0.01</c:v>
                </c:pt>
                <c:pt idx="230">
                  <c:v>-0.01</c:v>
                </c:pt>
                <c:pt idx="231">
                  <c:v>-0.01</c:v>
                </c:pt>
                <c:pt idx="232">
                  <c:v>-0.01</c:v>
                </c:pt>
                <c:pt idx="233">
                  <c:v>-0.01</c:v>
                </c:pt>
                <c:pt idx="234">
                  <c:v>-0.01</c:v>
                </c:pt>
                <c:pt idx="235">
                  <c:v>-0.01</c:v>
                </c:pt>
                <c:pt idx="236">
                  <c:v>-0.01</c:v>
                </c:pt>
                <c:pt idx="237">
                  <c:v>-0.01</c:v>
                </c:pt>
                <c:pt idx="238">
                  <c:v>-0.01</c:v>
                </c:pt>
                <c:pt idx="239">
                  <c:v>-0.01</c:v>
                </c:pt>
                <c:pt idx="240">
                  <c:v>-0.01</c:v>
                </c:pt>
                <c:pt idx="241">
                  <c:v>-0.01</c:v>
                </c:pt>
                <c:pt idx="242">
                  <c:v>-0.01</c:v>
                </c:pt>
                <c:pt idx="243">
                  <c:v>-0.01</c:v>
                </c:pt>
                <c:pt idx="244">
                  <c:v>-0.01</c:v>
                </c:pt>
                <c:pt idx="245">
                  <c:v>-0.01</c:v>
                </c:pt>
                <c:pt idx="246">
                  <c:v>-1.0999999999999999E-2</c:v>
                </c:pt>
                <c:pt idx="247">
                  <c:v>-1.0999999999999999E-2</c:v>
                </c:pt>
                <c:pt idx="248">
                  <c:v>-1.0999999999999999E-2</c:v>
                </c:pt>
                <c:pt idx="249">
                  <c:v>-1.0999999999999999E-2</c:v>
                </c:pt>
                <c:pt idx="250">
                  <c:v>-1.0999999999999999E-2</c:v>
                </c:pt>
                <c:pt idx="251">
                  <c:v>-1.0999999999999999E-2</c:v>
                </c:pt>
                <c:pt idx="252">
                  <c:v>-1.0999999999999999E-2</c:v>
                </c:pt>
                <c:pt idx="253">
                  <c:v>-1.0999999999999999E-2</c:v>
                </c:pt>
                <c:pt idx="254">
                  <c:v>-1.0999999999999999E-2</c:v>
                </c:pt>
                <c:pt idx="255">
                  <c:v>-1.0999999999999999E-2</c:v>
                </c:pt>
                <c:pt idx="256">
                  <c:v>-1.0999999999999999E-2</c:v>
                </c:pt>
                <c:pt idx="257">
                  <c:v>-1.0999999999999999E-2</c:v>
                </c:pt>
                <c:pt idx="258">
                  <c:v>-1.0999999999999999E-2</c:v>
                </c:pt>
                <c:pt idx="259">
                  <c:v>-1.0999999999999999E-2</c:v>
                </c:pt>
                <c:pt idx="260">
                  <c:v>-1.0999999999999999E-2</c:v>
                </c:pt>
                <c:pt idx="261">
                  <c:v>-1.0999999999999999E-2</c:v>
                </c:pt>
                <c:pt idx="262">
                  <c:v>-1.0999999999999999E-2</c:v>
                </c:pt>
                <c:pt idx="263">
                  <c:v>-1.0999999999999999E-2</c:v>
                </c:pt>
                <c:pt idx="264">
                  <c:v>-1.0999999999999999E-2</c:v>
                </c:pt>
                <c:pt idx="265">
                  <c:v>-1.0999999999999999E-2</c:v>
                </c:pt>
                <c:pt idx="266">
                  <c:v>-1.0999999999999999E-2</c:v>
                </c:pt>
                <c:pt idx="267">
                  <c:v>-1.0999999999999999E-2</c:v>
                </c:pt>
                <c:pt idx="268">
                  <c:v>-1.0999999999999999E-2</c:v>
                </c:pt>
                <c:pt idx="269">
                  <c:v>-1.0999999999999999E-2</c:v>
                </c:pt>
                <c:pt idx="270">
                  <c:v>-1.0999999999999999E-2</c:v>
                </c:pt>
                <c:pt idx="271">
                  <c:v>-1.0999999999999999E-2</c:v>
                </c:pt>
                <c:pt idx="272">
                  <c:v>-1.0999999999999999E-2</c:v>
                </c:pt>
                <c:pt idx="273">
                  <c:v>-1.0999999999999999E-2</c:v>
                </c:pt>
                <c:pt idx="274">
                  <c:v>-1.0999999999999999E-2</c:v>
                </c:pt>
                <c:pt idx="275">
                  <c:v>-1.0999999999999999E-2</c:v>
                </c:pt>
                <c:pt idx="276">
                  <c:v>-1.0999999999999999E-2</c:v>
                </c:pt>
                <c:pt idx="277">
                  <c:v>-1.0999999999999999E-2</c:v>
                </c:pt>
                <c:pt idx="278">
                  <c:v>-1.0999999999999999E-2</c:v>
                </c:pt>
                <c:pt idx="279">
                  <c:v>-1.0999999999999999E-2</c:v>
                </c:pt>
                <c:pt idx="280">
                  <c:v>-1.0999999999999999E-2</c:v>
                </c:pt>
                <c:pt idx="281">
                  <c:v>-1.0999999999999999E-2</c:v>
                </c:pt>
                <c:pt idx="282">
                  <c:v>-1.0999999999999999E-2</c:v>
                </c:pt>
                <c:pt idx="283">
                  <c:v>-1.0999999999999999E-2</c:v>
                </c:pt>
                <c:pt idx="284">
                  <c:v>-1.0999999999999999E-2</c:v>
                </c:pt>
                <c:pt idx="285">
                  <c:v>-1.0999999999999999E-2</c:v>
                </c:pt>
                <c:pt idx="286">
                  <c:v>-1.0999999999999999E-2</c:v>
                </c:pt>
                <c:pt idx="287">
                  <c:v>-1.0999999999999999E-2</c:v>
                </c:pt>
                <c:pt idx="288">
                  <c:v>-1.0999999999999999E-2</c:v>
                </c:pt>
                <c:pt idx="289">
                  <c:v>-1.0999999999999999E-2</c:v>
                </c:pt>
                <c:pt idx="290">
                  <c:v>-1.0999999999999999E-2</c:v>
                </c:pt>
                <c:pt idx="291">
                  <c:v>-1.0999999999999999E-2</c:v>
                </c:pt>
                <c:pt idx="292">
                  <c:v>-1.0999999999999999E-2</c:v>
                </c:pt>
                <c:pt idx="293">
                  <c:v>-1.0999999999999999E-2</c:v>
                </c:pt>
                <c:pt idx="294">
                  <c:v>-1.0999999999999999E-2</c:v>
                </c:pt>
                <c:pt idx="295">
                  <c:v>-1.0999999999999999E-2</c:v>
                </c:pt>
                <c:pt idx="296">
                  <c:v>-1.0999999999999999E-2</c:v>
                </c:pt>
                <c:pt idx="297">
                  <c:v>-1.0999999999999999E-2</c:v>
                </c:pt>
                <c:pt idx="298">
                  <c:v>-1.0999999999999999E-2</c:v>
                </c:pt>
                <c:pt idx="299">
                  <c:v>-1.0999999999999999E-2</c:v>
                </c:pt>
                <c:pt idx="300">
                  <c:v>-1.0999999999999999E-2</c:v>
                </c:pt>
                <c:pt idx="301">
                  <c:v>-1.0999999999999999E-2</c:v>
                </c:pt>
                <c:pt idx="302">
                  <c:v>-1.0999999999999999E-2</c:v>
                </c:pt>
                <c:pt idx="303">
                  <c:v>-1.0999999999999999E-2</c:v>
                </c:pt>
                <c:pt idx="304">
                  <c:v>-1.0999999999999999E-2</c:v>
                </c:pt>
                <c:pt idx="305">
                  <c:v>-1.0999999999999999E-2</c:v>
                </c:pt>
                <c:pt idx="306">
                  <c:v>-1.0999999999999999E-2</c:v>
                </c:pt>
                <c:pt idx="307">
                  <c:v>-1.0999999999999999E-2</c:v>
                </c:pt>
                <c:pt idx="308">
                  <c:v>-1.0999999999999999E-2</c:v>
                </c:pt>
                <c:pt idx="309">
                  <c:v>-1.2999999999999999E-2</c:v>
                </c:pt>
                <c:pt idx="310">
                  <c:v>-1.2999999999999999E-2</c:v>
                </c:pt>
                <c:pt idx="311">
                  <c:v>-1.2999999999999999E-2</c:v>
                </c:pt>
                <c:pt idx="312">
                  <c:v>-1.2999999999999999E-2</c:v>
                </c:pt>
                <c:pt idx="313">
                  <c:v>-1.2999999999999999E-2</c:v>
                </c:pt>
                <c:pt idx="314">
                  <c:v>-1.2999999999999999E-2</c:v>
                </c:pt>
                <c:pt idx="315">
                  <c:v>-1.2999999999999999E-2</c:v>
                </c:pt>
                <c:pt idx="316">
                  <c:v>-1.2999999999999999E-2</c:v>
                </c:pt>
                <c:pt idx="317">
                  <c:v>-1.2999999999999999E-2</c:v>
                </c:pt>
                <c:pt idx="318">
                  <c:v>-1.2999999999999999E-2</c:v>
                </c:pt>
                <c:pt idx="319">
                  <c:v>-1.2999999999999999E-2</c:v>
                </c:pt>
                <c:pt idx="320">
                  <c:v>-1.2999999999999999E-2</c:v>
                </c:pt>
                <c:pt idx="321">
                  <c:v>-1.2999999999999999E-2</c:v>
                </c:pt>
                <c:pt idx="322">
                  <c:v>-1.2999999999999999E-2</c:v>
                </c:pt>
                <c:pt idx="323">
                  <c:v>-1.2999999999999999E-2</c:v>
                </c:pt>
                <c:pt idx="324">
                  <c:v>-1.2999999999999999E-2</c:v>
                </c:pt>
                <c:pt idx="325">
                  <c:v>-1.2999999999999999E-2</c:v>
                </c:pt>
                <c:pt idx="326">
                  <c:v>-1.2999999999999999E-2</c:v>
                </c:pt>
                <c:pt idx="327">
                  <c:v>-1.2999999999999999E-2</c:v>
                </c:pt>
                <c:pt idx="328">
                  <c:v>-1.2999999999999999E-2</c:v>
                </c:pt>
                <c:pt idx="329">
                  <c:v>-1.2999999999999999E-2</c:v>
                </c:pt>
                <c:pt idx="330">
                  <c:v>-1.2999999999999999E-2</c:v>
                </c:pt>
                <c:pt idx="331">
                  <c:v>-1.2999999999999999E-2</c:v>
                </c:pt>
                <c:pt idx="332">
                  <c:v>-1.2999999999999999E-2</c:v>
                </c:pt>
                <c:pt idx="333">
                  <c:v>-1.2999999999999999E-2</c:v>
                </c:pt>
                <c:pt idx="334">
                  <c:v>-1.2999999999999999E-2</c:v>
                </c:pt>
                <c:pt idx="335">
                  <c:v>-1.2999999999999999E-2</c:v>
                </c:pt>
                <c:pt idx="336">
                  <c:v>-1.2999999999999999E-2</c:v>
                </c:pt>
                <c:pt idx="337">
                  <c:v>-1.2999999999999999E-2</c:v>
                </c:pt>
                <c:pt idx="338">
                  <c:v>-1.2999999999999999E-2</c:v>
                </c:pt>
                <c:pt idx="339">
                  <c:v>-1.2999999999999999E-2</c:v>
                </c:pt>
                <c:pt idx="340">
                  <c:v>-1.2999999999999999E-2</c:v>
                </c:pt>
                <c:pt idx="341">
                  <c:v>-1.2999999999999999E-2</c:v>
                </c:pt>
                <c:pt idx="342">
                  <c:v>-1.2999999999999999E-2</c:v>
                </c:pt>
                <c:pt idx="343">
                  <c:v>-1.2999999999999999E-2</c:v>
                </c:pt>
                <c:pt idx="344">
                  <c:v>-1.2999999999999999E-2</c:v>
                </c:pt>
                <c:pt idx="345">
                  <c:v>-1.2999999999999999E-2</c:v>
                </c:pt>
                <c:pt idx="346">
                  <c:v>-1.2999999999999999E-2</c:v>
                </c:pt>
                <c:pt idx="347">
                  <c:v>-1.2999999999999999E-2</c:v>
                </c:pt>
                <c:pt idx="348">
                  <c:v>-1.2999999999999999E-2</c:v>
                </c:pt>
                <c:pt idx="349">
                  <c:v>-1.2999999999999999E-2</c:v>
                </c:pt>
                <c:pt idx="350">
                  <c:v>-1.2999999999999999E-2</c:v>
                </c:pt>
                <c:pt idx="351">
                  <c:v>-1.2999999999999999E-2</c:v>
                </c:pt>
                <c:pt idx="352">
                  <c:v>-1.2999999999999999E-2</c:v>
                </c:pt>
                <c:pt idx="353">
                  <c:v>-1.2999999999999999E-2</c:v>
                </c:pt>
                <c:pt idx="354">
                  <c:v>-1.2999999999999999E-2</c:v>
                </c:pt>
                <c:pt idx="355">
                  <c:v>-1.2999999999999999E-2</c:v>
                </c:pt>
                <c:pt idx="356">
                  <c:v>-1.2999999999999999E-2</c:v>
                </c:pt>
                <c:pt idx="357">
                  <c:v>-1.2999999999999999E-2</c:v>
                </c:pt>
                <c:pt idx="358">
                  <c:v>-1.2999999999999999E-2</c:v>
                </c:pt>
                <c:pt idx="359">
                  <c:v>-1.2999999999999999E-2</c:v>
                </c:pt>
                <c:pt idx="360">
                  <c:v>-1.2999999999999999E-2</c:v>
                </c:pt>
                <c:pt idx="361">
                  <c:v>-1.2999999999999999E-2</c:v>
                </c:pt>
                <c:pt idx="362">
                  <c:v>-1.2999999999999999E-2</c:v>
                </c:pt>
                <c:pt idx="363">
                  <c:v>-1.2999999999999999E-2</c:v>
                </c:pt>
                <c:pt idx="364">
                  <c:v>-1.2999999999999999E-2</c:v>
                </c:pt>
                <c:pt idx="365">
                  <c:v>-1.2999999999999999E-2</c:v>
                </c:pt>
              </c:numCache>
            </c:numRef>
          </c:val>
          <c:smooth val="0"/>
          <c:extLst xmlns:c16r2="http://schemas.microsoft.com/office/drawing/2015/06/chart">
            <c:ext xmlns:c16="http://schemas.microsoft.com/office/drawing/2014/chart" uri="{C3380CC4-5D6E-409C-BE32-E72D297353CC}">
              <c16:uniqueId val="{00000003-6B83-4F32-895E-FF7105E1F411}"/>
            </c:ext>
          </c:extLst>
        </c:ser>
        <c:ser>
          <c:idx val="4"/>
          <c:order val="3"/>
          <c:tx>
            <c:strRef>
              <c:f>flows!$P$1</c:f>
              <c:strCache>
                <c:ptCount val="1"/>
                <c:pt idx="0">
                  <c:v>418077 - Gingham @ The Waterhole</c:v>
                </c:pt>
              </c:strCache>
            </c:strRef>
          </c:tx>
          <c:spPr>
            <a:ln w="28575" cap="rnd">
              <a:solidFill>
                <a:schemeClr val="tx1"/>
              </a:solidFill>
              <a:prstDash val="sysDot"/>
              <a:round/>
            </a:ln>
            <a:effectLst/>
          </c:spPr>
          <c:marker>
            <c:symbol val="none"/>
          </c:marker>
          <c:cat>
            <c:numRef>
              <c:f>flows!$A$5:$A$370</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flows!$P$5:$P$370</c:f>
              <c:numCache>
                <c:formatCode>General</c:formatCode>
                <c:ptCount val="366"/>
                <c:pt idx="0">
                  <c:v>0.92200000000000004</c:v>
                </c:pt>
                <c:pt idx="1">
                  <c:v>0.93500000000000005</c:v>
                </c:pt>
                <c:pt idx="2">
                  <c:v>0.93799999999999994</c:v>
                </c:pt>
                <c:pt idx="3">
                  <c:v>0.93200000000000005</c:v>
                </c:pt>
                <c:pt idx="4">
                  <c:v>0.92500000000000004</c:v>
                </c:pt>
                <c:pt idx="5">
                  <c:v>0.91800000000000004</c:v>
                </c:pt>
                <c:pt idx="6">
                  <c:v>0.91</c:v>
                </c:pt>
                <c:pt idx="7">
                  <c:v>0.90300000000000002</c:v>
                </c:pt>
                <c:pt idx="8">
                  <c:v>0.89800000000000002</c:v>
                </c:pt>
                <c:pt idx="9">
                  <c:v>0.89500000000000002</c:v>
                </c:pt>
                <c:pt idx="10">
                  <c:v>0.9</c:v>
                </c:pt>
                <c:pt idx="11">
                  <c:v>0.90100000000000002</c:v>
                </c:pt>
                <c:pt idx="12">
                  <c:v>0.89600000000000002</c:v>
                </c:pt>
                <c:pt idx="13">
                  <c:v>0.89300000000000002</c:v>
                </c:pt>
                <c:pt idx="14">
                  <c:v>0.88800000000000001</c:v>
                </c:pt>
                <c:pt idx="15">
                  <c:v>0.88500000000000001</c:v>
                </c:pt>
                <c:pt idx="16">
                  <c:v>0.88100000000000001</c:v>
                </c:pt>
                <c:pt idx="17">
                  <c:v>0.876</c:v>
                </c:pt>
                <c:pt idx="18">
                  <c:v>0.871</c:v>
                </c:pt>
                <c:pt idx="19">
                  <c:v>0.86699999999999999</c:v>
                </c:pt>
                <c:pt idx="20">
                  <c:v>0.86299999999999999</c:v>
                </c:pt>
                <c:pt idx="21">
                  <c:v>0.86</c:v>
                </c:pt>
                <c:pt idx="22">
                  <c:v>0.86</c:v>
                </c:pt>
                <c:pt idx="23">
                  <c:v>0.86299999999999999</c:v>
                </c:pt>
                <c:pt idx="24">
                  <c:v>0.86699999999999999</c:v>
                </c:pt>
                <c:pt idx="25">
                  <c:v>0.86699999999999999</c:v>
                </c:pt>
                <c:pt idx="26">
                  <c:v>0.86599999999999999</c:v>
                </c:pt>
                <c:pt idx="27">
                  <c:v>0.86399999999999999</c:v>
                </c:pt>
                <c:pt idx="28">
                  <c:v>0.86199999999999999</c:v>
                </c:pt>
                <c:pt idx="29">
                  <c:v>0.85899999999999999</c:v>
                </c:pt>
                <c:pt idx="30">
                  <c:v>0.85599999999999998</c:v>
                </c:pt>
                <c:pt idx="31">
                  <c:v>0.85099999999999998</c:v>
                </c:pt>
                <c:pt idx="32">
                  <c:v>0.84699999999999998</c:v>
                </c:pt>
                <c:pt idx="33">
                  <c:v>0.872</c:v>
                </c:pt>
                <c:pt idx="34">
                  <c:v>0.90600000000000003</c:v>
                </c:pt>
                <c:pt idx="35">
                  <c:v>0.91600000000000004</c:v>
                </c:pt>
                <c:pt idx="36">
                  <c:v>0.92100000000000004</c:v>
                </c:pt>
                <c:pt idx="37">
                  <c:v>0.92400000000000004</c:v>
                </c:pt>
                <c:pt idx="38">
                  <c:v>0.92600000000000005</c:v>
                </c:pt>
                <c:pt idx="39">
                  <c:v>0.92500000000000004</c:v>
                </c:pt>
                <c:pt idx="40">
                  <c:v>0.92300000000000004</c:v>
                </c:pt>
                <c:pt idx="41">
                  <c:v>0.91800000000000004</c:v>
                </c:pt>
                <c:pt idx="42">
                  <c:v>0.91300000000000003</c:v>
                </c:pt>
                <c:pt idx="43">
                  <c:v>0.90600000000000003</c:v>
                </c:pt>
                <c:pt idx="44">
                  <c:v>0.9</c:v>
                </c:pt>
                <c:pt idx="45">
                  <c:v>0.89400000000000002</c:v>
                </c:pt>
                <c:pt idx="46">
                  <c:v>0.88900000000000001</c:v>
                </c:pt>
                <c:pt idx="47">
                  <c:v>0.88400000000000001</c:v>
                </c:pt>
                <c:pt idx="48">
                  <c:v>0.88</c:v>
                </c:pt>
                <c:pt idx="49">
                  <c:v>0.875</c:v>
                </c:pt>
                <c:pt idx="50">
                  <c:v>0.872</c:v>
                </c:pt>
                <c:pt idx="51">
                  <c:v>0.86799999999999999</c:v>
                </c:pt>
                <c:pt idx="52">
                  <c:v>0.86399999999999999</c:v>
                </c:pt>
                <c:pt idx="53">
                  <c:v>0.86</c:v>
                </c:pt>
                <c:pt idx="54">
                  <c:v>0.85899999999999999</c:v>
                </c:pt>
                <c:pt idx="55">
                  <c:v>0.85599999999999998</c:v>
                </c:pt>
                <c:pt idx="56">
                  <c:v>0.85299999999999998</c:v>
                </c:pt>
                <c:pt idx="57">
                  <c:v>0.85499999999999998</c:v>
                </c:pt>
                <c:pt idx="58">
                  <c:v>0.85499999999999998</c:v>
                </c:pt>
                <c:pt idx="59">
                  <c:v>0.85299999999999998</c:v>
                </c:pt>
                <c:pt idx="60">
                  <c:v>0.85199999999999998</c:v>
                </c:pt>
                <c:pt idx="61">
                  <c:v>0.84899999999999998</c:v>
                </c:pt>
                <c:pt idx="62">
                  <c:v>0.84599999999999997</c:v>
                </c:pt>
                <c:pt idx="63">
                  <c:v>0.84399999999999997</c:v>
                </c:pt>
                <c:pt idx="64">
                  <c:v>0.85099999999999998</c:v>
                </c:pt>
                <c:pt idx="65">
                  <c:v>0.88</c:v>
                </c:pt>
                <c:pt idx="66">
                  <c:v>0.89600000000000002</c:v>
                </c:pt>
                <c:pt idx="67">
                  <c:v>0.90300000000000002</c:v>
                </c:pt>
                <c:pt idx="68">
                  <c:v>0.91300000000000003</c:v>
                </c:pt>
                <c:pt idx="69">
                  <c:v>0.92100000000000004</c:v>
                </c:pt>
                <c:pt idx="70">
                  <c:v>0.92700000000000005</c:v>
                </c:pt>
                <c:pt idx="71">
                  <c:v>0.92900000000000005</c:v>
                </c:pt>
                <c:pt idx="72">
                  <c:v>0.92800000000000005</c:v>
                </c:pt>
                <c:pt idx="73">
                  <c:v>0.92700000000000005</c:v>
                </c:pt>
                <c:pt idx="74">
                  <c:v>0.92500000000000004</c:v>
                </c:pt>
                <c:pt idx="75">
                  <c:v>0.92200000000000004</c:v>
                </c:pt>
                <c:pt idx="76">
                  <c:v>0.91800000000000004</c:v>
                </c:pt>
                <c:pt idx="77">
                  <c:v>0.91400000000000003</c:v>
                </c:pt>
                <c:pt idx="78">
                  <c:v>0.91</c:v>
                </c:pt>
                <c:pt idx="79">
                  <c:v>0.90600000000000003</c:v>
                </c:pt>
                <c:pt idx="80">
                  <c:v>0.90300000000000002</c:v>
                </c:pt>
                <c:pt idx="81">
                  <c:v>0.9</c:v>
                </c:pt>
                <c:pt idx="82">
                  <c:v>0.89600000000000002</c:v>
                </c:pt>
                <c:pt idx="83">
                  <c:v>0.89200000000000002</c:v>
                </c:pt>
                <c:pt idx="84">
                  <c:v>0.88500000000000001</c:v>
                </c:pt>
                <c:pt idx="85">
                  <c:v>0.879</c:v>
                </c:pt>
                <c:pt idx="86">
                  <c:v>0.873</c:v>
                </c:pt>
                <c:pt idx="87">
                  <c:v>0.86599999999999999</c:v>
                </c:pt>
                <c:pt idx="88">
                  <c:v>0.86</c:v>
                </c:pt>
                <c:pt idx="89">
                  <c:v>0.85299999999999998</c:v>
                </c:pt>
                <c:pt idx="90">
                  <c:v>0.84499999999999997</c:v>
                </c:pt>
                <c:pt idx="91">
                  <c:v>0.83799999999999997</c:v>
                </c:pt>
                <c:pt idx="92">
                  <c:v>0.83199999999999996</c:v>
                </c:pt>
                <c:pt idx="93">
                  <c:v>0.82499999999999996</c:v>
                </c:pt>
                <c:pt idx="94">
                  <c:v>0.82</c:v>
                </c:pt>
                <c:pt idx="95">
                  <c:v>0.81499999999999995</c:v>
                </c:pt>
                <c:pt idx="96">
                  <c:v>0.81</c:v>
                </c:pt>
                <c:pt idx="97">
                  <c:v>0.80500000000000005</c:v>
                </c:pt>
                <c:pt idx="98">
                  <c:v>0.79800000000000004</c:v>
                </c:pt>
                <c:pt idx="99">
                  <c:v>0.79</c:v>
                </c:pt>
                <c:pt idx="100">
                  <c:v>0.78200000000000003</c:v>
                </c:pt>
                <c:pt idx="101">
                  <c:v>0.77300000000000002</c:v>
                </c:pt>
                <c:pt idx="102">
                  <c:v>0.76400000000000001</c:v>
                </c:pt>
                <c:pt idx="103">
                  <c:v>0.753</c:v>
                </c:pt>
                <c:pt idx="104">
                  <c:v>0.749</c:v>
                </c:pt>
                <c:pt idx="105">
                  <c:v>0.75</c:v>
                </c:pt>
                <c:pt idx="106">
                  <c:v>0.73399999999999999</c:v>
                </c:pt>
                <c:pt idx="107">
                  <c:v>0.72</c:v>
                </c:pt>
                <c:pt idx="108">
                  <c:v>0.70799999999999996</c:v>
                </c:pt>
                <c:pt idx="109">
                  <c:v>0.69699999999999995</c:v>
                </c:pt>
                <c:pt idx="110">
                  <c:v>0.68799999999999994</c:v>
                </c:pt>
                <c:pt idx="111">
                  <c:v>0.67800000000000005</c:v>
                </c:pt>
                <c:pt idx="112">
                  <c:v>0.66800000000000004</c:v>
                </c:pt>
                <c:pt idx="113">
                  <c:v>0.65900000000000003</c:v>
                </c:pt>
                <c:pt idx="114">
                  <c:v>0.64900000000000002</c:v>
                </c:pt>
                <c:pt idx="115">
                  <c:v>0.63700000000000001</c:v>
                </c:pt>
                <c:pt idx="116">
                  <c:v>0.626</c:v>
                </c:pt>
                <c:pt idx="117">
                  <c:v>0.624</c:v>
                </c:pt>
                <c:pt idx="118">
                  <c:v>0.64200000000000002</c:v>
                </c:pt>
                <c:pt idx="119">
                  <c:v>0.63400000000000001</c:v>
                </c:pt>
                <c:pt idx="120">
                  <c:v>0.628</c:v>
                </c:pt>
                <c:pt idx="121">
                  <c:v>0.62</c:v>
                </c:pt>
                <c:pt idx="122">
                  <c:v>0.60899999999999999</c:v>
                </c:pt>
                <c:pt idx="123">
                  <c:v>0.59799999999999998</c:v>
                </c:pt>
                <c:pt idx="124">
                  <c:v>0.58699999999999997</c:v>
                </c:pt>
                <c:pt idx="125">
                  <c:v>0.57499999999999996</c:v>
                </c:pt>
                <c:pt idx="126">
                  <c:v>0.56399999999999995</c:v>
                </c:pt>
                <c:pt idx="127">
                  <c:v>0.55800000000000005</c:v>
                </c:pt>
                <c:pt idx="128">
                  <c:v>0.54900000000000004</c:v>
                </c:pt>
                <c:pt idx="129">
                  <c:v>0.53800000000000003</c:v>
                </c:pt>
                <c:pt idx="130">
                  <c:v>0.52800000000000002</c:v>
                </c:pt>
                <c:pt idx="131">
                  <c:v>0.51700000000000002</c:v>
                </c:pt>
                <c:pt idx="132">
                  <c:v>0.50800000000000001</c:v>
                </c:pt>
                <c:pt idx="133">
                  <c:v>0.498</c:v>
                </c:pt>
                <c:pt idx="134">
                  <c:v>0.48699999999999999</c:v>
                </c:pt>
                <c:pt idx="135">
                  <c:v>0.47899999999999998</c:v>
                </c:pt>
                <c:pt idx="136">
                  <c:v>0.47499999999999998</c:v>
                </c:pt>
                <c:pt idx="137">
                  <c:v>0.46700000000000003</c:v>
                </c:pt>
                <c:pt idx="138">
                  <c:v>0.45900000000000002</c:v>
                </c:pt>
                <c:pt idx="139">
                  <c:v>0.45600000000000002</c:v>
                </c:pt>
                <c:pt idx="140">
                  <c:v>0.45800000000000002</c:v>
                </c:pt>
                <c:pt idx="141">
                  <c:v>0.46200000000000002</c:v>
                </c:pt>
                <c:pt idx="142">
                  <c:v>0.46899999999999997</c:v>
                </c:pt>
                <c:pt idx="143">
                  <c:v>0.47599999999999998</c:v>
                </c:pt>
                <c:pt idx="144">
                  <c:v>0.48499999999999999</c:v>
                </c:pt>
                <c:pt idx="145">
                  <c:v>0.495</c:v>
                </c:pt>
                <c:pt idx="146">
                  <c:v>0.504</c:v>
                </c:pt>
                <c:pt idx="147">
                  <c:v>0.51100000000000001</c:v>
                </c:pt>
                <c:pt idx="148">
                  <c:v>0.51200000000000001</c:v>
                </c:pt>
                <c:pt idx="149">
                  <c:v>0.50600000000000001</c:v>
                </c:pt>
                <c:pt idx="150">
                  <c:v>0.501</c:v>
                </c:pt>
                <c:pt idx="151">
                  <c:v>0.499</c:v>
                </c:pt>
                <c:pt idx="152">
                  <c:v>0.498</c:v>
                </c:pt>
                <c:pt idx="153">
                  <c:v>0.497</c:v>
                </c:pt>
                <c:pt idx="154">
                  <c:v>0.504</c:v>
                </c:pt>
                <c:pt idx="155">
                  <c:v>0.503</c:v>
                </c:pt>
                <c:pt idx="156">
                  <c:v>0.499</c:v>
                </c:pt>
                <c:pt idx="157">
                  <c:v>0.495</c:v>
                </c:pt>
                <c:pt idx="158">
                  <c:v>0.48899999999999999</c:v>
                </c:pt>
                <c:pt idx="159">
                  <c:v>0.47899999999999998</c:v>
                </c:pt>
                <c:pt idx="160">
                  <c:v>0.46800000000000003</c:v>
                </c:pt>
                <c:pt idx="161">
                  <c:v>0.45900000000000002</c:v>
                </c:pt>
                <c:pt idx="162">
                  <c:v>0.45</c:v>
                </c:pt>
                <c:pt idx="163">
                  <c:v>0.438</c:v>
                </c:pt>
                <c:pt idx="164">
                  <c:v>0.42699999999999999</c:v>
                </c:pt>
                <c:pt idx="165">
                  <c:v>0.41799999999999998</c:v>
                </c:pt>
                <c:pt idx="166">
                  <c:v>0.40799999999999997</c:v>
                </c:pt>
                <c:pt idx="167">
                  <c:v>0.39800000000000002</c:v>
                </c:pt>
                <c:pt idx="168">
                  <c:v>0.39200000000000002</c:v>
                </c:pt>
                <c:pt idx="169">
                  <c:v>0.39100000000000001</c:v>
                </c:pt>
                <c:pt idx="170">
                  <c:v>0.38200000000000001</c:v>
                </c:pt>
                <c:pt idx="171">
                  <c:v>0.371</c:v>
                </c:pt>
                <c:pt idx="172">
                  <c:v>0.36099999999999999</c:v>
                </c:pt>
                <c:pt idx="173">
                  <c:v>0.34899999999999998</c:v>
                </c:pt>
                <c:pt idx="174">
                  <c:v>0.34</c:v>
                </c:pt>
                <c:pt idx="175">
                  <c:v>0.33200000000000002</c:v>
                </c:pt>
                <c:pt idx="176">
                  <c:v>0.32200000000000001</c:v>
                </c:pt>
                <c:pt idx="177">
                  <c:v>0.314</c:v>
                </c:pt>
                <c:pt idx="178">
                  <c:v>0.307</c:v>
                </c:pt>
                <c:pt idx="179">
                  <c:v>0.30399999999999999</c:v>
                </c:pt>
                <c:pt idx="180">
                  <c:v>0.29499999999999998</c:v>
                </c:pt>
                <c:pt idx="181">
                  <c:v>0.28399999999999997</c:v>
                </c:pt>
                <c:pt idx="182">
                  <c:v>0.27400000000000002</c:v>
                </c:pt>
                <c:pt idx="183">
                  <c:v>0.26400000000000001</c:v>
                </c:pt>
                <c:pt idx="184">
                  <c:v>0.255</c:v>
                </c:pt>
                <c:pt idx="185">
                  <c:v>0.247</c:v>
                </c:pt>
                <c:pt idx="186">
                  <c:v>0.28799999999999998</c:v>
                </c:pt>
                <c:pt idx="187">
                  <c:v>0.32400000000000001</c:v>
                </c:pt>
                <c:pt idx="188">
                  <c:v>0.32200000000000001</c:v>
                </c:pt>
                <c:pt idx="189">
                  <c:v>0.32800000000000001</c:v>
                </c:pt>
                <c:pt idx="190">
                  <c:v>0.33600000000000002</c:v>
                </c:pt>
                <c:pt idx="191">
                  <c:v>0.34699999999999998</c:v>
                </c:pt>
                <c:pt idx="192">
                  <c:v>0.35899999999999999</c:v>
                </c:pt>
                <c:pt idx="193">
                  <c:v>0.373</c:v>
                </c:pt>
                <c:pt idx="194">
                  <c:v>0.38700000000000001</c:v>
                </c:pt>
                <c:pt idx="195">
                  <c:v>0.40100000000000002</c:v>
                </c:pt>
                <c:pt idx="196">
                  <c:v>0.41699999999999998</c:v>
                </c:pt>
                <c:pt idx="197">
                  <c:v>0.436</c:v>
                </c:pt>
                <c:pt idx="198">
                  <c:v>0.45</c:v>
                </c:pt>
                <c:pt idx="199">
                  <c:v>0.46899999999999997</c:v>
                </c:pt>
                <c:pt idx="200">
                  <c:v>0.49199999999999999</c:v>
                </c:pt>
                <c:pt idx="201">
                  <c:v>0.51300000000000001</c:v>
                </c:pt>
                <c:pt idx="202">
                  <c:v>0.53200000000000003</c:v>
                </c:pt>
                <c:pt idx="203">
                  <c:v>0.55000000000000004</c:v>
                </c:pt>
                <c:pt idx="204">
                  <c:v>0.56699999999999995</c:v>
                </c:pt>
                <c:pt idx="205">
                  <c:v>0.58299999999999996</c:v>
                </c:pt>
                <c:pt idx="206">
                  <c:v>0.6</c:v>
                </c:pt>
                <c:pt idx="207">
                  <c:v>0.61199999999999999</c:v>
                </c:pt>
                <c:pt idx="208">
                  <c:v>0.622</c:v>
                </c:pt>
                <c:pt idx="209">
                  <c:v>0.63100000000000001</c:v>
                </c:pt>
                <c:pt idx="210">
                  <c:v>0.65300000000000002</c:v>
                </c:pt>
                <c:pt idx="211">
                  <c:v>0.73099999999999998</c:v>
                </c:pt>
                <c:pt idx="212">
                  <c:v>0.72599999999999998</c:v>
                </c:pt>
                <c:pt idx="213">
                  <c:v>0.72599999999999998</c:v>
                </c:pt>
                <c:pt idx="214">
                  <c:v>0.71799999999999997</c:v>
                </c:pt>
                <c:pt idx="215">
                  <c:v>0.71599999999999997</c:v>
                </c:pt>
                <c:pt idx="216">
                  <c:v>0.71599999999999997</c:v>
                </c:pt>
                <c:pt idx="217">
                  <c:v>0.72099999999999997</c:v>
                </c:pt>
                <c:pt idx="218">
                  <c:v>0.72699999999999998</c:v>
                </c:pt>
                <c:pt idx="219">
                  <c:v>0.72599999999999998</c:v>
                </c:pt>
                <c:pt idx="220">
                  <c:v>0.72599999999999998</c:v>
                </c:pt>
                <c:pt idx="221">
                  <c:v>0.72899999999999998</c:v>
                </c:pt>
                <c:pt idx="222">
                  <c:v>0.72799999999999998</c:v>
                </c:pt>
                <c:pt idx="223">
                  <c:v>0.72599999999999998</c:v>
                </c:pt>
                <c:pt idx="224">
                  <c:v>0.72399999999999998</c:v>
                </c:pt>
                <c:pt idx="225">
                  <c:v>0.72299999999999998</c:v>
                </c:pt>
                <c:pt idx="226">
                  <c:v>0.72399999999999998</c:v>
                </c:pt>
                <c:pt idx="227">
                  <c:v>0.72199999999999998</c:v>
                </c:pt>
                <c:pt idx="228">
                  <c:v>0.71899999999999997</c:v>
                </c:pt>
                <c:pt idx="229">
                  <c:v>0.71699999999999997</c:v>
                </c:pt>
                <c:pt idx="230">
                  <c:v>0.71399999999999997</c:v>
                </c:pt>
                <c:pt idx="231">
                  <c:v>0.70899999999999996</c:v>
                </c:pt>
                <c:pt idx="232">
                  <c:v>0.70699999999999996</c:v>
                </c:pt>
                <c:pt idx="233">
                  <c:v>0.70699999999999996</c:v>
                </c:pt>
                <c:pt idx="234">
                  <c:v>0.70699999999999996</c:v>
                </c:pt>
                <c:pt idx="235">
                  <c:v>0.70699999999999996</c:v>
                </c:pt>
                <c:pt idx="236">
                  <c:v>0.70799999999999996</c:v>
                </c:pt>
                <c:pt idx="237">
                  <c:v>0.70899999999999996</c:v>
                </c:pt>
                <c:pt idx="238">
                  <c:v>0.70899999999999996</c:v>
                </c:pt>
                <c:pt idx="239">
                  <c:v>0.70799999999999996</c:v>
                </c:pt>
                <c:pt idx="240">
                  <c:v>0.70399999999999996</c:v>
                </c:pt>
                <c:pt idx="241">
                  <c:v>0.69499999999999995</c:v>
                </c:pt>
                <c:pt idx="242">
                  <c:v>0.68400000000000005</c:v>
                </c:pt>
                <c:pt idx="243">
                  <c:v>0.67100000000000004</c:v>
                </c:pt>
                <c:pt idx="244">
                  <c:v>0.67100000000000004</c:v>
                </c:pt>
                <c:pt idx="245">
                  <c:v>0.65800000000000003</c:v>
                </c:pt>
                <c:pt idx="246">
                  <c:v>0.64500000000000002</c:v>
                </c:pt>
                <c:pt idx="247">
                  <c:v>0.63200000000000001</c:v>
                </c:pt>
                <c:pt idx="248">
                  <c:v>0.61899999999999999</c:v>
                </c:pt>
                <c:pt idx="249">
                  <c:v>0.60599999999999998</c:v>
                </c:pt>
                <c:pt idx="250">
                  <c:v>0.59299999999999997</c:v>
                </c:pt>
                <c:pt idx="251">
                  <c:v>0.58099999999999996</c:v>
                </c:pt>
                <c:pt idx="252">
                  <c:v>0.56999999999999995</c:v>
                </c:pt>
                <c:pt idx="253">
                  <c:v>0.55900000000000005</c:v>
                </c:pt>
                <c:pt idx="254">
                  <c:v>0.54900000000000004</c:v>
                </c:pt>
                <c:pt idx="255">
                  <c:v>0.54100000000000004</c:v>
                </c:pt>
                <c:pt idx="256">
                  <c:v>0.53300000000000003</c:v>
                </c:pt>
                <c:pt idx="257">
                  <c:v>0.52400000000000002</c:v>
                </c:pt>
                <c:pt idx="258">
                  <c:v>0.51500000000000001</c:v>
                </c:pt>
                <c:pt idx="259">
                  <c:v>0.50700000000000001</c:v>
                </c:pt>
                <c:pt idx="260">
                  <c:v>0.499</c:v>
                </c:pt>
                <c:pt idx="261">
                  <c:v>0.49299999999999999</c:v>
                </c:pt>
                <c:pt idx="262">
                  <c:v>0.48699999999999999</c:v>
                </c:pt>
                <c:pt idx="263">
                  <c:v>0.48099999999999998</c:v>
                </c:pt>
                <c:pt idx="264">
                  <c:v>0.47199999999999998</c:v>
                </c:pt>
                <c:pt idx="265">
                  <c:v>0.46500000000000002</c:v>
                </c:pt>
                <c:pt idx="266">
                  <c:v>0.45700000000000002</c:v>
                </c:pt>
                <c:pt idx="267">
                  <c:v>0.45</c:v>
                </c:pt>
                <c:pt idx="268">
                  <c:v>0.443</c:v>
                </c:pt>
                <c:pt idx="269">
                  <c:v>0.436</c:v>
                </c:pt>
                <c:pt idx="270">
                  <c:v>0.42899999999999999</c:v>
                </c:pt>
                <c:pt idx="271">
                  <c:v>0.42199999999999999</c:v>
                </c:pt>
                <c:pt idx="272">
                  <c:v>0.41399999999999998</c:v>
                </c:pt>
                <c:pt idx="273">
                  <c:v>0.40699999999999997</c:v>
                </c:pt>
                <c:pt idx="274">
                  <c:v>0.4</c:v>
                </c:pt>
                <c:pt idx="275">
                  <c:v>0.39500000000000002</c:v>
                </c:pt>
                <c:pt idx="276">
                  <c:v>0.38800000000000001</c:v>
                </c:pt>
                <c:pt idx="277">
                  <c:v>0.38100000000000001</c:v>
                </c:pt>
                <c:pt idx="278">
                  <c:v>0.375</c:v>
                </c:pt>
                <c:pt idx="279">
                  <c:v>0.36799999999999999</c:v>
                </c:pt>
                <c:pt idx="280">
                  <c:v>0.36</c:v>
                </c:pt>
                <c:pt idx="281">
                  <c:v>0.35199999999999998</c:v>
                </c:pt>
                <c:pt idx="282">
                  <c:v>0.34599999999999997</c:v>
                </c:pt>
                <c:pt idx="283">
                  <c:v>0.33900000000000002</c:v>
                </c:pt>
                <c:pt idx="284">
                  <c:v>0.33400000000000002</c:v>
                </c:pt>
                <c:pt idx="285">
                  <c:v>0.33</c:v>
                </c:pt>
                <c:pt idx="286">
                  <c:v>0.32600000000000001</c:v>
                </c:pt>
                <c:pt idx="287">
                  <c:v>0.32100000000000001</c:v>
                </c:pt>
                <c:pt idx="288">
                  <c:v>0.315</c:v>
                </c:pt>
                <c:pt idx="289">
                  <c:v>0.308</c:v>
                </c:pt>
                <c:pt idx="290">
                  <c:v>0.30199999999999999</c:v>
                </c:pt>
                <c:pt idx="291">
                  <c:v>0.29599999999999999</c:v>
                </c:pt>
                <c:pt idx="292">
                  <c:v>0.29099999999999998</c:v>
                </c:pt>
                <c:pt idx="293">
                  <c:v>0.28499999999999998</c:v>
                </c:pt>
                <c:pt idx="294">
                  <c:v>0.28000000000000003</c:v>
                </c:pt>
                <c:pt idx="295">
                  <c:v>0.27400000000000002</c:v>
                </c:pt>
                <c:pt idx="296">
                  <c:v>0.26900000000000002</c:v>
                </c:pt>
                <c:pt idx="297">
                  <c:v>0.26400000000000001</c:v>
                </c:pt>
                <c:pt idx="298">
                  <c:v>0.25800000000000001</c:v>
                </c:pt>
                <c:pt idx="299">
                  <c:v>0.251</c:v>
                </c:pt>
                <c:pt idx="300">
                  <c:v>0.245</c:v>
                </c:pt>
                <c:pt idx="301">
                  <c:v>0.23899999999999999</c:v>
                </c:pt>
                <c:pt idx="302">
                  <c:v>0.23400000000000001</c:v>
                </c:pt>
                <c:pt idx="303">
                  <c:v>0.22800000000000001</c:v>
                </c:pt>
                <c:pt idx="304">
                  <c:v>0.222</c:v>
                </c:pt>
                <c:pt idx="305">
                  <c:v>0.218</c:v>
                </c:pt>
                <c:pt idx="306">
                  <c:v>0.215</c:v>
                </c:pt>
                <c:pt idx="307">
                  <c:v>0.221</c:v>
                </c:pt>
                <c:pt idx="308">
                  <c:v>0.23599999999999999</c:v>
                </c:pt>
                <c:pt idx="309">
                  <c:v>0.23200000000000001</c:v>
                </c:pt>
                <c:pt idx="310">
                  <c:v>0.22700000000000001</c:v>
                </c:pt>
                <c:pt idx="311">
                  <c:v>0.223</c:v>
                </c:pt>
                <c:pt idx="312">
                  <c:v>0.219</c:v>
                </c:pt>
                <c:pt idx="313">
                  <c:v>0.214</c:v>
                </c:pt>
                <c:pt idx="314">
                  <c:v>0.21</c:v>
                </c:pt>
                <c:pt idx="315">
                  <c:v>0.20799999999999999</c:v>
                </c:pt>
                <c:pt idx="316">
                  <c:v>0.20300000000000001</c:v>
                </c:pt>
                <c:pt idx="317">
                  <c:v>0.19800000000000001</c:v>
                </c:pt>
                <c:pt idx="318">
                  <c:v>0.19400000000000001</c:v>
                </c:pt>
                <c:pt idx="319">
                  <c:v>0.19</c:v>
                </c:pt>
                <c:pt idx="320">
                  <c:v>0.186</c:v>
                </c:pt>
                <c:pt idx="321">
                  <c:v>0.182</c:v>
                </c:pt>
                <c:pt idx="322">
                  <c:v>0.17799999999999999</c:v>
                </c:pt>
                <c:pt idx="323">
                  <c:v>0.17399999999999999</c:v>
                </c:pt>
                <c:pt idx="324">
                  <c:v>0.17</c:v>
                </c:pt>
                <c:pt idx="325">
                  <c:v>0.16500000000000001</c:v>
                </c:pt>
                <c:pt idx="326">
                  <c:v>0.161</c:v>
                </c:pt>
                <c:pt idx="327">
                  <c:v>0.158</c:v>
                </c:pt>
                <c:pt idx="328">
                  <c:v>0.154</c:v>
                </c:pt>
                <c:pt idx="329">
                  <c:v>0.14799999999999999</c:v>
                </c:pt>
                <c:pt idx="330">
                  <c:v>0.14399999999999999</c:v>
                </c:pt>
                <c:pt idx="331">
                  <c:v>0.14099999999999999</c:v>
                </c:pt>
                <c:pt idx="332">
                  <c:v>0.14299999999999999</c:v>
                </c:pt>
                <c:pt idx="333">
                  <c:v>0.13800000000000001</c:v>
                </c:pt>
                <c:pt idx="334">
                  <c:v>0.13400000000000001</c:v>
                </c:pt>
                <c:pt idx="335">
                  <c:v>0.13100000000000001</c:v>
                </c:pt>
                <c:pt idx="336">
                  <c:v>0.13300000000000001</c:v>
                </c:pt>
                <c:pt idx="337">
                  <c:v>0.13800000000000001</c:v>
                </c:pt>
                <c:pt idx="338">
                  <c:v>0.13900000000000001</c:v>
                </c:pt>
                <c:pt idx="339">
                  <c:v>0.14000000000000001</c:v>
                </c:pt>
                <c:pt idx="340">
                  <c:v>0.184</c:v>
                </c:pt>
                <c:pt idx="341">
                  <c:v>0.187</c:v>
                </c:pt>
                <c:pt idx="342">
                  <c:v>0.185</c:v>
                </c:pt>
                <c:pt idx="343">
                  <c:v>0.182</c:v>
                </c:pt>
                <c:pt idx="344">
                  <c:v>0.17899999999999999</c:v>
                </c:pt>
                <c:pt idx="345">
                  <c:v>0.17599999999999999</c:v>
                </c:pt>
                <c:pt idx="346">
                  <c:v>0.17199999999999999</c:v>
                </c:pt>
                <c:pt idx="347">
                  <c:v>0.16900000000000001</c:v>
                </c:pt>
                <c:pt idx="348">
                  <c:v>0.16600000000000001</c:v>
                </c:pt>
                <c:pt idx="349">
                  <c:v>0.16200000000000001</c:v>
                </c:pt>
                <c:pt idx="350">
                  <c:v>0.159</c:v>
                </c:pt>
                <c:pt idx="351">
                  <c:v>0.156</c:v>
                </c:pt>
                <c:pt idx="352">
                  <c:v>0.153</c:v>
                </c:pt>
                <c:pt idx="353">
                  <c:v>0.15</c:v>
                </c:pt>
                <c:pt idx="354">
                  <c:v>0.15</c:v>
                </c:pt>
                <c:pt idx="355">
                  <c:v>0.17</c:v>
                </c:pt>
                <c:pt idx="356">
                  <c:v>0.19500000000000001</c:v>
                </c:pt>
                <c:pt idx="357">
                  <c:v>0.216</c:v>
                </c:pt>
                <c:pt idx="358">
                  <c:v>0.24399999999999999</c:v>
                </c:pt>
                <c:pt idx="359">
                  <c:v>0.27900000000000003</c:v>
                </c:pt>
                <c:pt idx="360">
                  <c:v>0.32100000000000001</c:v>
                </c:pt>
                <c:pt idx="361">
                  <c:v>0.35699999999999998</c:v>
                </c:pt>
                <c:pt idx="362">
                  <c:v>0.39400000000000002</c:v>
                </c:pt>
                <c:pt idx="363">
                  <c:v>0.433</c:v>
                </c:pt>
                <c:pt idx="364">
                  <c:v>0.47</c:v>
                </c:pt>
                <c:pt idx="365">
                  <c:v>0.504</c:v>
                </c:pt>
              </c:numCache>
            </c:numRef>
          </c:val>
          <c:smooth val="0"/>
          <c:extLst xmlns:c16r2="http://schemas.microsoft.com/office/drawing/2015/06/chart">
            <c:ext xmlns:c16="http://schemas.microsoft.com/office/drawing/2014/chart" uri="{C3380CC4-5D6E-409C-BE32-E72D297353CC}">
              <c16:uniqueId val="{00000004-6B83-4F32-895E-FF7105E1F411}"/>
            </c:ext>
          </c:extLst>
        </c:ser>
        <c:ser>
          <c:idx val="5"/>
          <c:order val="4"/>
          <c:tx>
            <c:strRef>
              <c:f>flows!$Q$1</c:f>
              <c:strCache>
                <c:ptCount val="1"/>
                <c:pt idx="0">
                  <c:v>Bunnor Bird Hide rmCam</c:v>
                </c:pt>
              </c:strCache>
            </c:strRef>
          </c:tx>
          <c:spPr>
            <a:ln w="28575" cap="rnd">
              <a:solidFill>
                <a:schemeClr val="bg2">
                  <a:lumMod val="25000"/>
                </a:schemeClr>
              </a:solidFill>
              <a:prstDash val="dash"/>
              <a:round/>
            </a:ln>
            <a:effectLst/>
          </c:spPr>
          <c:marker>
            <c:symbol val="none"/>
          </c:marker>
          <c:cat>
            <c:numRef>
              <c:f>flows!$A$5:$A$370</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flows!$Q$5:$Q$370</c:f>
              <c:numCache>
                <c:formatCode>0.00</c:formatCode>
                <c:ptCount val="366"/>
                <c:pt idx="0">
                  <c:v>0.6</c:v>
                </c:pt>
                <c:pt idx="1">
                  <c:v>0.6</c:v>
                </c:pt>
                <c:pt idx="2">
                  <c:v>0.57999999999999996</c:v>
                </c:pt>
                <c:pt idx="3">
                  <c:v>0.56999999999999995</c:v>
                </c:pt>
                <c:pt idx="4">
                  <c:v>0.56999999999999995</c:v>
                </c:pt>
                <c:pt idx="5">
                  <c:v>0.56999999999999995</c:v>
                </c:pt>
                <c:pt idx="6">
                  <c:v>0.56000000000000005</c:v>
                </c:pt>
                <c:pt idx="7">
                  <c:v>0.56000000000000005</c:v>
                </c:pt>
                <c:pt idx="8">
                  <c:v>0.56000000000000005</c:v>
                </c:pt>
                <c:pt idx="9">
                  <c:v>0.56000000000000005</c:v>
                </c:pt>
                <c:pt idx="10">
                  <c:v>0.56999999999999995</c:v>
                </c:pt>
                <c:pt idx="11">
                  <c:v>0.56000000000000005</c:v>
                </c:pt>
                <c:pt idx="12">
                  <c:v>0.56000000000000005</c:v>
                </c:pt>
                <c:pt idx="13">
                  <c:v>0.55000000000000004</c:v>
                </c:pt>
                <c:pt idx="14">
                  <c:v>0.55000000000000004</c:v>
                </c:pt>
                <c:pt idx="15">
                  <c:v>0.55000000000000004</c:v>
                </c:pt>
                <c:pt idx="16">
                  <c:v>0.55000000000000004</c:v>
                </c:pt>
                <c:pt idx="17">
                  <c:v>0.55000000000000004</c:v>
                </c:pt>
                <c:pt idx="18">
                  <c:v>0.55000000000000004</c:v>
                </c:pt>
                <c:pt idx="19">
                  <c:v>0.55000000000000004</c:v>
                </c:pt>
                <c:pt idx="20">
                  <c:v>0.54</c:v>
                </c:pt>
                <c:pt idx="21">
                  <c:v>0.55000000000000004</c:v>
                </c:pt>
                <c:pt idx="22">
                  <c:v>0.54</c:v>
                </c:pt>
                <c:pt idx="23">
                  <c:v>0.55000000000000004</c:v>
                </c:pt>
                <c:pt idx="24">
                  <c:v>0.54</c:v>
                </c:pt>
                <c:pt idx="25">
                  <c:v>0.53</c:v>
                </c:pt>
                <c:pt idx="26">
                  <c:v>0.54</c:v>
                </c:pt>
                <c:pt idx="27">
                  <c:v>0.55000000000000004</c:v>
                </c:pt>
                <c:pt idx="28">
                  <c:v>0.57999999999999996</c:v>
                </c:pt>
                <c:pt idx="29">
                  <c:v>0.61</c:v>
                </c:pt>
                <c:pt idx="30">
                  <c:v>0.62</c:v>
                </c:pt>
                <c:pt idx="31">
                  <c:v>0.61</c:v>
                </c:pt>
                <c:pt idx="32">
                  <c:v>0.61</c:v>
                </c:pt>
                <c:pt idx="33">
                  <c:v>0.61</c:v>
                </c:pt>
                <c:pt idx="34">
                  <c:v>0.61</c:v>
                </c:pt>
                <c:pt idx="35">
                  <c:v>0.61</c:v>
                </c:pt>
                <c:pt idx="36">
                  <c:v>0.6</c:v>
                </c:pt>
                <c:pt idx="37">
                  <c:v>0.6</c:v>
                </c:pt>
                <c:pt idx="38">
                  <c:v>0.57999999999999996</c:v>
                </c:pt>
                <c:pt idx="39">
                  <c:v>0.56999999999999995</c:v>
                </c:pt>
                <c:pt idx="40">
                  <c:v>0.56999999999999995</c:v>
                </c:pt>
                <c:pt idx="41">
                  <c:v>0.56999999999999995</c:v>
                </c:pt>
                <c:pt idx="42">
                  <c:v>0.56000000000000005</c:v>
                </c:pt>
                <c:pt idx="43">
                  <c:v>0.56999999999999995</c:v>
                </c:pt>
                <c:pt idx="44">
                  <c:v>0.56000000000000005</c:v>
                </c:pt>
                <c:pt idx="45">
                  <c:v>0.56000000000000005</c:v>
                </c:pt>
                <c:pt idx="46">
                  <c:v>0.56000000000000005</c:v>
                </c:pt>
                <c:pt idx="47">
                  <c:v>0.55000000000000004</c:v>
                </c:pt>
                <c:pt idx="48">
                  <c:v>0.55000000000000004</c:v>
                </c:pt>
                <c:pt idx="49">
                  <c:v>0.55000000000000004</c:v>
                </c:pt>
                <c:pt idx="50">
                  <c:v>0.55000000000000004</c:v>
                </c:pt>
                <c:pt idx="51">
                  <c:v>0.56000000000000005</c:v>
                </c:pt>
                <c:pt idx="52">
                  <c:v>0.56000000000000005</c:v>
                </c:pt>
                <c:pt idx="53">
                  <c:v>0.55000000000000004</c:v>
                </c:pt>
                <c:pt idx="54">
                  <c:v>0.55000000000000004</c:v>
                </c:pt>
                <c:pt idx="55">
                  <c:v>0.54</c:v>
                </c:pt>
                <c:pt idx="56">
                  <c:v>0.55000000000000004</c:v>
                </c:pt>
                <c:pt idx="57">
                  <c:v>0.56000000000000005</c:v>
                </c:pt>
                <c:pt idx="58">
                  <c:v>0.57999999999999996</c:v>
                </c:pt>
                <c:pt idx="59">
                  <c:v>0.61</c:v>
                </c:pt>
                <c:pt idx="60">
                  <c:v>0.61</c:v>
                </c:pt>
                <c:pt idx="61">
                  <c:v>0.6</c:v>
                </c:pt>
                <c:pt idx="62">
                  <c:v>0.6</c:v>
                </c:pt>
                <c:pt idx="63">
                  <c:v>0.61</c:v>
                </c:pt>
                <c:pt idx="64">
                  <c:v>0.62</c:v>
                </c:pt>
                <c:pt idx="65">
                  <c:v>0.62</c:v>
                </c:pt>
                <c:pt idx="66">
                  <c:v>0.62</c:v>
                </c:pt>
                <c:pt idx="67">
                  <c:v>0.62</c:v>
                </c:pt>
                <c:pt idx="68">
                  <c:v>0.62</c:v>
                </c:pt>
                <c:pt idx="69">
                  <c:v>0.61</c:v>
                </c:pt>
                <c:pt idx="70">
                  <c:v>0.61</c:v>
                </c:pt>
                <c:pt idx="71">
                  <c:v>0.6</c:v>
                </c:pt>
                <c:pt idx="72">
                  <c:v>0.6</c:v>
                </c:pt>
                <c:pt idx="73">
                  <c:v>0.6</c:v>
                </c:pt>
                <c:pt idx="74">
                  <c:v>0.6</c:v>
                </c:pt>
                <c:pt idx="75">
                  <c:v>0.6</c:v>
                </c:pt>
                <c:pt idx="76">
                  <c:v>0.59</c:v>
                </c:pt>
                <c:pt idx="77">
                  <c:v>0.59</c:v>
                </c:pt>
                <c:pt idx="78">
                  <c:v>0.59</c:v>
                </c:pt>
                <c:pt idx="79">
                  <c:v>0.57999999999999996</c:v>
                </c:pt>
                <c:pt idx="80">
                  <c:v>0.56999999999999995</c:v>
                </c:pt>
                <c:pt idx="81">
                  <c:v>0.56999999999999995</c:v>
                </c:pt>
                <c:pt idx="82">
                  <c:v>0.56000000000000005</c:v>
                </c:pt>
                <c:pt idx="83">
                  <c:v>0.55000000000000004</c:v>
                </c:pt>
                <c:pt idx="84">
                  <c:v>0.55000000000000004</c:v>
                </c:pt>
                <c:pt idx="85">
                  <c:v>0.55000000000000004</c:v>
                </c:pt>
                <c:pt idx="86">
                  <c:v>0.55000000000000004</c:v>
                </c:pt>
                <c:pt idx="87">
                  <c:v>0.55000000000000004</c:v>
                </c:pt>
                <c:pt idx="88">
                  <c:v>0.54</c:v>
                </c:pt>
                <c:pt idx="89">
                  <c:v>0.54</c:v>
                </c:pt>
                <c:pt idx="90">
                  <c:v>0.54</c:v>
                </c:pt>
                <c:pt idx="91">
                  <c:v>0.53</c:v>
                </c:pt>
                <c:pt idx="92">
                  <c:v>0.53</c:v>
                </c:pt>
                <c:pt idx="93">
                  <c:v>0.53</c:v>
                </c:pt>
                <c:pt idx="94">
                  <c:v>0.53</c:v>
                </c:pt>
                <c:pt idx="95">
                  <c:v>0.52</c:v>
                </c:pt>
                <c:pt idx="96">
                  <c:v>0.52</c:v>
                </c:pt>
                <c:pt idx="97">
                  <c:v>0.52</c:v>
                </c:pt>
                <c:pt idx="98">
                  <c:v>0.52</c:v>
                </c:pt>
                <c:pt idx="99">
                  <c:v>0.52</c:v>
                </c:pt>
                <c:pt idx="100">
                  <c:v>0.52</c:v>
                </c:pt>
                <c:pt idx="101">
                  <c:v>0.52</c:v>
                </c:pt>
                <c:pt idx="102">
                  <c:v>0.52</c:v>
                </c:pt>
                <c:pt idx="103">
                  <c:v>0.52</c:v>
                </c:pt>
                <c:pt idx="104">
                  <c:v>0.53</c:v>
                </c:pt>
                <c:pt idx="105">
                  <c:v>0.53</c:v>
                </c:pt>
                <c:pt idx="106">
                  <c:v>0.52</c:v>
                </c:pt>
                <c:pt idx="107">
                  <c:v>0.52</c:v>
                </c:pt>
                <c:pt idx="108">
                  <c:v>0.52</c:v>
                </c:pt>
                <c:pt idx="109">
                  <c:v>0.51</c:v>
                </c:pt>
                <c:pt idx="110">
                  <c:v>0.51</c:v>
                </c:pt>
                <c:pt idx="111">
                  <c:v>0.51</c:v>
                </c:pt>
                <c:pt idx="112">
                  <c:v>0.49</c:v>
                </c:pt>
                <c:pt idx="113">
                  <c:v>0.49</c:v>
                </c:pt>
                <c:pt idx="114">
                  <c:v>0.48</c:v>
                </c:pt>
                <c:pt idx="115">
                  <c:v>0.47</c:v>
                </c:pt>
                <c:pt idx="116">
                  <c:v>0.48</c:v>
                </c:pt>
                <c:pt idx="117">
                  <c:v>0.47</c:v>
                </c:pt>
                <c:pt idx="118">
                  <c:v>0.46</c:v>
                </c:pt>
                <c:pt idx="119">
                  <c:v>0.45</c:v>
                </c:pt>
                <c:pt idx="120">
                  <c:v>0.44</c:v>
                </c:pt>
                <c:pt idx="121">
                  <c:v>0.44</c:v>
                </c:pt>
                <c:pt idx="122">
                  <c:v>0.44</c:v>
                </c:pt>
                <c:pt idx="123">
                  <c:v>0.45</c:v>
                </c:pt>
                <c:pt idx="124">
                  <c:v>0.46</c:v>
                </c:pt>
                <c:pt idx="125">
                  <c:v>0.46</c:v>
                </c:pt>
                <c:pt idx="126">
                  <c:v>0.48</c:v>
                </c:pt>
                <c:pt idx="127">
                  <c:v>0.49</c:v>
                </c:pt>
                <c:pt idx="128">
                  <c:v>0.48</c:v>
                </c:pt>
                <c:pt idx="129">
                  <c:v>0.49</c:v>
                </c:pt>
                <c:pt idx="130">
                  <c:v>0.5</c:v>
                </c:pt>
                <c:pt idx="131">
                  <c:v>0.51</c:v>
                </c:pt>
                <c:pt idx="132">
                  <c:v>0.51</c:v>
                </c:pt>
                <c:pt idx="133">
                  <c:v>0.52</c:v>
                </c:pt>
                <c:pt idx="134">
                  <c:v>0.52</c:v>
                </c:pt>
                <c:pt idx="135">
                  <c:v>0.54</c:v>
                </c:pt>
                <c:pt idx="136">
                  <c:v>0.53</c:v>
                </c:pt>
                <c:pt idx="137">
                  <c:v>0.54</c:v>
                </c:pt>
                <c:pt idx="138">
                  <c:v>0.54</c:v>
                </c:pt>
                <c:pt idx="139">
                  <c:v>0.54</c:v>
                </c:pt>
                <c:pt idx="140">
                  <c:v>0.53</c:v>
                </c:pt>
                <c:pt idx="141">
                  <c:v>0.53</c:v>
                </c:pt>
                <c:pt idx="142">
                  <c:v>0.52</c:v>
                </c:pt>
                <c:pt idx="143">
                  <c:v>0.52</c:v>
                </c:pt>
                <c:pt idx="144">
                  <c:v>0.53</c:v>
                </c:pt>
                <c:pt idx="145">
                  <c:v>0.53</c:v>
                </c:pt>
                <c:pt idx="146">
                  <c:v>0.53</c:v>
                </c:pt>
                <c:pt idx="147">
                  <c:v>0.54</c:v>
                </c:pt>
                <c:pt idx="148">
                  <c:v>0.52</c:v>
                </c:pt>
                <c:pt idx="149">
                  <c:v>0.51</c:v>
                </c:pt>
                <c:pt idx="150">
                  <c:v>0.51</c:v>
                </c:pt>
                <c:pt idx="151">
                  <c:v>0.5</c:v>
                </c:pt>
                <c:pt idx="152">
                  <c:v>0.5</c:v>
                </c:pt>
                <c:pt idx="153">
                  <c:v>0.5</c:v>
                </c:pt>
                <c:pt idx="154">
                  <c:v>0.49</c:v>
                </c:pt>
                <c:pt idx="155">
                  <c:v>0.48</c:v>
                </c:pt>
                <c:pt idx="156">
                  <c:v>0.47</c:v>
                </c:pt>
                <c:pt idx="157">
                  <c:v>0.47</c:v>
                </c:pt>
                <c:pt idx="158">
                  <c:v>0.46</c:v>
                </c:pt>
                <c:pt idx="159">
                  <c:v>0.47</c:v>
                </c:pt>
                <c:pt idx="160">
                  <c:v>0.47</c:v>
                </c:pt>
                <c:pt idx="161">
                  <c:v>0.46</c:v>
                </c:pt>
                <c:pt idx="162">
                  <c:v>0.45</c:v>
                </c:pt>
                <c:pt idx="163">
                  <c:v>0.46</c:v>
                </c:pt>
                <c:pt idx="164">
                  <c:v>0.48</c:v>
                </c:pt>
                <c:pt idx="165">
                  <c:v>0.48</c:v>
                </c:pt>
                <c:pt idx="166">
                  <c:v>0.49</c:v>
                </c:pt>
                <c:pt idx="167">
                  <c:v>0.51</c:v>
                </c:pt>
                <c:pt idx="168">
                  <c:v>0.49</c:v>
                </c:pt>
                <c:pt idx="169">
                  <c:v>0.49</c:v>
                </c:pt>
                <c:pt idx="170">
                  <c:v>0.49</c:v>
                </c:pt>
                <c:pt idx="171">
                  <c:v>0.5</c:v>
                </c:pt>
                <c:pt idx="172">
                  <c:v>0.49</c:v>
                </c:pt>
                <c:pt idx="173">
                  <c:v>0.5</c:v>
                </c:pt>
                <c:pt idx="174">
                  <c:v>0.5</c:v>
                </c:pt>
                <c:pt idx="175">
                  <c:v>0.51</c:v>
                </c:pt>
                <c:pt idx="176">
                  <c:v>0.5</c:v>
                </c:pt>
                <c:pt idx="177">
                  <c:v>0.5</c:v>
                </c:pt>
                <c:pt idx="178">
                  <c:v>0.5</c:v>
                </c:pt>
                <c:pt idx="179">
                  <c:v>0.49</c:v>
                </c:pt>
                <c:pt idx="180">
                  <c:v>0.49</c:v>
                </c:pt>
                <c:pt idx="181">
                  <c:v>0.5</c:v>
                </c:pt>
                <c:pt idx="182">
                  <c:v>0.5</c:v>
                </c:pt>
                <c:pt idx="183">
                  <c:v>0.51</c:v>
                </c:pt>
                <c:pt idx="184" formatCode="General">
                  <c:v>0.51</c:v>
                </c:pt>
                <c:pt idx="185" formatCode="General">
                  <c:v>0.55000000000000004</c:v>
                </c:pt>
                <c:pt idx="186" formatCode="General">
                  <c:v>0.53</c:v>
                </c:pt>
                <c:pt idx="187" formatCode="General">
                  <c:v>0.53</c:v>
                </c:pt>
                <c:pt idx="188" formatCode="General">
                  <c:v>0.52</c:v>
                </c:pt>
                <c:pt idx="189" formatCode="General">
                  <c:v>0.53</c:v>
                </c:pt>
                <c:pt idx="190" formatCode="General">
                  <c:v>0.53</c:v>
                </c:pt>
                <c:pt idx="191" formatCode="General">
                  <c:v>0.54</c:v>
                </c:pt>
                <c:pt idx="192" formatCode="General">
                  <c:v>0.54</c:v>
                </c:pt>
                <c:pt idx="193" formatCode="General">
                  <c:v>0.54</c:v>
                </c:pt>
                <c:pt idx="194" formatCode="General">
                  <c:v>0.55000000000000004</c:v>
                </c:pt>
                <c:pt idx="195" formatCode="General">
                  <c:v>0.55000000000000004</c:v>
                </c:pt>
                <c:pt idx="196" formatCode="General">
                  <c:v>0.56000000000000005</c:v>
                </c:pt>
                <c:pt idx="197" formatCode="General">
                  <c:v>0.56000000000000005</c:v>
                </c:pt>
                <c:pt idx="198" formatCode="General">
                  <c:v>0.56999999999999995</c:v>
                </c:pt>
                <c:pt idx="199" formatCode="General">
                  <c:v>0.56999999999999995</c:v>
                </c:pt>
                <c:pt idx="200" formatCode="General">
                  <c:v>0.56000000000000005</c:v>
                </c:pt>
                <c:pt idx="201" formatCode="General">
                  <c:v>0.55000000000000004</c:v>
                </c:pt>
                <c:pt idx="202" formatCode="General">
                  <c:v>0.55000000000000004</c:v>
                </c:pt>
                <c:pt idx="203" formatCode="General">
                  <c:v>0.55000000000000004</c:v>
                </c:pt>
                <c:pt idx="204" formatCode="General">
                  <c:v>0.54</c:v>
                </c:pt>
                <c:pt idx="205" formatCode="General">
                  <c:v>0.54</c:v>
                </c:pt>
                <c:pt idx="206" formatCode="General">
                  <c:v>0.54</c:v>
                </c:pt>
                <c:pt idx="207" formatCode="General">
                  <c:v>0.54</c:v>
                </c:pt>
                <c:pt idx="208" formatCode="General">
                  <c:v>0.54</c:v>
                </c:pt>
                <c:pt idx="209" formatCode="General">
                  <c:v>0.56000000000000005</c:v>
                </c:pt>
                <c:pt idx="210" formatCode="General">
                  <c:v>0.56999999999999995</c:v>
                </c:pt>
                <c:pt idx="211" formatCode="General">
                  <c:v>0.56000000000000005</c:v>
                </c:pt>
                <c:pt idx="212" formatCode="General">
                  <c:v>0.56000000000000005</c:v>
                </c:pt>
                <c:pt idx="213" formatCode="General">
                  <c:v>0.54</c:v>
                </c:pt>
                <c:pt idx="214" formatCode="General">
                  <c:v>0.53</c:v>
                </c:pt>
                <c:pt idx="215" formatCode="General">
                  <c:v>0.51</c:v>
                </c:pt>
                <c:pt idx="216" formatCode="General">
                  <c:v>0.55000000000000004</c:v>
                </c:pt>
                <c:pt idx="217" formatCode="General">
                  <c:v>0.55000000000000004</c:v>
                </c:pt>
                <c:pt idx="218" formatCode="General">
                  <c:v>0.55000000000000004</c:v>
                </c:pt>
                <c:pt idx="219" formatCode="General">
                  <c:v>0.56000000000000005</c:v>
                </c:pt>
                <c:pt idx="220" formatCode="General">
                  <c:v>0.56000000000000005</c:v>
                </c:pt>
                <c:pt idx="221" formatCode="General">
                  <c:v>0.56000000000000005</c:v>
                </c:pt>
                <c:pt idx="222" formatCode="General">
                  <c:v>0.56000000000000005</c:v>
                </c:pt>
                <c:pt idx="223" formatCode="General">
                  <c:v>0.56000000000000005</c:v>
                </c:pt>
                <c:pt idx="224" formatCode="General">
                  <c:v>0.56000000000000005</c:v>
                </c:pt>
                <c:pt idx="225" formatCode="General">
                  <c:v>0.56999999999999995</c:v>
                </c:pt>
                <c:pt idx="226" formatCode="General">
                  <c:v>0.56999999999999995</c:v>
                </c:pt>
                <c:pt idx="227" formatCode="General">
                  <c:v>0.56999999999999995</c:v>
                </c:pt>
                <c:pt idx="228" formatCode="General">
                  <c:v>0.56999999999999995</c:v>
                </c:pt>
                <c:pt idx="229" formatCode="General">
                  <c:v>0.56999999999999995</c:v>
                </c:pt>
                <c:pt idx="230" formatCode="General">
                  <c:v>0.56000000000000005</c:v>
                </c:pt>
                <c:pt idx="231" formatCode="General">
                  <c:v>0.55000000000000004</c:v>
                </c:pt>
                <c:pt idx="232" formatCode="General">
                  <c:v>0.54</c:v>
                </c:pt>
                <c:pt idx="233" formatCode="General">
                  <c:v>0.53</c:v>
                </c:pt>
                <c:pt idx="234" formatCode="General">
                  <c:v>0.54</c:v>
                </c:pt>
                <c:pt idx="235" formatCode="General">
                  <c:v>0.54</c:v>
                </c:pt>
                <c:pt idx="236" formatCode="General">
                  <c:v>0.54</c:v>
                </c:pt>
                <c:pt idx="237" formatCode="General">
                  <c:v>0.54</c:v>
                </c:pt>
                <c:pt idx="238" formatCode="General">
                  <c:v>0.54</c:v>
                </c:pt>
                <c:pt idx="239" formatCode="General">
                  <c:v>0.53</c:v>
                </c:pt>
                <c:pt idx="240" formatCode="General">
                  <c:v>0.51</c:v>
                </c:pt>
                <c:pt idx="241" formatCode="General">
                  <c:v>0.51</c:v>
                </c:pt>
                <c:pt idx="242" formatCode="General">
                  <c:v>0.49</c:v>
                </c:pt>
                <c:pt idx="243" formatCode="General">
                  <c:v>0.48</c:v>
                </c:pt>
                <c:pt idx="244" formatCode="General">
                  <c:v>0.47</c:v>
                </c:pt>
                <c:pt idx="245" formatCode="General">
                  <c:v>0.46</c:v>
                </c:pt>
                <c:pt idx="246" formatCode="General">
                  <c:v>0.47</c:v>
                </c:pt>
                <c:pt idx="247" formatCode="General">
                  <c:v>0.47</c:v>
                </c:pt>
                <c:pt idx="248" formatCode="General">
                  <c:v>0.47</c:v>
                </c:pt>
                <c:pt idx="249" formatCode="General">
                  <c:v>0.47</c:v>
                </c:pt>
                <c:pt idx="250" formatCode="General">
                  <c:v>0.47</c:v>
                </c:pt>
                <c:pt idx="251" formatCode="General">
                  <c:v>0.48</c:v>
                </c:pt>
                <c:pt idx="252" formatCode="General">
                  <c:v>0.48</c:v>
                </c:pt>
                <c:pt idx="253" formatCode="General">
                  <c:v>0.48</c:v>
                </c:pt>
                <c:pt idx="254" formatCode="General">
                  <c:v>0.47</c:v>
                </c:pt>
                <c:pt idx="255" formatCode="General">
                  <c:v>0.46</c:v>
                </c:pt>
                <c:pt idx="256" formatCode="General">
                  <c:v>0.45</c:v>
                </c:pt>
                <c:pt idx="257" formatCode="General">
                  <c:v>0.44</c:v>
                </c:pt>
                <c:pt idx="258" formatCode="General">
                  <c:v>0.44</c:v>
                </c:pt>
                <c:pt idx="259" formatCode="General">
                  <c:v>0.43</c:v>
                </c:pt>
                <c:pt idx="260" formatCode="General">
                  <c:v>0.43</c:v>
                </c:pt>
                <c:pt idx="261" formatCode="General">
                  <c:v>0.42</c:v>
                </c:pt>
                <c:pt idx="262" formatCode="General">
                  <c:v>0.41</c:v>
                </c:pt>
                <c:pt idx="263" formatCode="General">
                  <c:v>0.4</c:v>
                </c:pt>
                <c:pt idx="264" formatCode="General">
                  <c:v>0.39</c:v>
                </c:pt>
                <c:pt idx="265" formatCode="General">
                  <c:v>0.39</c:v>
                </c:pt>
                <c:pt idx="266" formatCode="General">
                  <c:v>0.39</c:v>
                </c:pt>
                <c:pt idx="267" formatCode="General">
                  <c:v>0.39</c:v>
                </c:pt>
                <c:pt idx="268" formatCode="General">
                  <c:v>0.38</c:v>
                </c:pt>
                <c:pt idx="269" formatCode="General">
                  <c:v>0.37</c:v>
                </c:pt>
                <c:pt idx="270" formatCode="General">
                  <c:v>0.36</c:v>
                </c:pt>
                <c:pt idx="271" formatCode="General">
                  <c:v>0.36</c:v>
                </c:pt>
                <c:pt idx="272" formatCode="General">
                  <c:v>0.35</c:v>
                </c:pt>
                <c:pt idx="273" formatCode="General">
                  <c:v>0.35</c:v>
                </c:pt>
                <c:pt idx="274" formatCode="General">
                  <c:v>0.35</c:v>
                </c:pt>
                <c:pt idx="275" formatCode="General">
                  <c:v>0.35</c:v>
                </c:pt>
                <c:pt idx="276" formatCode="General">
                  <c:v>0.34</c:v>
                </c:pt>
                <c:pt idx="277" formatCode="General">
                  <c:v>0.33</c:v>
                </c:pt>
                <c:pt idx="278" formatCode="General">
                  <c:v>0.32</c:v>
                </c:pt>
                <c:pt idx="279" formatCode="General">
                  <c:v>0.31</c:v>
                </c:pt>
                <c:pt idx="280" formatCode="General">
                  <c:v>0.31</c:v>
                </c:pt>
                <c:pt idx="281" formatCode="General">
                  <c:v>0.31</c:v>
                </c:pt>
                <c:pt idx="282" formatCode="General">
                  <c:v>0.31</c:v>
                </c:pt>
                <c:pt idx="283" formatCode="General">
                  <c:v>0.31</c:v>
                </c:pt>
                <c:pt idx="284" formatCode="General">
                  <c:v>0.3</c:v>
                </c:pt>
                <c:pt idx="285" formatCode="General">
                  <c:v>0.28999999999999998</c:v>
                </c:pt>
                <c:pt idx="286" formatCode="General">
                  <c:v>0.28999999999999998</c:v>
                </c:pt>
                <c:pt idx="287" formatCode="General">
                  <c:v>0.27</c:v>
                </c:pt>
                <c:pt idx="288" formatCode="General">
                  <c:v>0.27</c:v>
                </c:pt>
                <c:pt idx="289" formatCode="General">
                  <c:v>0.27</c:v>
                </c:pt>
                <c:pt idx="290" formatCode="General">
                  <c:v>0.27</c:v>
                </c:pt>
                <c:pt idx="291" formatCode="General">
                  <c:v>0.26</c:v>
                </c:pt>
                <c:pt idx="292" formatCode="General">
                  <c:v>0.25</c:v>
                </c:pt>
                <c:pt idx="293" formatCode="General">
                  <c:v>0.25</c:v>
                </c:pt>
                <c:pt idx="294" formatCode="General">
                  <c:v>0.24</c:v>
                </c:pt>
                <c:pt idx="295" formatCode="General">
                  <c:v>0.24</c:v>
                </c:pt>
                <c:pt idx="296" formatCode="General">
                  <c:v>0.23</c:v>
                </c:pt>
                <c:pt idx="297" formatCode="General">
                  <c:v>0.22</c:v>
                </c:pt>
                <c:pt idx="298" formatCode="General">
                  <c:v>0.21</c:v>
                </c:pt>
                <c:pt idx="299" formatCode="General">
                  <c:v>0.21</c:v>
                </c:pt>
                <c:pt idx="300" formatCode="General">
                  <c:v>0.21</c:v>
                </c:pt>
                <c:pt idx="301" formatCode="General">
                  <c:v>0.21</c:v>
                </c:pt>
                <c:pt idx="302" formatCode="General">
                  <c:v>0.21</c:v>
                </c:pt>
                <c:pt idx="303" formatCode="General">
                  <c:v>0.2</c:v>
                </c:pt>
                <c:pt idx="304" formatCode="General">
                  <c:v>0.2</c:v>
                </c:pt>
                <c:pt idx="305" formatCode="General">
                  <c:v>0.22</c:v>
                </c:pt>
                <c:pt idx="306" formatCode="General">
                  <c:v>0.22</c:v>
                </c:pt>
                <c:pt idx="307" formatCode="General">
                  <c:v>0.21</c:v>
                </c:pt>
                <c:pt idx="308" formatCode="General">
                  <c:v>0.2</c:v>
                </c:pt>
                <c:pt idx="309" formatCode="General">
                  <c:v>0.2</c:v>
                </c:pt>
                <c:pt idx="310" formatCode="General">
                  <c:v>0.2</c:v>
                </c:pt>
                <c:pt idx="311" formatCode="General">
                  <c:v>0.31</c:v>
                </c:pt>
                <c:pt idx="312" formatCode="General">
                  <c:v>0.38</c:v>
                </c:pt>
                <c:pt idx="313" formatCode="General">
                  <c:v>0.42</c:v>
                </c:pt>
                <c:pt idx="314" formatCode="General">
                  <c:v>0.44</c:v>
                </c:pt>
                <c:pt idx="315" formatCode="General">
                  <c:v>0.46</c:v>
                </c:pt>
                <c:pt idx="316" formatCode="General">
                  <c:v>0.45</c:v>
                </c:pt>
                <c:pt idx="317" formatCode="General">
                  <c:v>0.45</c:v>
                </c:pt>
                <c:pt idx="318" formatCode="General">
                  <c:v>0.46</c:v>
                </c:pt>
                <c:pt idx="319" formatCode="General">
                  <c:v>0.46</c:v>
                </c:pt>
                <c:pt idx="320" formatCode="General">
                  <c:v>0.46</c:v>
                </c:pt>
                <c:pt idx="321" formatCode="General">
                  <c:v>0.47</c:v>
                </c:pt>
                <c:pt idx="322" formatCode="General">
                  <c:v>0.47</c:v>
                </c:pt>
                <c:pt idx="323" formatCode="General">
                  <c:v>0.47</c:v>
                </c:pt>
                <c:pt idx="324" formatCode="General">
                  <c:v>0.47</c:v>
                </c:pt>
                <c:pt idx="325" formatCode="General">
                  <c:v>0.48</c:v>
                </c:pt>
                <c:pt idx="326" formatCode="General">
                  <c:v>0.47</c:v>
                </c:pt>
                <c:pt idx="327" formatCode="General">
                  <c:v>0.48</c:v>
                </c:pt>
                <c:pt idx="328" formatCode="General">
                  <c:v>0.47</c:v>
                </c:pt>
                <c:pt idx="329" formatCode="General">
                  <c:v>0.48</c:v>
                </c:pt>
                <c:pt idx="330" formatCode="General">
                  <c:v>0.48</c:v>
                </c:pt>
                <c:pt idx="331" formatCode="General">
                  <c:v>0.48</c:v>
                </c:pt>
                <c:pt idx="332" formatCode="General">
                  <c:v>0.47</c:v>
                </c:pt>
                <c:pt idx="333" formatCode="General">
                  <c:v>0.46</c:v>
                </c:pt>
                <c:pt idx="334" formatCode="General">
                  <c:v>0.46</c:v>
                </c:pt>
                <c:pt idx="335" formatCode="General">
                  <c:v>0.45</c:v>
                </c:pt>
                <c:pt idx="336" formatCode="General">
                  <c:v>0.44</c:v>
                </c:pt>
                <c:pt idx="337" formatCode="General">
                  <c:v>0.44</c:v>
                </c:pt>
                <c:pt idx="338" formatCode="General">
                  <c:v>0.48</c:v>
                </c:pt>
                <c:pt idx="339" formatCode="General">
                  <c:v>0.47</c:v>
                </c:pt>
                <c:pt idx="340" formatCode="General">
                  <c:v>0.46</c:v>
                </c:pt>
                <c:pt idx="341" formatCode="General">
                  <c:v>0.45</c:v>
                </c:pt>
                <c:pt idx="342" formatCode="General">
                  <c:v>0.46</c:v>
                </c:pt>
                <c:pt idx="343" formatCode="General">
                  <c:v>0.46</c:v>
                </c:pt>
                <c:pt idx="344" formatCode="General">
                  <c:v>0.46</c:v>
                </c:pt>
                <c:pt idx="345" formatCode="General">
                  <c:v>0.45</c:v>
                </c:pt>
                <c:pt idx="346" formatCode="General">
                  <c:v>0.44</c:v>
                </c:pt>
                <c:pt idx="347" formatCode="General">
                  <c:v>0.44</c:v>
                </c:pt>
                <c:pt idx="348" formatCode="General">
                  <c:v>0.45</c:v>
                </c:pt>
                <c:pt idx="349" formatCode="General">
                  <c:v>0.46</c:v>
                </c:pt>
                <c:pt idx="350" formatCode="General">
                  <c:v>0.46</c:v>
                </c:pt>
                <c:pt idx="351" formatCode="General">
                  <c:v>0.47</c:v>
                </c:pt>
                <c:pt idx="352" formatCode="General">
                  <c:v>0.47</c:v>
                </c:pt>
                <c:pt idx="353" formatCode="General">
                  <c:v>0.49</c:v>
                </c:pt>
                <c:pt idx="354" formatCode="General">
                  <c:v>0.49</c:v>
                </c:pt>
                <c:pt idx="355" formatCode="General">
                  <c:v>0.48</c:v>
                </c:pt>
                <c:pt idx="356" formatCode="General">
                  <c:v>0.48</c:v>
                </c:pt>
                <c:pt idx="357" formatCode="General">
                  <c:v>0.47</c:v>
                </c:pt>
                <c:pt idx="358" formatCode="General">
                  <c:v>0.48</c:v>
                </c:pt>
                <c:pt idx="359" formatCode="General">
                  <c:v>0.47</c:v>
                </c:pt>
                <c:pt idx="360" formatCode="General">
                  <c:v>0.48</c:v>
                </c:pt>
                <c:pt idx="361" formatCode="General">
                  <c:v>0.49</c:v>
                </c:pt>
                <c:pt idx="362" formatCode="General">
                  <c:v>0.49</c:v>
                </c:pt>
                <c:pt idx="363" formatCode="General">
                  <c:v>0.5</c:v>
                </c:pt>
                <c:pt idx="364" formatCode="General">
                  <c:v>0.51</c:v>
                </c:pt>
                <c:pt idx="365" formatCode="General">
                  <c:v>0</c:v>
                </c:pt>
              </c:numCache>
            </c:numRef>
          </c:val>
          <c:smooth val="0"/>
          <c:extLst xmlns:c16r2="http://schemas.microsoft.com/office/drawing/2015/06/chart">
            <c:ext xmlns:c16="http://schemas.microsoft.com/office/drawing/2014/chart" uri="{C3380CC4-5D6E-409C-BE32-E72D297353CC}">
              <c16:uniqueId val="{00000005-6B83-4F32-895E-FF7105E1F411}"/>
            </c:ext>
          </c:extLst>
        </c:ser>
        <c:dLbls>
          <c:showLegendKey val="0"/>
          <c:showVal val="0"/>
          <c:showCatName val="0"/>
          <c:showSerName val="0"/>
          <c:showPercent val="0"/>
          <c:showBubbleSize val="0"/>
        </c:dLbls>
        <c:smooth val="0"/>
        <c:axId val="572068920"/>
        <c:axId val="484412392"/>
      </c:lineChart>
      <c:dateAx>
        <c:axId val="572068920"/>
        <c:scaling>
          <c:orientation val="minMax"/>
        </c:scaling>
        <c:delete val="0"/>
        <c:axPos val="b"/>
        <c:numFmt formatCode="m/d/yyyy"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84412392"/>
        <c:crosses val="autoZero"/>
        <c:auto val="1"/>
        <c:lblOffset val="100"/>
        <c:baseTimeUnit val="days"/>
      </c:dateAx>
      <c:valAx>
        <c:axId val="484412392"/>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Gauge Height (m)</a:t>
                </a:r>
              </a:p>
            </c:rich>
          </c:tx>
          <c:layout>
            <c:manualLayout>
              <c:xMode val="edge"/>
              <c:yMode val="edge"/>
              <c:x val="9.0590551181102368E-3"/>
              <c:y val="0.220033351835830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72068920"/>
        <c:crosses val="autoZero"/>
        <c:crossBetween val="between"/>
      </c:valAx>
      <c:spPr>
        <a:noFill/>
        <a:ln>
          <a:noFill/>
        </a:ln>
        <a:effectLst/>
      </c:spPr>
    </c:plotArea>
    <c:legend>
      <c:legendPos val="t"/>
      <c:layout>
        <c:manualLayout>
          <c:xMode val="edge"/>
          <c:yMode val="edge"/>
          <c:x val="8.3579253680246494E-3"/>
          <c:y val="0.82360828660921037"/>
          <c:w val="0.97579732968161592"/>
          <c:h val="0.1549183554462224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916807091720542E-2"/>
          <c:y val="5.5555555555555552E-2"/>
          <c:w val="0.86874978127734037"/>
          <c:h val="0.70266440653251672"/>
        </c:manualLayout>
      </c:layout>
      <c:barChart>
        <c:barDir val="col"/>
        <c:grouping val="clustered"/>
        <c:varyColors val="0"/>
        <c:ser>
          <c:idx val="0"/>
          <c:order val="0"/>
          <c:tx>
            <c:strRef>
              <c:f>'Combined Field Data_Fish'!$C$43</c:f>
              <c:strCache>
                <c:ptCount val="1"/>
                <c:pt idx="0">
                  <c:v>Dec-15</c:v>
                </c:pt>
              </c:strCache>
            </c:strRef>
          </c:tx>
          <c:spPr>
            <a:pattFill prst="pct80">
              <a:fgClr>
                <a:srgbClr val="C0504D">
                  <a:lumMod val="75000"/>
                </a:srgbClr>
              </a:fgClr>
              <a:bgClr>
                <a:sysClr val="window" lastClr="FFFFFF"/>
              </a:bgClr>
            </a:pattFill>
            <a:ln>
              <a:solidFill>
                <a:srgbClr val="C0504D">
                  <a:lumMod val="75000"/>
                </a:srgbClr>
              </a:solidFill>
            </a:ln>
            <a:effectLst/>
          </c:spPr>
          <c:invertIfNegative val="0"/>
          <c:dPt>
            <c:idx val="0"/>
            <c:invertIfNegative val="0"/>
            <c:bubble3D val="0"/>
            <c:spPr>
              <a:pattFill prst="pct80">
                <a:fgClr>
                  <a:srgbClr val="C0504D">
                    <a:lumMod val="75000"/>
                  </a:srgbClr>
                </a:fgClr>
                <a:bgClr>
                  <a:sysClr val="window" lastClr="FFFFFF"/>
                </a:bgClr>
              </a:pattFill>
              <a:ln>
                <a:noFill/>
              </a:ln>
              <a:effectLst/>
            </c:spPr>
          </c:dPt>
          <c:cat>
            <c:multiLvlStrRef>
              <c:f>'Combined Field Data_Fish'!$A$44:$B$49</c:f>
              <c:multiLvlStrCache>
                <c:ptCount val="6"/>
                <c:lvl>
                  <c:pt idx="0">
                    <c:v>Eastern Dam</c:v>
                  </c:pt>
                  <c:pt idx="1">
                    <c:v>Middle Dam</c:v>
                  </c:pt>
                  <c:pt idx="2">
                    <c:v>Western Dam</c:v>
                  </c:pt>
                  <c:pt idx="3">
                    <c:v>Bunnor Bird Hide</c:v>
                  </c:pt>
                  <c:pt idx="4">
                    <c:v>Gingham Waterhole</c:v>
                  </c:pt>
                  <c:pt idx="5">
                    <c:v>Allambie Bridge</c:v>
                  </c:pt>
                </c:lvl>
                <c:lvl>
                  <c:pt idx="0">
                    <c:v>Gwydir Wetland</c:v>
                  </c:pt>
                  <c:pt idx="3">
                    <c:v>Gingham Wetland</c:v>
                  </c:pt>
                  <c:pt idx="5">
                    <c:v>Gwydir River</c:v>
                  </c:pt>
                </c:lvl>
              </c:multiLvlStrCache>
            </c:multiLvlStrRef>
          </c:cat>
          <c:val>
            <c:numRef>
              <c:f>'Combined Field Data_Fish'!$C$44:$C$49</c:f>
              <c:numCache>
                <c:formatCode>General</c:formatCode>
                <c:ptCount val="6"/>
                <c:pt idx="0">
                  <c:v>1</c:v>
                </c:pt>
                <c:pt idx="1">
                  <c:v>2</c:v>
                </c:pt>
                <c:pt idx="2">
                  <c:v>3</c:v>
                </c:pt>
                <c:pt idx="3">
                  <c:v>2</c:v>
                </c:pt>
                <c:pt idx="4">
                  <c:v>5</c:v>
                </c:pt>
                <c:pt idx="5">
                  <c:v>1</c:v>
                </c:pt>
              </c:numCache>
            </c:numRef>
          </c:val>
          <c:extLst xmlns:c16r2="http://schemas.microsoft.com/office/drawing/2015/06/chart">
            <c:ext xmlns:c16="http://schemas.microsoft.com/office/drawing/2014/chart" uri="{C3380CC4-5D6E-409C-BE32-E72D297353CC}">
              <c16:uniqueId val="{00000000-F972-44CE-BAF7-F02B77C1B123}"/>
            </c:ext>
          </c:extLst>
        </c:ser>
        <c:ser>
          <c:idx val="1"/>
          <c:order val="1"/>
          <c:tx>
            <c:strRef>
              <c:f>'Combined Field Data_Fish'!$D$43</c:f>
              <c:strCache>
                <c:ptCount val="1"/>
                <c:pt idx="0">
                  <c:v>Feb-16</c:v>
                </c:pt>
              </c:strCache>
            </c:strRef>
          </c:tx>
          <c:spPr>
            <a:pattFill prst="pct50">
              <a:fgClr>
                <a:srgbClr val="4F81BD">
                  <a:lumMod val="75000"/>
                </a:srgbClr>
              </a:fgClr>
              <a:bgClr>
                <a:sysClr val="window" lastClr="FFFFFF"/>
              </a:bgClr>
            </a:pattFill>
            <a:ln>
              <a:noFill/>
            </a:ln>
            <a:effectLst/>
          </c:spPr>
          <c:invertIfNegative val="0"/>
          <c:cat>
            <c:multiLvlStrRef>
              <c:f>'Combined Field Data_Fish'!$A$44:$B$49</c:f>
              <c:multiLvlStrCache>
                <c:ptCount val="6"/>
                <c:lvl>
                  <c:pt idx="0">
                    <c:v>Eastern Dam</c:v>
                  </c:pt>
                  <c:pt idx="1">
                    <c:v>Middle Dam</c:v>
                  </c:pt>
                  <c:pt idx="2">
                    <c:v>Western Dam</c:v>
                  </c:pt>
                  <c:pt idx="3">
                    <c:v>Bunnor Bird Hide</c:v>
                  </c:pt>
                  <c:pt idx="4">
                    <c:v>Gingham Waterhole</c:v>
                  </c:pt>
                  <c:pt idx="5">
                    <c:v>Allambie Bridge</c:v>
                  </c:pt>
                </c:lvl>
                <c:lvl>
                  <c:pt idx="0">
                    <c:v>Gwydir Wetland</c:v>
                  </c:pt>
                  <c:pt idx="3">
                    <c:v>Gingham Wetland</c:v>
                  </c:pt>
                  <c:pt idx="5">
                    <c:v>Gwydir River</c:v>
                  </c:pt>
                </c:lvl>
              </c:multiLvlStrCache>
            </c:multiLvlStrRef>
          </c:cat>
          <c:val>
            <c:numRef>
              <c:f>'Combined Field Data_Fish'!$D$44:$D$49</c:f>
              <c:numCache>
                <c:formatCode>General</c:formatCode>
                <c:ptCount val="6"/>
                <c:pt idx="0">
                  <c:v>2</c:v>
                </c:pt>
                <c:pt idx="1">
                  <c:v>1</c:v>
                </c:pt>
                <c:pt idx="2">
                  <c:v>2</c:v>
                </c:pt>
                <c:pt idx="3">
                  <c:v>5</c:v>
                </c:pt>
                <c:pt idx="4">
                  <c:v>6</c:v>
                </c:pt>
                <c:pt idx="5">
                  <c:v>3</c:v>
                </c:pt>
              </c:numCache>
            </c:numRef>
          </c:val>
          <c:extLst xmlns:c16r2="http://schemas.microsoft.com/office/drawing/2015/06/chart">
            <c:ext xmlns:c16="http://schemas.microsoft.com/office/drawing/2014/chart" uri="{C3380CC4-5D6E-409C-BE32-E72D297353CC}">
              <c16:uniqueId val="{00000001-F972-44CE-BAF7-F02B77C1B123}"/>
            </c:ext>
          </c:extLst>
        </c:ser>
        <c:dLbls>
          <c:showLegendKey val="0"/>
          <c:showVal val="0"/>
          <c:showCatName val="0"/>
          <c:showSerName val="0"/>
          <c:showPercent val="0"/>
          <c:showBubbleSize val="0"/>
        </c:dLbls>
        <c:gapWidth val="219"/>
        <c:overlap val="-27"/>
        <c:axId val="572067352"/>
        <c:axId val="572067744"/>
      </c:barChart>
      <c:catAx>
        <c:axId val="572067352"/>
        <c:scaling>
          <c:orientation val="minMax"/>
        </c:scaling>
        <c:delete val="0"/>
        <c:axPos val="b"/>
        <c:numFmt formatCode="General" sourceLinked="1"/>
        <c:majorTickMark val="out"/>
        <c:minorTickMark val="none"/>
        <c:tickLblPos val="nextTo"/>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72067744"/>
        <c:crosses val="autoZero"/>
        <c:auto val="1"/>
        <c:lblAlgn val="ctr"/>
        <c:lblOffset val="100"/>
        <c:noMultiLvlLbl val="0"/>
      </c:catAx>
      <c:valAx>
        <c:axId val="57206774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Number of species</a:t>
                </a:r>
              </a:p>
            </c:rich>
          </c:tx>
          <c:layout>
            <c:manualLayout>
              <c:xMode val="edge"/>
              <c:yMode val="edge"/>
              <c:x val="2.3010135654888818E-2"/>
              <c:y val="0.2341953259394973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72067352"/>
        <c:crosses val="autoZero"/>
        <c:crossBetween val="between"/>
      </c:valAx>
      <c:spPr>
        <a:noFill/>
        <a:ln>
          <a:noFill/>
        </a:ln>
        <a:effectLst/>
      </c:spPr>
    </c:plotArea>
    <c:legend>
      <c:legendPos val="b"/>
      <c:layout>
        <c:manualLayout>
          <c:xMode val="edge"/>
          <c:yMode val="edge"/>
          <c:x val="0.81192372922533007"/>
          <c:y val="3.2641076115485557E-2"/>
          <c:w val="0.18265682414698162"/>
          <c:h val="0.1571737386993292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229522518326463E-2"/>
          <c:y val="3.837197246250424E-2"/>
          <c:w val="0.92305149408964149"/>
          <c:h val="0.64147887988821528"/>
        </c:manualLayout>
      </c:layout>
      <c:barChart>
        <c:barDir val="col"/>
        <c:grouping val="clustered"/>
        <c:varyColors val="0"/>
        <c:ser>
          <c:idx val="0"/>
          <c:order val="0"/>
          <c:tx>
            <c:strRef>
              <c:f>'Wbirdsha Chart Data'!$C$1</c:f>
              <c:strCache>
                <c:ptCount val="1"/>
                <c:pt idx="0">
                  <c:v>Nov-15</c:v>
                </c:pt>
              </c:strCache>
            </c:strRef>
          </c:tx>
          <c:spPr>
            <a:pattFill prst="pct80">
              <a:fgClr>
                <a:srgbClr val="990033"/>
              </a:fgClr>
              <a:bgClr>
                <a:schemeClr val="bg1"/>
              </a:bgClr>
            </a:pattFill>
            <a:ln>
              <a:noFill/>
            </a:ln>
            <a:effectLst/>
          </c:spPr>
          <c:invertIfNegative val="0"/>
          <c:cat>
            <c:multiLvlStrRef>
              <c:f>'Wbirdsha Chart Data'!$A$3:$B$31</c:f>
              <c:multiLvlStrCache>
                <c:ptCount val="29"/>
                <c:lvl>
                  <c:pt idx="0">
                    <c:v>Baroona Waterhole</c:v>
                  </c:pt>
                  <c:pt idx="1">
                    <c:v>Boyanga Waterhole</c:v>
                  </c:pt>
                  <c:pt idx="2">
                    <c:v>Bunnor Bird Hide</c:v>
                  </c:pt>
                  <c:pt idx="3">
                    <c:v>Three Corners Wetland</c:v>
                  </c:pt>
                  <c:pt idx="4">
                    <c:v>Gingham Bridge</c:v>
                  </c:pt>
                  <c:pt idx="5">
                    <c:v>Gingham Waterhole</c:v>
                  </c:pt>
                  <c:pt idx="6">
                    <c:v>Goddard's Lease</c:v>
                  </c:pt>
                  <c:pt idx="7">
                    <c:v>Jackson Paddock</c:v>
                  </c:pt>
                  <c:pt idx="8">
                    <c:v>Racecourse Lagoon</c:v>
                  </c:pt>
                  <c:pt idx="9">
                    <c:v>Lynworth</c:v>
                  </c:pt>
                  <c:pt idx="10">
                    <c:v>Talmoi Waterhole</c:v>
                  </c:pt>
                  <c:pt idx="11">
                    <c:v>Tillaloo Waterhole</c:v>
                  </c:pt>
                  <c:pt idx="12">
                    <c:v>Westholme SE</c:v>
                  </c:pt>
                  <c:pt idx="13">
                    <c:v>Westholme NW</c:v>
                  </c:pt>
                  <c:pt idx="14">
                    <c:v>Allambie Bridge</c:v>
                  </c:pt>
                  <c:pt idx="15">
                    <c:v>Belmont</c:v>
                  </c:pt>
                  <c:pt idx="16">
                    <c:v>Brageen Crossing</c:v>
                  </c:pt>
                  <c:pt idx="17">
                    <c:v>Old Dromana Dam</c:v>
                  </c:pt>
                  <c:pt idx="18">
                    <c:v>Old Dromana Transect</c:v>
                  </c:pt>
                  <c:pt idx="19">
                    <c:v>Wandoona Waterhole</c:v>
                  </c:pt>
                  <c:pt idx="20">
                    <c:v>Gin Holes</c:v>
                  </c:pt>
                  <c:pt idx="21">
                    <c:v>Bungunyah</c:v>
                  </c:pt>
                  <c:pt idx="22">
                    <c:v>Coombah</c:v>
                  </c:pt>
                  <c:pt idx="23">
                    <c:v>Gundare Weir  </c:v>
                  </c:pt>
                  <c:pt idx="24">
                    <c:v>Valetta</c:v>
                  </c:pt>
                  <c:pt idx="25">
                    <c:v>Combadello Weir</c:v>
                  </c:pt>
                  <c:pt idx="26">
                    <c:v>Derra Waterhole</c:v>
                  </c:pt>
                  <c:pt idx="27">
                    <c:v>Tellegara Bridge</c:v>
                  </c:pt>
                  <c:pt idx="28">
                    <c:v>Whittaker's Lagoon</c:v>
                  </c:pt>
                </c:lvl>
                <c:lvl>
                  <c:pt idx="0">
                    <c:v>Gingham</c:v>
                  </c:pt>
                  <c:pt idx="14">
                    <c:v>Lower Gwydir</c:v>
                  </c:pt>
                  <c:pt idx="21">
                    <c:v>Mallowa</c:v>
                  </c:pt>
                  <c:pt idx="25">
                    <c:v>Mehi</c:v>
                  </c:pt>
                </c:lvl>
              </c:multiLvlStrCache>
            </c:multiLvlStrRef>
          </c:cat>
          <c:val>
            <c:numRef>
              <c:f>'Wbirdsha Chart Data'!$C$3:$C$31</c:f>
              <c:numCache>
                <c:formatCode>0.0</c:formatCode>
                <c:ptCount val="29"/>
                <c:pt idx="0">
                  <c:v>0</c:v>
                </c:pt>
                <c:pt idx="1">
                  <c:v>17.647058823529413</c:v>
                </c:pt>
                <c:pt idx="2">
                  <c:v>46.197183098591552</c:v>
                </c:pt>
                <c:pt idx="3">
                  <c:v>3.1067961165048543</c:v>
                </c:pt>
                <c:pt idx="4">
                  <c:v>0.43478260869565222</c:v>
                </c:pt>
                <c:pt idx="5">
                  <c:v>8.5714285714285712</c:v>
                </c:pt>
                <c:pt idx="6">
                  <c:v>5.1346449002371983</c:v>
                </c:pt>
                <c:pt idx="7">
                  <c:v>3.0797101449275361</c:v>
                </c:pt>
                <c:pt idx="8">
                  <c:v>2.5431264449582076</c:v>
                </c:pt>
                <c:pt idx="9">
                  <c:v>6.6398390342052318</c:v>
                </c:pt>
                <c:pt idx="10">
                  <c:v>0</c:v>
                </c:pt>
                <c:pt idx="11">
                  <c:v>0</c:v>
                </c:pt>
                <c:pt idx="12">
                  <c:v>5.851413543721236</c:v>
                </c:pt>
                <c:pt idx="13">
                  <c:v>0.83636363636363631</c:v>
                </c:pt>
                <c:pt idx="14">
                  <c:v>12.5</c:v>
                </c:pt>
                <c:pt idx="15">
                  <c:v>0.66793893129770987</c:v>
                </c:pt>
                <c:pt idx="16">
                  <c:v>26.666666666666668</c:v>
                </c:pt>
                <c:pt idx="17">
                  <c:v>17.808219178082194</c:v>
                </c:pt>
                <c:pt idx="18">
                  <c:v>1.3136942675159236</c:v>
                </c:pt>
                <c:pt idx="19">
                  <c:v>24.708171206225682</c:v>
                </c:pt>
                <c:pt idx="20">
                  <c:v>5.8566433566433567</c:v>
                </c:pt>
                <c:pt idx="21">
                  <c:v>1.6736401673640167</c:v>
                </c:pt>
                <c:pt idx="22">
                  <c:v>77.906976744186039</c:v>
                </c:pt>
                <c:pt idx="23">
                  <c:v>12.173913043478262</c:v>
                </c:pt>
                <c:pt idx="24">
                  <c:v>9.5101894887379341</c:v>
                </c:pt>
                <c:pt idx="25">
                  <c:v>9.4444444444444446</c:v>
                </c:pt>
                <c:pt idx="26">
                  <c:v>2.1680216802168024</c:v>
                </c:pt>
                <c:pt idx="27">
                  <c:v>3.1111111111111112</c:v>
                </c:pt>
                <c:pt idx="28">
                  <c:v>8.421985815602838</c:v>
                </c:pt>
              </c:numCache>
            </c:numRef>
          </c:val>
        </c:ser>
        <c:ser>
          <c:idx val="1"/>
          <c:order val="1"/>
          <c:tx>
            <c:strRef>
              <c:f>'Wbirdsha Chart Data'!$D$1</c:f>
              <c:strCache>
                <c:ptCount val="1"/>
                <c:pt idx="0">
                  <c:v>Mar-16</c:v>
                </c:pt>
              </c:strCache>
            </c:strRef>
          </c:tx>
          <c:spPr>
            <a:pattFill prst="pct50">
              <a:fgClr>
                <a:schemeClr val="accent1">
                  <a:lumMod val="75000"/>
                </a:schemeClr>
              </a:fgClr>
              <a:bgClr>
                <a:schemeClr val="bg1"/>
              </a:bgClr>
            </a:pattFill>
            <a:ln>
              <a:noFill/>
            </a:ln>
            <a:effectLst/>
          </c:spPr>
          <c:invertIfNegative val="0"/>
          <c:cat>
            <c:multiLvlStrRef>
              <c:f>'Wbirdsha Chart Data'!$A$3:$B$31</c:f>
              <c:multiLvlStrCache>
                <c:ptCount val="29"/>
                <c:lvl>
                  <c:pt idx="0">
                    <c:v>Baroona Waterhole</c:v>
                  </c:pt>
                  <c:pt idx="1">
                    <c:v>Boyanga Waterhole</c:v>
                  </c:pt>
                  <c:pt idx="2">
                    <c:v>Bunnor Bird Hide</c:v>
                  </c:pt>
                  <c:pt idx="3">
                    <c:v>Three Corners Wetland</c:v>
                  </c:pt>
                  <c:pt idx="4">
                    <c:v>Gingham Bridge</c:v>
                  </c:pt>
                  <c:pt idx="5">
                    <c:v>Gingham Waterhole</c:v>
                  </c:pt>
                  <c:pt idx="6">
                    <c:v>Goddard's Lease</c:v>
                  </c:pt>
                  <c:pt idx="7">
                    <c:v>Jackson Paddock</c:v>
                  </c:pt>
                  <c:pt idx="8">
                    <c:v>Racecourse Lagoon</c:v>
                  </c:pt>
                  <c:pt idx="9">
                    <c:v>Lynworth</c:v>
                  </c:pt>
                  <c:pt idx="10">
                    <c:v>Talmoi Waterhole</c:v>
                  </c:pt>
                  <c:pt idx="11">
                    <c:v>Tillaloo Waterhole</c:v>
                  </c:pt>
                  <c:pt idx="12">
                    <c:v>Westholme SE</c:v>
                  </c:pt>
                  <c:pt idx="13">
                    <c:v>Westholme NW</c:v>
                  </c:pt>
                  <c:pt idx="14">
                    <c:v>Allambie Bridge</c:v>
                  </c:pt>
                  <c:pt idx="15">
                    <c:v>Belmont</c:v>
                  </c:pt>
                  <c:pt idx="16">
                    <c:v>Brageen Crossing</c:v>
                  </c:pt>
                  <c:pt idx="17">
                    <c:v>Old Dromana Dam</c:v>
                  </c:pt>
                  <c:pt idx="18">
                    <c:v>Old Dromana Transect</c:v>
                  </c:pt>
                  <c:pt idx="19">
                    <c:v>Wandoona Waterhole</c:v>
                  </c:pt>
                  <c:pt idx="20">
                    <c:v>Gin Holes</c:v>
                  </c:pt>
                  <c:pt idx="21">
                    <c:v>Bungunyah</c:v>
                  </c:pt>
                  <c:pt idx="22">
                    <c:v>Coombah</c:v>
                  </c:pt>
                  <c:pt idx="23">
                    <c:v>Gundare Weir  </c:v>
                  </c:pt>
                  <c:pt idx="24">
                    <c:v>Valetta</c:v>
                  </c:pt>
                  <c:pt idx="25">
                    <c:v>Combadello Weir</c:v>
                  </c:pt>
                  <c:pt idx="26">
                    <c:v>Derra Waterhole</c:v>
                  </c:pt>
                  <c:pt idx="27">
                    <c:v>Tellegara Bridge</c:v>
                  </c:pt>
                  <c:pt idx="28">
                    <c:v>Whittaker's Lagoon</c:v>
                  </c:pt>
                </c:lvl>
                <c:lvl>
                  <c:pt idx="0">
                    <c:v>Gingham</c:v>
                  </c:pt>
                  <c:pt idx="14">
                    <c:v>Lower Gwydir</c:v>
                  </c:pt>
                  <c:pt idx="21">
                    <c:v>Mallowa</c:v>
                  </c:pt>
                  <c:pt idx="25">
                    <c:v>Mehi</c:v>
                  </c:pt>
                </c:lvl>
              </c:multiLvlStrCache>
            </c:multiLvlStrRef>
          </c:cat>
          <c:val>
            <c:numRef>
              <c:f>'Wbirdsha Chart Data'!$D$3:$D$31</c:f>
              <c:numCache>
                <c:formatCode>0.0</c:formatCode>
                <c:ptCount val="29"/>
                <c:pt idx="0">
                  <c:v>0</c:v>
                </c:pt>
                <c:pt idx="1">
                  <c:v>7.0208728652751429</c:v>
                </c:pt>
                <c:pt idx="2">
                  <c:v>93.802816901408448</c:v>
                </c:pt>
                <c:pt idx="3">
                  <c:v>1.3592233009708736</c:v>
                </c:pt>
                <c:pt idx="4">
                  <c:v>0</c:v>
                </c:pt>
                <c:pt idx="5">
                  <c:v>17.018633540372669</c:v>
                </c:pt>
                <c:pt idx="6">
                  <c:v>7.7438258685642527</c:v>
                </c:pt>
                <c:pt idx="7">
                  <c:v>1.7080745341614907</c:v>
                </c:pt>
                <c:pt idx="8">
                  <c:v>1.2448870709585631</c:v>
                </c:pt>
                <c:pt idx="9">
                  <c:v>5.6338028169014089</c:v>
                </c:pt>
                <c:pt idx="10">
                  <c:v>0.20491803278688525</c:v>
                </c:pt>
                <c:pt idx="11">
                  <c:v>0.37383177570093462</c:v>
                </c:pt>
                <c:pt idx="12">
                  <c:v>13.280736357659434</c:v>
                </c:pt>
                <c:pt idx="13">
                  <c:v>3.6363636363636362E-2</c:v>
                </c:pt>
                <c:pt idx="14">
                  <c:v>12.5</c:v>
                </c:pt>
                <c:pt idx="15">
                  <c:v>0.2862595419847328</c:v>
                </c:pt>
                <c:pt idx="16">
                  <c:v>23.333333333333336</c:v>
                </c:pt>
                <c:pt idx="17">
                  <c:v>18.264840182648403</c:v>
                </c:pt>
                <c:pt idx="18">
                  <c:v>1.3136942675159236</c:v>
                </c:pt>
                <c:pt idx="19">
                  <c:v>0.38910505836575876</c:v>
                </c:pt>
                <c:pt idx="20">
                  <c:v>0</c:v>
                </c:pt>
                <c:pt idx="21">
                  <c:v>1.2552301255230125</c:v>
                </c:pt>
                <c:pt idx="22">
                  <c:v>1.9379844961240309</c:v>
                </c:pt>
                <c:pt idx="23">
                  <c:v>26.086956521739133</c:v>
                </c:pt>
                <c:pt idx="24">
                  <c:v>1.4301036825169826</c:v>
                </c:pt>
                <c:pt idx="25">
                  <c:v>3.8888888888888888</c:v>
                </c:pt>
                <c:pt idx="26">
                  <c:v>0.2710027100271003</c:v>
                </c:pt>
                <c:pt idx="27">
                  <c:v>7.333333333333333</c:v>
                </c:pt>
                <c:pt idx="28">
                  <c:v>2.8368794326241136</c:v>
                </c:pt>
              </c:numCache>
            </c:numRef>
          </c:val>
        </c:ser>
        <c:dLbls>
          <c:showLegendKey val="0"/>
          <c:showVal val="0"/>
          <c:showCatName val="0"/>
          <c:showSerName val="0"/>
          <c:showPercent val="0"/>
          <c:showBubbleSize val="0"/>
        </c:dLbls>
        <c:gapWidth val="219"/>
        <c:overlap val="-27"/>
        <c:axId val="563629432"/>
        <c:axId val="564062184"/>
      </c:barChart>
      <c:catAx>
        <c:axId val="563629432"/>
        <c:scaling>
          <c:orientation val="minMax"/>
        </c:scaling>
        <c:delete val="0"/>
        <c:axPos val="b"/>
        <c:numFmt formatCode="General" sourceLinked="1"/>
        <c:majorTickMark val="out"/>
        <c:minorTickMark val="none"/>
        <c:tickLblPos val="nextTo"/>
        <c:spPr>
          <a:noFill/>
          <a:ln w="9526" cap="flat" cmpd="sng" algn="ctr">
            <a:solidFill>
              <a:sysClr val="window" lastClr="FFFFFF">
                <a:lumMod val="50000"/>
              </a:sys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64062184"/>
        <c:crosses val="autoZero"/>
        <c:auto val="1"/>
        <c:lblAlgn val="ctr"/>
        <c:lblOffset val="100"/>
        <c:noMultiLvlLbl val="0"/>
      </c:catAx>
      <c:valAx>
        <c:axId val="564062184"/>
        <c:scaling>
          <c:orientation val="minMax"/>
          <c:min val="0"/>
        </c:scaling>
        <c:delete val="0"/>
        <c:axPos val="l"/>
        <c:title>
          <c:tx>
            <c:rich>
              <a:bodyPr/>
              <a:lstStyle/>
              <a:p>
                <a:pPr>
                  <a:defRPr sz="1000" b="0" i="0" u="none" strike="noStrike" baseline="0">
                    <a:solidFill>
                      <a:srgbClr val="000000"/>
                    </a:solidFill>
                    <a:latin typeface="Arial"/>
                    <a:ea typeface="Arial"/>
                    <a:cs typeface="Arial"/>
                  </a:defRPr>
                </a:pPr>
                <a:r>
                  <a:rPr lang="en-AU"/>
                  <a:t>Waterbirds per ha</a:t>
                </a:r>
              </a:p>
            </c:rich>
          </c:tx>
          <c:overlay val="0"/>
          <c:spPr>
            <a:noFill/>
            <a:ln>
              <a:noFill/>
            </a:ln>
            <a:effectLst/>
          </c:spPr>
        </c:title>
        <c:numFmt formatCode="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63629432"/>
        <c:crosses val="autoZero"/>
        <c:crossBetween val="between"/>
      </c:valAx>
      <c:spPr>
        <a:noFill/>
        <a:ln w="25403">
          <a:noFill/>
        </a:ln>
      </c:spPr>
    </c:plotArea>
    <c:legend>
      <c:legendPos val="b"/>
      <c:layout>
        <c:manualLayout>
          <c:xMode val="edge"/>
          <c:yMode val="edge"/>
          <c:wMode val="edge"/>
          <c:hMode val="edge"/>
          <c:x val="0.88621639967417865"/>
          <c:y val="3.085479699652928E-2"/>
          <c:w val="0.97057901167526472"/>
          <c:h val="0.11138569217309376"/>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a:noFill/>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956908164257253E-2"/>
          <c:y val="5.8005570077671043E-2"/>
          <c:w val="0.92213984363065715"/>
          <c:h val="0.61644143319294387"/>
        </c:manualLayout>
      </c:layout>
      <c:barChart>
        <c:barDir val="col"/>
        <c:grouping val="clustered"/>
        <c:varyColors val="0"/>
        <c:ser>
          <c:idx val="0"/>
          <c:order val="0"/>
          <c:tx>
            <c:strRef>
              <c:f>'Richness Chart Data'!$C$1:$C$2</c:f>
              <c:strCache>
                <c:ptCount val="2"/>
                <c:pt idx="0">
                  <c:v>Nov-15</c:v>
                </c:pt>
              </c:strCache>
            </c:strRef>
          </c:tx>
          <c:spPr>
            <a:pattFill prst="pct80">
              <a:fgClr>
                <a:srgbClr val="990033"/>
              </a:fgClr>
              <a:bgClr>
                <a:schemeClr val="bg1"/>
              </a:bgClr>
            </a:pattFill>
            <a:ln>
              <a:noFill/>
            </a:ln>
            <a:effectLst/>
          </c:spPr>
          <c:invertIfNegative val="0"/>
          <c:cat>
            <c:multiLvlStrRef>
              <c:f>'Richness Chart Data'!$A$3:$B$31</c:f>
              <c:multiLvlStrCache>
                <c:ptCount val="29"/>
                <c:lvl>
                  <c:pt idx="0">
                    <c:v>Baroona Waterhole</c:v>
                  </c:pt>
                  <c:pt idx="1">
                    <c:v>Boyanga Waterhole</c:v>
                  </c:pt>
                  <c:pt idx="2">
                    <c:v>Bunnor Bird Hide</c:v>
                  </c:pt>
                  <c:pt idx="3">
                    <c:v>Three Corners Wetland</c:v>
                  </c:pt>
                  <c:pt idx="4">
                    <c:v>Gingham Bridge</c:v>
                  </c:pt>
                  <c:pt idx="5">
                    <c:v>Gingham Waterhole</c:v>
                  </c:pt>
                  <c:pt idx="6">
                    <c:v>Goddard's Lease</c:v>
                  </c:pt>
                  <c:pt idx="7">
                    <c:v>Jackson Paddock</c:v>
                  </c:pt>
                  <c:pt idx="8">
                    <c:v>Racecourse Lagoon</c:v>
                  </c:pt>
                  <c:pt idx="9">
                    <c:v>Lynworth</c:v>
                  </c:pt>
                  <c:pt idx="10">
                    <c:v>Talmoi Waterhole</c:v>
                  </c:pt>
                  <c:pt idx="11">
                    <c:v>Tillaloo Waterhole</c:v>
                  </c:pt>
                  <c:pt idx="12">
                    <c:v>Westholme SE</c:v>
                  </c:pt>
                  <c:pt idx="13">
                    <c:v>Westholme NW</c:v>
                  </c:pt>
                  <c:pt idx="14">
                    <c:v>Allambie Bridge</c:v>
                  </c:pt>
                  <c:pt idx="15">
                    <c:v>Belmont</c:v>
                  </c:pt>
                  <c:pt idx="16">
                    <c:v>Brageen Crossing</c:v>
                  </c:pt>
                  <c:pt idx="17">
                    <c:v>Old Dromana Dam</c:v>
                  </c:pt>
                  <c:pt idx="18">
                    <c:v>Old Dromana Transect</c:v>
                  </c:pt>
                  <c:pt idx="19">
                    <c:v>Wandoona Waterhole</c:v>
                  </c:pt>
                  <c:pt idx="20">
                    <c:v>Gin Holes</c:v>
                  </c:pt>
                  <c:pt idx="21">
                    <c:v>Bungunyah</c:v>
                  </c:pt>
                  <c:pt idx="22">
                    <c:v>Coombah</c:v>
                  </c:pt>
                  <c:pt idx="23">
                    <c:v>Gundare Weir  </c:v>
                  </c:pt>
                  <c:pt idx="24">
                    <c:v>Valetta</c:v>
                  </c:pt>
                  <c:pt idx="25">
                    <c:v>Combadello Weir</c:v>
                  </c:pt>
                  <c:pt idx="26">
                    <c:v>Derra Waterhole</c:v>
                  </c:pt>
                  <c:pt idx="27">
                    <c:v>Tellegara Bridge</c:v>
                  </c:pt>
                  <c:pt idx="28">
                    <c:v>Whittaker's Lagoon</c:v>
                  </c:pt>
                </c:lvl>
                <c:lvl>
                  <c:pt idx="0">
                    <c:v>Gingham</c:v>
                  </c:pt>
                  <c:pt idx="14">
                    <c:v>Lower Gwydir</c:v>
                  </c:pt>
                  <c:pt idx="21">
                    <c:v>Mallowa</c:v>
                  </c:pt>
                  <c:pt idx="25">
                    <c:v>Mehi</c:v>
                  </c:pt>
                </c:lvl>
              </c:multiLvlStrCache>
            </c:multiLvlStrRef>
          </c:cat>
          <c:val>
            <c:numRef>
              <c:f>'Richness Chart Data'!$C$3:$C$31</c:f>
              <c:numCache>
                <c:formatCode>General</c:formatCode>
                <c:ptCount val="29"/>
                <c:pt idx="0">
                  <c:v>0</c:v>
                </c:pt>
                <c:pt idx="1">
                  <c:v>13</c:v>
                </c:pt>
                <c:pt idx="2">
                  <c:v>20</c:v>
                </c:pt>
                <c:pt idx="3">
                  <c:v>7</c:v>
                </c:pt>
                <c:pt idx="4">
                  <c:v>1</c:v>
                </c:pt>
                <c:pt idx="5">
                  <c:v>15</c:v>
                </c:pt>
                <c:pt idx="6">
                  <c:v>26</c:v>
                </c:pt>
                <c:pt idx="7">
                  <c:v>22</c:v>
                </c:pt>
                <c:pt idx="8">
                  <c:v>21</c:v>
                </c:pt>
                <c:pt idx="9">
                  <c:v>15</c:v>
                </c:pt>
                <c:pt idx="10">
                  <c:v>0</c:v>
                </c:pt>
                <c:pt idx="11">
                  <c:v>0</c:v>
                </c:pt>
                <c:pt idx="12">
                  <c:v>13</c:v>
                </c:pt>
                <c:pt idx="13">
                  <c:v>12</c:v>
                </c:pt>
                <c:pt idx="14">
                  <c:v>1</c:v>
                </c:pt>
                <c:pt idx="15">
                  <c:v>3</c:v>
                </c:pt>
                <c:pt idx="16">
                  <c:v>2</c:v>
                </c:pt>
                <c:pt idx="17">
                  <c:v>12</c:v>
                </c:pt>
                <c:pt idx="18">
                  <c:v>10</c:v>
                </c:pt>
                <c:pt idx="19">
                  <c:v>25</c:v>
                </c:pt>
                <c:pt idx="20">
                  <c:v>7</c:v>
                </c:pt>
                <c:pt idx="21">
                  <c:v>3</c:v>
                </c:pt>
                <c:pt idx="22">
                  <c:v>15</c:v>
                </c:pt>
                <c:pt idx="23">
                  <c:v>8</c:v>
                </c:pt>
                <c:pt idx="24">
                  <c:v>19</c:v>
                </c:pt>
                <c:pt idx="25">
                  <c:v>6</c:v>
                </c:pt>
                <c:pt idx="26">
                  <c:v>5</c:v>
                </c:pt>
                <c:pt idx="27">
                  <c:v>7</c:v>
                </c:pt>
                <c:pt idx="28">
                  <c:v>23</c:v>
                </c:pt>
              </c:numCache>
            </c:numRef>
          </c:val>
          <c:extLst xmlns:c16r2="http://schemas.microsoft.com/office/drawing/2015/06/chart">
            <c:ext xmlns:c16="http://schemas.microsoft.com/office/drawing/2014/chart" uri="{C3380CC4-5D6E-409C-BE32-E72D297353CC}">
              <c16:uniqueId val="{00000000-6BEA-49B4-9690-4384CC41F444}"/>
            </c:ext>
          </c:extLst>
        </c:ser>
        <c:ser>
          <c:idx val="1"/>
          <c:order val="1"/>
          <c:tx>
            <c:strRef>
              <c:f>'Richness Chart Data'!$D$1:$D$2</c:f>
              <c:strCache>
                <c:ptCount val="2"/>
                <c:pt idx="0">
                  <c:v>Mar-16</c:v>
                </c:pt>
              </c:strCache>
            </c:strRef>
          </c:tx>
          <c:spPr>
            <a:pattFill prst="pct50">
              <a:fgClr>
                <a:schemeClr val="accent1">
                  <a:lumMod val="75000"/>
                </a:schemeClr>
              </a:fgClr>
              <a:bgClr>
                <a:schemeClr val="bg1"/>
              </a:bgClr>
            </a:pattFill>
            <a:ln>
              <a:noFill/>
            </a:ln>
            <a:effectLst/>
          </c:spPr>
          <c:invertIfNegative val="0"/>
          <c:cat>
            <c:multiLvlStrRef>
              <c:f>'Richness Chart Data'!$A$3:$B$31</c:f>
              <c:multiLvlStrCache>
                <c:ptCount val="29"/>
                <c:lvl>
                  <c:pt idx="0">
                    <c:v>Baroona Waterhole</c:v>
                  </c:pt>
                  <c:pt idx="1">
                    <c:v>Boyanga Waterhole</c:v>
                  </c:pt>
                  <c:pt idx="2">
                    <c:v>Bunnor Bird Hide</c:v>
                  </c:pt>
                  <c:pt idx="3">
                    <c:v>Three Corners Wetland</c:v>
                  </c:pt>
                  <c:pt idx="4">
                    <c:v>Gingham Bridge</c:v>
                  </c:pt>
                  <c:pt idx="5">
                    <c:v>Gingham Waterhole</c:v>
                  </c:pt>
                  <c:pt idx="6">
                    <c:v>Goddard's Lease</c:v>
                  </c:pt>
                  <c:pt idx="7">
                    <c:v>Jackson Paddock</c:v>
                  </c:pt>
                  <c:pt idx="8">
                    <c:v>Racecourse Lagoon</c:v>
                  </c:pt>
                  <c:pt idx="9">
                    <c:v>Lynworth</c:v>
                  </c:pt>
                  <c:pt idx="10">
                    <c:v>Talmoi Waterhole</c:v>
                  </c:pt>
                  <c:pt idx="11">
                    <c:v>Tillaloo Waterhole</c:v>
                  </c:pt>
                  <c:pt idx="12">
                    <c:v>Westholme SE</c:v>
                  </c:pt>
                  <c:pt idx="13">
                    <c:v>Westholme NW</c:v>
                  </c:pt>
                  <c:pt idx="14">
                    <c:v>Allambie Bridge</c:v>
                  </c:pt>
                  <c:pt idx="15">
                    <c:v>Belmont</c:v>
                  </c:pt>
                  <c:pt idx="16">
                    <c:v>Brageen Crossing</c:v>
                  </c:pt>
                  <c:pt idx="17">
                    <c:v>Old Dromana Dam</c:v>
                  </c:pt>
                  <c:pt idx="18">
                    <c:v>Old Dromana Transect</c:v>
                  </c:pt>
                  <c:pt idx="19">
                    <c:v>Wandoona Waterhole</c:v>
                  </c:pt>
                  <c:pt idx="20">
                    <c:v>Gin Holes</c:v>
                  </c:pt>
                  <c:pt idx="21">
                    <c:v>Bungunyah</c:v>
                  </c:pt>
                  <c:pt idx="22">
                    <c:v>Coombah</c:v>
                  </c:pt>
                  <c:pt idx="23">
                    <c:v>Gundare Weir  </c:v>
                  </c:pt>
                  <c:pt idx="24">
                    <c:v>Valetta</c:v>
                  </c:pt>
                  <c:pt idx="25">
                    <c:v>Combadello Weir</c:v>
                  </c:pt>
                  <c:pt idx="26">
                    <c:v>Derra Waterhole</c:v>
                  </c:pt>
                  <c:pt idx="27">
                    <c:v>Tellegara Bridge</c:v>
                  </c:pt>
                  <c:pt idx="28">
                    <c:v>Whittaker's Lagoon</c:v>
                  </c:pt>
                </c:lvl>
                <c:lvl>
                  <c:pt idx="0">
                    <c:v>Gingham</c:v>
                  </c:pt>
                  <c:pt idx="14">
                    <c:v>Lower Gwydir</c:v>
                  </c:pt>
                  <c:pt idx="21">
                    <c:v>Mallowa</c:v>
                  </c:pt>
                  <c:pt idx="25">
                    <c:v>Mehi</c:v>
                  </c:pt>
                </c:lvl>
              </c:multiLvlStrCache>
            </c:multiLvlStrRef>
          </c:cat>
          <c:val>
            <c:numRef>
              <c:f>'Richness Chart Data'!$D$3:$D$31</c:f>
              <c:numCache>
                <c:formatCode>General</c:formatCode>
                <c:ptCount val="29"/>
                <c:pt idx="0">
                  <c:v>0</c:v>
                </c:pt>
                <c:pt idx="1">
                  <c:v>8</c:v>
                </c:pt>
                <c:pt idx="2">
                  <c:v>27</c:v>
                </c:pt>
                <c:pt idx="3">
                  <c:v>4</c:v>
                </c:pt>
                <c:pt idx="4">
                  <c:v>0</c:v>
                </c:pt>
                <c:pt idx="5">
                  <c:v>17</c:v>
                </c:pt>
                <c:pt idx="6">
                  <c:v>25</c:v>
                </c:pt>
                <c:pt idx="7">
                  <c:v>11</c:v>
                </c:pt>
                <c:pt idx="8">
                  <c:v>13</c:v>
                </c:pt>
                <c:pt idx="9">
                  <c:v>10</c:v>
                </c:pt>
                <c:pt idx="10">
                  <c:v>1</c:v>
                </c:pt>
                <c:pt idx="11">
                  <c:v>1</c:v>
                </c:pt>
                <c:pt idx="12">
                  <c:v>15</c:v>
                </c:pt>
                <c:pt idx="13">
                  <c:v>1</c:v>
                </c:pt>
                <c:pt idx="14">
                  <c:v>2</c:v>
                </c:pt>
                <c:pt idx="15">
                  <c:v>2</c:v>
                </c:pt>
                <c:pt idx="16">
                  <c:v>5</c:v>
                </c:pt>
                <c:pt idx="17">
                  <c:v>14</c:v>
                </c:pt>
                <c:pt idx="18">
                  <c:v>5</c:v>
                </c:pt>
                <c:pt idx="19">
                  <c:v>2</c:v>
                </c:pt>
                <c:pt idx="20">
                  <c:v>0</c:v>
                </c:pt>
                <c:pt idx="21">
                  <c:v>3</c:v>
                </c:pt>
                <c:pt idx="22">
                  <c:v>4</c:v>
                </c:pt>
                <c:pt idx="23">
                  <c:v>9</c:v>
                </c:pt>
                <c:pt idx="24">
                  <c:v>5</c:v>
                </c:pt>
                <c:pt idx="25">
                  <c:v>5</c:v>
                </c:pt>
                <c:pt idx="26">
                  <c:v>1</c:v>
                </c:pt>
                <c:pt idx="27">
                  <c:v>7</c:v>
                </c:pt>
                <c:pt idx="28">
                  <c:v>8</c:v>
                </c:pt>
              </c:numCache>
            </c:numRef>
          </c:val>
          <c:extLst xmlns:c16r2="http://schemas.microsoft.com/office/drawing/2015/06/chart">
            <c:ext xmlns:c16="http://schemas.microsoft.com/office/drawing/2014/chart" uri="{C3380CC4-5D6E-409C-BE32-E72D297353CC}">
              <c16:uniqueId val="{00000001-6BEA-49B4-9690-4384CC41F444}"/>
            </c:ext>
          </c:extLst>
        </c:ser>
        <c:dLbls>
          <c:showLegendKey val="0"/>
          <c:showVal val="0"/>
          <c:showCatName val="0"/>
          <c:showSerName val="0"/>
          <c:showPercent val="0"/>
          <c:showBubbleSize val="0"/>
        </c:dLbls>
        <c:gapWidth val="219"/>
        <c:overlap val="-27"/>
        <c:axId val="563628256"/>
        <c:axId val="563628648"/>
      </c:barChart>
      <c:catAx>
        <c:axId val="563628256"/>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63628648"/>
        <c:crosses val="autoZero"/>
        <c:auto val="1"/>
        <c:lblAlgn val="ctr"/>
        <c:lblOffset val="100"/>
        <c:noMultiLvlLbl val="0"/>
      </c:catAx>
      <c:valAx>
        <c:axId val="56362864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Species Richness</a:t>
                </a:r>
              </a:p>
            </c:rich>
          </c:tx>
          <c:layout>
            <c:manualLayout>
              <c:xMode val="edge"/>
              <c:yMode val="edge"/>
              <c:x val="4.0844894388201471E-3"/>
              <c:y val="0.254510252768316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0"/>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63628256"/>
        <c:crosses val="autoZero"/>
        <c:crossBetween val="between"/>
      </c:valAx>
      <c:spPr>
        <a:noFill/>
        <a:ln>
          <a:noFill/>
        </a:ln>
        <a:effectLst/>
      </c:spPr>
    </c:plotArea>
    <c:legend>
      <c:legendPos val="b"/>
      <c:layout>
        <c:manualLayout>
          <c:xMode val="edge"/>
          <c:yMode val="edge"/>
          <c:x val="0.85326051928536106"/>
          <c:y val="4.297247458989855E-2"/>
          <c:w val="0.1153099627268082"/>
          <c:h val="0.1305734040375357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475331679430482"/>
          <c:y val="3.0178602723468624E-2"/>
          <c:w val="0.85961126092115181"/>
          <c:h val="0.68733012327540688"/>
        </c:manualLayout>
      </c:layout>
      <c:lineChart>
        <c:grouping val="standard"/>
        <c:varyColors val="0"/>
        <c:ser>
          <c:idx val="0"/>
          <c:order val="0"/>
          <c:tx>
            <c:strRef>
              <c:f>Moomin!$B$1</c:f>
              <c:strCache>
                <c:ptCount val="1"/>
                <c:pt idx="0">
                  <c:v>418048 - Moomin @ Combadello cutting</c:v>
                </c:pt>
              </c:strCache>
            </c:strRef>
          </c:tx>
          <c:spPr>
            <a:ln>
              <a:solidFill>
                <a:srgbClr val="FF0000"/>
              </a:solidFill>
              <a:prstDash val="sysDash"/>
            </a:ln>
          </c:spPr>
          <c:marker>
            <c:symbol val="none"/>
          </c:marker>
          <c:cat>
            <c:numRef>
              <c:f>Moomin!$A$5:$A$370</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Moomin!$B$5:$B$370</c:f>
              <c:numCache>
                <c:formatCode>General</c:formatCode>
                <c:ptCount val="366"/>
                <c:pt idx="0">
                  <c:v>6.0110000000000001</c:v>
                </c:pt>
                <c:pt idx="1">
                  <c:v>7.0039999999999996</c:v>
                </c:pt>
                <c:pt idx="2">
                  <c:v>7.0330000000000004</c:v>
                </c:pt>
                <c:pt idx="3">
                  <c:v>6.8890000000000002</c:v>
                </c:pt>
                <c:pt idx="4">
                  <c:v>6.6639999999999997</c:v>
                </c:pt>
                <c:pt idx="5">
                  <c:v>6.5179999999999998</c:v>
                </c:pt>
                <c:pt idx="6">
                  <c:v>6.5880000000000001</c:v>
                </c:pt>
                <c:pt idx="7">
                  <c:v>7.3369999999999997</c:v>
                </c:pt>
                <c:pt idx="8">
                  <c:v>8.0250000000000004</c:v>
                </c:pt>
                <c:pt idx="9">
                  <c:v>8.6069999999999993</c:v>
                </c:pt>
                <c:pt idx="10">
                  <c:v>9.8330000000000002</c:v>
                </c:pt>
                <c:pt idx="11">
                  <c:v>11.760999999999999</c:v>
                </c:pt>
                <c:pt idx="12">
                  <c:v>14.268000000000001</c:v>
                </c:pt>
                <c:pt idx="13">
                  <c:v>19.821000000000002</c:v>
                </c:pt>
                <c:pt idx="14">
                  <c:v>18.143000000000001</c:v>
                </c:pt>
                <c:pt idx="15">
                  <c:v>15.974</c:v>
                </c:pt>
                <c:pt idx="16">
                  <c:v>15.295999999999999</c:v>
                </c:pt>
                <c:pt idx="17">
                  <c:v>15.544</c:v>
                </c:pt>
                <c:pt idx="18">
                  <c:v>15.547000000000001</c:v>
                </c:pt>
                <c:pt idx="19">
                  <c:v>15.250999999999999</c:v>
                </c:pt>
                <c:pt idx="20">
                  <c:v>17.254999999999999</c:v>
                </c:pt>
                <c:pt idx="21">
                  <c:v>57.698999999999998</c:v>
                </c:pt>
                <c:pt idx="22">
                  <c:v>74.174000000000007</c:v>
                </c:pt>
                <c:pt idx="23">
                  <c:v>105.976</c:v>
                </c:pt>
                <c:pt idx="24">
                  <c:v>151.624</c:v>
                </c:pt>
                <c:pt idx="25">
                  <c:v>143.797</c:v>
                </c:pt>
                <c:pt idx="26">
                  <c:v>76.043999999999997</c:v>
                </c:pt>
                <c:pt idx="27">
                  <c:v>50.514000000000003</c:v>
                </c:pt>
                <c:pt idx="28">
                  <c:v>45.13</c:v>
                </c:pt>
                <c:pt idx="29">
                  <c:v>39.335999999999999</c:v>
                </c:pt>
                <c:pt idx="30">
                  <c:v>47.902000000000001</c:v>
                </c:pt>
                <c:pt idx="31">
                  <c:v>55.54</c:v>
                </c:pt>
                <c:pt idx="32">
                  <c:v>55.487000000000002</c:v>
                </c:pt>
                <c:pt idx="33">
                  <c:v>54.006</c:v>
                </c:pt>
                <c:pt idx="34">
                  <c:v>49.393000000000001</c:v>
                </c:pt>
                <c:pt idx="35">
                  <c:v>39.661000000000001</c:v>
                </c:pt>
                <c:pt idx="36">
                  <c:v>34.908000000000001</c:v>
                </c:pt>
                <c:pt idx="37">
                  <c:v>33.28</c:v>
                </c:pt>
                <c:pt idx="38">
                  <c:v>34.526000000000003</c:v>
                </c:pt>
                <c:pt idx="39">
                  <c:v>36.783999999999999</c:v>
                </c:pt>
                <c:pt idx="40">
                  <c:v>38.567999999999998</c:v>
                </c:pt>
                <c:pt idx="41">
                  <c:v>39.569000000000003</c:v>
                </c:pt>
                <c:pt idx="42">
                  <c:v>40.476999999999997</c:v>
                </c:pt>
                <c:pt idx="43">
                  <c:v>40.982999999999997</c:v>
                </c:pt>
                <c:pt idx="44">
                  <c:v>40.033000000000001</c:v>
                </c:pt>
                <c:pt idx="45">
                  <c:v>38.347999999999999</c:v>
                </c:pt>
                <c:pt idx="46">
                  <c:v>17.079000000000001</c:v>
                </c:pt>
                <c:pt idx="47">
                  <c:v>1.5580000000000001</c:v>
                </c:pt>
                <c:pt idx="48">
                  <c:v>1.5049999999999999</c:v>
                </c:pt>
                <c:pt idx="49">
                  <c:v>8.2769999999999992</c:v>
                </c:pt>
                <c:pt idx="50">
                  <c:v>81.506</c:v>
                </c:pt>
                <c:pt idx="51">
                  <c:v>110.39100000000001</c:v>
                </c:pt>
                <c:pt idx="52">
                  <c:v>112.846</c:v>
                </c:pt>
                <c:pt idx="53">
                  <c:v>124.929</c:v>
                </c:pt>
                <c:pt idx="54">
                  <c:v>127.99299999999999</c:v>
                </c:pt>
                <c:pt idx="55">
                  <c:v>104.81100000000001</c:v>
                </c:pt>
                <c:pt idx="56">
                  <c:v>60.917999999999999</c:v>
                </c:pt>
                <c:pt idx="57">
                  <c:v>912.18200000000002</c:v>
                </c:pt>
                <c:pt idx="58">
                  <c:v>1563.8330000000001</c:v>
                </c:pt>
                <c:pt idx="59">
                  <c:v>270.334</c:v>
                </c:pt>
                <c:pt idx="60">
                  <c:v>12.085000000000001</c:v>
                </c:pt>
                <c:pt idx="61">
                  <c:v>5.8250000000000002</c:v>
                </c:pt>
                <c:pt idx="62">
                  <c:v>1.6890000000000001</c:v>
                </c:pt>
                <c:pt idx="63">
                  <c:v>0.71599999999999997</c:v>
                </c:pt>
                <c:pt idx="64">
                  <c:v>0.39800000000000002</c:v>
                </c:pt>
                <c:pt idx="65">
                  <c:v>0.36799999999999999</c:v>
                </c:pt>
                <c:pt idx="66">
                  <c:v>0.154</c:v>
                </c:pt>
                <c:pt idx="67">
                  <c:v>9.4E-2</c:v>
                </c:pt>
                <c:pt idx="68">
                  <c:v>6.0999999999999999E-2</c:v>
                </c:pt>
                <c:pt idx="69">
                  <c:v>4.2000000000000003E-2</c:v>
                </c:pt>
                <c:pt idx="70">
                  <c:v>1.7999999999999999E-2</c:v>
                </c:pt>
                <c:pt idx="71">
                  <c:v>1.2999999999999999E-2</c:v>
                </c:pt>
                <c:pt idx="72">
                  <c:v>1.2999999999999999E-2</c:v>
                </c:pt>
                <c:pt idx="73">
                  <c:v>1.2E-2</c:v>
                </c:pt>
                <c:pt idx="74">
                  <c:v>1E-3</c:v>
                </c:pt>
                <c:pt idx="75">
                  <c:v>0</c:v>
                </c:pt>
                <c:pt idx="76">
                  <c:v>0</c:v>
                </c:pt>
                <c:pt idx="77">
                  <c:v>1E-3</c:v>
                </c:pt>
                <c:pt idx="78">
                  <c:v>0.82399999999999995</c:v>
                </c:pt>
                <c:pt idx="79">
                  <c:v>0.58299999999999996</c:v>
                </c:pt>
                <c:pt idx="80">
                  <c:v>0.22600000000000001</c:v>
                </c:pt>
                <c:pt idx="81">
                  <c:v>0.1</c:v>
                </c:pt>
                <c:pt idx="82">
                  <c:v>5.8000000000000003E-2</c:v>
                </c:pt>
                <c:pt idx="83">
                  <c:v>2.8000000000000001E-2</c:v>
                </c:pt>
                <c:pt idx="84">
                  <c:v>3.0000000000000001E-3</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19.960999999999999</c:v>
                </c:pt>
                <c:pt idx="122">
                  <c:v>52.463000000000001</c:v>
                </c:pt>
                <c:pt idx="123">
                  <c:v>55.817999999999998</c:v>
                </c:pt>
                <c:pt idx="124">
                  <c:v>63.094999999999999</c:v>
                </c:pt>
                <c:pt idx="125">
                  <c:v>67.554000000000002</c:v>
                </c:pt>
                <c:pt idx="126">
                  <c:v>89.91</c:v>
                </c:pt>
                <c:pt idx="127">
                  <c:v>109.819</c:v>
                </c:pt>
                <c:pt idx="128">
                  <c:v>179.55500000000001</c:v>
                </c:pt>
                <c:pt idx="129">
                  <c:v>172.95099999999999</c:v>
                </c:pt>
                <c:pt idx="130">
                  <c:v>91.878</c:v>
                </c:pt>
                <c:pt idx="131">
                  <c:v>189.56899999999999</c:v>
                </c:pt>
                <c:pt idx="132">
                  <c:v>25.439</c:v>
                </c:pt>
                <c:pt idx="133">
                  <c:v>19.035</c:v>
                </c:pt>
                <c:pt idx="134">
                  <c:v>24.004000000000001</c:v>
                </c:pt>
                <c:pt idx="135">
                  <c:v>6.673</c:v>
                </c:pt>
                <c:pt idx="136">
                  <c:v>1.6839999999999999</c:v>
                </c:pt>
                <c:pt idx="137">
                  <c:v>1.0289999999999999</c:v>
                </c:pt>
                <c:pt idx="138">
                  <c:v>0.70399999999999996</c:v>
                </c:pt>
                <c:pt idx="139">
                  <c:v>0.70699999999999996</c:v>
                </c:pt>
                <c:pt idx="140">
                  <c:v>0.376</c:v>
                </c:pt>
                <c:pt idx="141">
                  <c:v>0.23300000000000001</c:v>
                </c:pt>
                <c:pt idx="142">
                  <c:v>0.13200000000000001</c:v>
                </c:pt>
                <c:pt idx="143">
                  <c:v>9.4E-2</c:v>
                </c:pt>
                <c:pt idx="144">
                  <c:v>6.9000000000000006E-2</c:v>
                </c:pt>
                <c:pt idx="145">
                  <c:v>6.8000000000000005E-2</c:v>
                </c:pt>
                <c:pt idx="146">
                  <c:v>7.9000000000000001E-2</c:v>
                </c:pt>
                <c:pt idx="147">
                  <c:v>6.4000000000000001E-2</c:v>
                </c:pt>
                <c:pt idx="148">
                  <c:v>7.3999999999999996E-2</c:v>
                </c:pt>
                <c:pt idx="149">
                  <c:v>7.0999999999999994E-2</c:v>
                </c:pt>
                <c:pt idx="150">
                  <c:v>0.03</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106.60599999999999</c:v>
                </c:pt>
                <c:pt idx="171">
                  <c:v>327.471</c:v>
                </c:pt>
                <c:pt idx="172">
                  <c:v>326.33600000000001</c:v>
                </c:pt>
                <c:pt idx="173">
                  <c:v>360.173</c:v>
                </c:pt>
                <c:pt idx="174">
                  <c:v>446.32299999999998</c:v>
                </c:pt>
                <c:pt idx="175">
                  <c:v>554.21699999999998</c:v>
                </c:pt>
                <c:pt idx="176">
                  <c:v>634.75800000000004</c:v>
                </c:pt>
                <c:pt idx="177">
                  <c:v>661.56100000000004</c:v>
                </c:pt>
                <c:pt idx="178">
                  <c:v>664.05100000000004</c:v>
                </c:pt>
                <c:pt idx="179">
                  <c:v>573.26300000000003</c:v>
                </c:pt>
                <c:pt idx="180">
                  <c:v>544.86</c:v>
                </c:pt>
                <c:pt idx="181">
                  <c:v>558.34100000000001</c:v>
                </c:pt>
                <c:pt idx="182">
                  <c:v>589.10699999999997</c:v>
                </c:pt>
                <c:pt idx="183">
                  <c:v>605.28</c:v>
                </c:pt>
                <c:pt idx="184">
                  <c:v>626.17100000000005</c:v>
                </c:pt>
                <c:pt idx="185">
                  <c:v>613.57000000000005</c:v>
                </c:pt>
                <c:pt idx="186">
                  <c:v>546.74599999999998</c:v>
                </c:pt>
                <c:pt idx="187">
                  <c:v>388.22300000000001</c:v>
                </c:pt>
                <c:pt idx="188">
                  <c:v>183.303</c:v>
                </c:pt>
                <c:pt idx="189">
                  <c:v>131.30699999999999</c:v>
                </c:pt>
                <c:pt idx="190">
                  <c:v>130.28399999999999</c:v>
                </c:pt>
                <c:pt idx="191">
                  <c:v>72.361999999999995</c:v>
                </c:pt>
                <c:pt idx="192">
                  <c:v>35.332000000000001</c:v>
                </c:pt>
                <c:pt idx="193">
                  <c:v>20.957999999999998</c:v>
                </c:pt>
                <c:pt idx="194">
                  <c:v>11.166</c:v>
                </c:pt>
                <c:pt idx="195">
                  <c:v>11.478</c:v>
                </c:pt>
                <c:pt idx="196">
                  <c:v>10.988</c:v>
                </c:pt>
                <c:pt idx="197">
                  <c:v>11.173</c:v>
                </c:pt>
                <c:pt idx="198">
                  <c:v>7.61</c:v>
                </c:pt>
                <c:pt idx="199">
                  <c:v>4.9269999999999996</c:v>
                </c:pt>
                <c:pt idx="200">
                  <c:v>3.38</c:v>
                </c:pt>
                <c:pt idx="201">
                  <c:v>2.5379999999999998</c:v>
                </c:pt>
                <c:pt idx="202">
                  <c:v>160.119</c:v>
                </c:pt>
                <c:pt idx="203">
                  <c:v>581.55499999999995</c:v>
                </c:pt>
                <c:pt idx="204">
                  <c:v>688.03200000000004</c:v>
                </c:pt>
                <c:pt idx="205">
                  <c:v>653.75300000000004</c:v>
                </c:pt>
                <c:pt idx="206">
                  <c:v>639.86400000000003</c:v>
                </c:pt>
                <c:pt idx="207">
                  <c:v>707.03599999999994</c:v>
                </c:pt>
                <c:pt idx="208">
                  <c:v>668.50300000000004</c:v>
                </c:pt>
                <c:pt idx="209">
                  <c:v>678.59799999999996</c:v>
                </c:pt>
                <c:pt idx="210">
                  <c:v>734.94899999999996</c:v>
                </c:pt>
                <c:pt idx="211">
                  <c:v>731.27700000000004</c:v>
                </c:pt>
                <c:pt idx="212">
                  <c:v>776.36599999999999</c:v>
                </c:pt>
                <c:pt idx="213">
                  <c:v>787.80399999999997</c:v>
                </c:pt>
                <c:pt idx="214">
                  <c:v>775.22500000000002</c:v>
                </c:pt>
                <c:pt idx="215">
                  <c:v>586.84699999999998</c:v>
                </c:pt>
                <c:pt idx="216">
                  <c:v>1041.835</c:v>
                </c:pt>
                <c:pt idx="217">
                  <c:v>317.71800000000002</c:v>
                </c:pt>
                <c:pt idx="218">
                  <c:v>86.620999999999995</c:v>
                </c:pt>
                <c:pt idx="219">
                  <c:v>25.381</c:v>
                </c:pt>
                <c:pt idx="220">
                  <c:v>17.995999999999999</c:v>
                </c:pt>
                <c:pt idx="221">
                  <c:v>14.038</c:v>
                </c:pt>
                <c:pt idx="222">
                  <c:v>12.561999999999999</c:v>
                </c:pt>
                <c:pt idx="223">
                  <c:v>12.454000000000001</c:v>
                </c:pt>
                <c:pt idx="224">
                  <c:v>9.32</c:v>
                </c:pt>
                <c:pt idx="225">
                  <c:v>7.3970000000000002</c:v>
                </c:pt>
                <c:pt idx="226">
                  <c:v>6.3869999999999996</c:v>
                </c:pt>
                <c:pt idx="227">
                  <c:v>6.702</c:v>
                </c:pt>
                <c:pt idx="228">
                  <c:v>8.2759999999999998</c:v>
                </c:pt>
                <c:pt idx="229">
                  <c:v>9.8350000000000009</c:v>
                </c:pt>
                <c:pt idx="230">
                  <c:v>9.2460000000000004</c:v>
                </c:pt>
                <c:pt idx="231">
                  <c:v>5.4470000000000001</c:v>
                </c:pt>
                <c:pt idx="232">
                  <c:v>5.2709999999999999</c:v>
                </c:pt>
                <c:pt idx="233">
                  <c:v>5.0119999999999996</c:v>
                </c:pt>
                <c:pt idx="234">
                  <c:v>4.492</c:v>
                </c:pt>
                <c:pt idx="235">
                  <c:v>3.61</c:v>
                </c:pt>
                <c:pt idx="236">
                  <c:v>2.7149999999999999</c:v>
                </c:pt>
                <c:pt idx="237">
                  <c:v>2.0409999999999999</c:v>
                </c:pt>
                <c:pt idx="238">
                  <c:v>1.5840000000000001</c:v>
                </c:pt>
                <c:pt idx="239">
                  <c:v>1.339</c:v>
                </c:pt>
                <c:pt idx="240">
                  <c:v>1.0309999999999999</c:v>
                </c:pt>
                <c:pt idx="241">
                  <c:v>0.72799999999999998</c:v>
                </c:pt>
                <c:pt idx="242">
                  <c:v>0.47199999999999998</c:v>
                </c:pt>
                <c:pt idx="243">
                  <c:v>0.34599999999999997</c:v>
                </c:pt>
                <c:pt idx="244">
                  <c:v>0.316</c:v>
                </c:pt>
                <c:pt idx="245">
                  <c:v>0.30399999999999999</c:v>
                </c:pt>
                <c:pt idx="246">
                  <c:v>0.29599999999999999</c:v>
                </c:pt>
                <c:pt idx="247">
                  <c:v>0.23699999999999999</c:v>
                </c:pt>
                <c:pt idx="248">
                  <c:v>0.127</c:v>
                </c:pt>
                <c:pt idx="249">
                  <c:v>6.3E-2</c:v>
                </c:pt>
                <c:pt idx="250">
                  <c:v>2.1999999999999999E-2</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2.5880000000000001</c:v>
                </c:pt>
                <c:pt idx="298">
                  <c:v>4.5510000000000002</c:v>
                </c:pt>
                <c:pt idx="299">
                  <c:v>3.6819999999999999</c:v>
                </c:pt>
                <c:pt idx="300">
                  <c:v>3.9660000000000002</c:v>
                </c:pt>
                <c:pt idx="301">
                  <c:v>4.6539999999999999</c:v>
                </c:pt>
                <c:pt idx="302">
                  <c:v>4.2089999999999996</c:v>
                </c:pt>
                <c:pt idx="303">
                  <c:v>4.0069999999999997</c:v>
                </c:pt>
                <c:pt idx="304">
                  <c:v>4.3490000000000002</c:v>
                </c:pt>
                <c:pt idx="305">
                  <c:v>4.7069999999999999</c:v>
                </c:pt>
                <c:pt idx="306">
                  <c:v>5.16</c:v>
                </c:pt>
                <c:pt idx="307">
                  <c:v>2.5590000000000002</c:v>
                </c:pt>
                <c:pt idx="308">
                  <c:v>1.57</c:v>
                </c:pt>
                <c:pt idx="309">
                  <c:v>1.829</c:v>
                </c:pt>
                <c:pt idx="310">
                  <c:v>8.5999999999999993E-2</c:v>
                </c:pt>
                <c:pt idx="311">
                  <c:v>6.6000000000000003E-2</c:v>
                </c:pt>
                <c:pt idx="312">
                  <c:v>6.3E-2</c:v>
                </c:pt>
                <c:pt idx="313">
                  <c:v>6.5000000000000002E-2</c:v>
                </c:pt>
                <c:pt idx="314">
                  <c:v>6.5000000000000002E-2</c:v>
                </c:pt>
                <c:pt idx="315">
                  <c:v>0.28000000000000003</c:v>
                </c:pt>
                <c:pt idx="316">
                  <c:v>61.807000000000002</c:v>
                </c:pt>
                <c:pt idx="317">
                  <c:v>196.01400000000001</c:v>
                </c:pt>
                <c:pt idx="318">
                  <c:v>269.33999999999997</c:v>
                </c:pt>
                <c:pt idx="319">
                  <c:v>264.79199999999997</c:v>
                </c:pt>
                <c:pt idx="320">
                  <c:v>237.822</c:v>
                </c:pt>
                <c:pt idx="321">
                  <c:v>272.32400000000001</c:v>
                </c:pt>
                <c:pt idx="322">
                  <c:v>299.72899999999998</c:v>
                </c:pt>
                <c:pt idx="323">
                  <c:v>283.93900000000002</c:v>
                </c:pt>
                <c:pt idx="324">
                  <c:v>296.59399999999999</c:v>
                </c:pt>
                <c:pt idx="325">
                  <c:v>296.34399999999999</c:v>
                </c:pt>
                <c:pt idx="326">
                  <c:v>236.64</c:v>
                </c:pt>
                <c:pt idx="327">
                  <c:v>136.04300000000001</c:v>
                </c:pt>
                <c:pt idx="328">
                  <c:v>62.329000000000001</c:v>
                </c:pt>
                <c:pt idx="329">
                  <c:v>78.956000000000003</c:v>
                </c:pt>
                <c:pt idx="330">
                  <c:v>73.415000000000006</c:v>
                </c:pt>
                <c:pt idx="331">
                  <c:v>41.969000000000001</c:v>
                </c:pt>
                <c:pt idx="332">
                  <c:v>26.283999999999999</c:v>
                </c:pt>
                <c:pt idx="333">
                  <c:v>21.620999999999999</c:v>
                </c:pt>
                <c:pt idx="334">
                  <c:v>16.631</c:v>
                </c:pt>
                <c:pt idx="335">
                  <c:v>11.55</c:v>
                </c:pt>
                <c:pt idx="336">
                  <c:v>8.5269999999999992</c:v>
                </c:pt>
                <c:pt idx="337">
                  <c:v>6.923</c:v>
                </c:pt>
                <c:pt idx="338">
                  <c:v>6.141</c:v>
                </c:pt>
                <c:pt idx="339">
                  <c:v>5.0759999999999996</c:v>
                </c:pt>
                <c:pt idx="340">
                  <c:v>6.7839999999999998</c:v>
                </c:pt>
                <c:pt idx="341">
                  <c:v>6.9249999999999998</c:v>
                </c:pt>
                <c:pt idx="342">
                  <c:v>10.167999999999999</c:v>
                </c:pt>
                <c:pt idx="343">
                  <c:v>8.0559999999999992</c:v>
                </c:pt>
                <c:pt idx="344">
                  <c:v>6.0650000000000004</c:v>
                </c:pt>
                <c:pt idx="345">
                  <c:v>4.2859999999999996</c:v>
                </c:pt>
                <c:pt idx="346">
                  <c:v>2.649</c:v>
                </c:pt>
                <c:pt idx="347">
                  <c:v>1.5089999999999999</c:v>
                </c:pt>
                <c:pt idx="348">
                  <c:v>0.79100000000000004</c:v>
                </c:pt>
                <c:pt idx="349">
                  <c:v>0.36499999999999999</c:v>
                </c:pt>
                <c:pt idx="350">
                  <c:v>0.13900000000000001</c:v>
                </c:pt>
                <c:pt idx="351">
                  <c:v>6.8000000000000005E-2</c:v>
                </c:pt>
                <c:pt idx="352">
                  <c:v>0.03</c:v>
                </c:pt>
                <c:pt idx="353">
                  <c:v>3.0000000000000001E-3</c:v>
                </c:pt>
                <c:pt idx="354">
                  <c:v>0</c:v>
                </c:pt>
                <c:pt idx="355">
                  <c:v>5.0000000000000001E-3</c:v>
                </c:pt>
                <c:pt idx="356">
                  <c:v>1E-3</c:v>
                </c:pt>
                <c:pt idx="357">
                  <c:v>0</c:v>
                </c:pt>
                <c:pt idx="358">
                  <c:v>0</c:v>
                </c:pt>
                <c:pt idx="359">
                  <c:v>5.1999999999999998E-2</c:v>
                </c:pt>
                <c:pt idx="360">
                  <c:v>0.436</c:v>
                </c:pt>
                <c:pt idx="361">
                  <c:v>0.64400000000000002</c:v>
                </c:pt>
                <c:pt idx="362">
                  <c:v>0.58399999999999996</c:v>
                </c:pt>
                <c:pt idx="363">
                  <c:v>16.43</c:v>
                </c:pt>
                <c:pt idx="364">
                  <c:v>43.472000000000001</c:v>
                </c:pt>
                <c:pt idx="365">
                  <c:v>56.127000000000002</c:v>
                </c:pt>
              </c:numCache>
            </c:numRef>
          </c:val>
          <c:smooth val="0"/>
        </c:ser>
        <c:ser>
          <c:idx val="1"/>
          <c:order val="1"/>
          <c:tx>
            <c:strRef>
              <c:f>Moomin!$C$1</c:f>
              <c:strCache>
                <c:ptCount val="1"/>
                <c:pt idx="0">
                  <c:v>418070 - Moomin @ Moomin Plains</c:v>
                </c:pt>
              </c:strCache>
            </c:strRef>
          </c:tx>
          <c:spPr>
            <a:ln>
              <a:solidFill>
                <a:srgbClr val="0070C0"/>
              </a:solidFill>
            </a:ln>
          </c:spPr>
          <c:marker>
            <c:symbol val="none"/>
          </c:marker>
          <c:cat>
            <c:numRef>
              <c:f>Moomin!$A$5:$A$370</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Moomin!$C$5:$C$370</c:f>
              <c:numCache>
                <c:formatCode>General</c:formatCode>
                <c:ptCount val="366"/>
                <c:pt idx="0">
                  <c:v>30.777999999999999</c:v>
                </c:pt>
                <c:pt idx="1">
                  <c:v>32.866</c:v>
                </c:pt>
                <c:pt idx="2">
                  <c:v>31.594000000000001</c:v>
                </c:pt>
                <c:pt idx="3">
                  <c:v>27.524000000000001</c:v>
                </c:pt>
                <c:pt idx="4">
                  <c:v>23.548999999999999</c:v>
                </c:pt>
                <c:pt idx="5">
                  <c:v>19.904</c:v>
                </c:pt>
                <c:pt idx="6">
                  <c:v>17.175000000000001</c:v>
                </c:pt>
                <c:pt idx="7">
                  <c:v>15.119</c:v>
                </c:pt>
                <c:pt idx="8">
                  <c:v>13.38</c:v>
                </c:pt>
                <c:pt idx="9">
                  <c:v>11.95</c:v>
                </c:pt>
                <c:pt idx="10">
                  <c:v>9.5719999999999992</c:v>
                </c:pt>
                <c:pt idx="11">
                  <c:v>7.9210000000000003</c:v>
                </c:pt>
                <c:pt idx="12">
                  <c:v>7.2880000000000003</c:v>
                </c:pt>
                <c:pt idx="13">
                  <c:v>6.7910000000000004</c:v>
                </c:pt>
                <c:pt idx="14">
                  <c:v>6.2220000000000004</c:v>
                </c:pt>
                <c:pt idx="15">
                  <c:v>5.8810000000000002</c:v>
                </c:pt>
                <c:pt idx="16">
                  <c:v>5.6689999999999996</c:v>
                </c:pt>
                <c:pt idx="17">
                  <c:v>5.3079999999999998</c:v>
                </c:pt>
                <c:pt idx="18">
                  <c:v>5.1210000000000004</c:v>
                </c:pt>
                <c:pt idx="19">
                  <c:v>4.9980000000000002</c:v>
                </c:pt>
                <c:pt idx="20">
                  <c:v>5.0179999999999998</c:v>
                </c:pt>
                <c:pt idx="21">
                  <c:v>5.1559999999999997</c:v>
                </c:pt>
                <c:pt idx="22">
                  <c:v>4.7969999999999997</c:v>
                </c:pt>
                <c:pt idx="23">
                  <c:v>4.7569999999999997</c:v>
                </c:pt>
                <c:pt idx="24">
                  <c:v>5.0599999999999996</c:v>
                </c:pt>
                <c:pt idx="25">
                  <c:v>5.2279999999999998</c:v>
                </c:pt>
                <c:pt idx="26">
                  <c:v>5.5590000000000002</c:v>
                </c:pt>
                <c:pt idx="27">
                  <c:v>5.843</c:v>
                </c:pt>
                <c:pt idx="28">
                  <c:v>6.2290000000000001</c:v>
                </c:pt>
                <c:pt idx="29">
                  <c:v>8.4009999999999998</c:v>
                </c:pt>
                <c:pt idx="30">
                  <c:v>28.350999999999999</c:v>
                </c:pt>
                <c:pt idx="31">
                  <c:v>30.885000000000002</c:v>
                </c:pt>
                <c:pt idx="32">
                  <c:v>28.619</c:v>
                </c:pt>
                <c:pt idx="33">
                  <c:v>38.465000000000003</c:v>
                </c:pt>
                <c:pt idx="34">
                  <c:v>39.779000000000003</c:v>
                </c:pt>
                <c:pt idx="35">
                  <c:v>35.929000000000002</c:v>
                </c:pt>
                <c:pt idx="36">
                  <c:v>32.662999999999997</c:v>
                </c:pt>
                <c:pt idx="37">
                  <c:v>32.140999999999998</c:v>
                </c:pt>
                <c:pt idx="38">
                  <c:v>34.283999999999999</c:v>
                </c:pt>
                <c:pt idx="39">
                  <c:v>36.146999999999998</c:v>
                </c:pt>
                <c:pt idx="40">
                  <c:v>33.965000000000003</c:v>
                </c:pt>
                <c:pt idx="41">
                  <c:v>33.828000000000003</c:v>
                </c:pt>
                <c:pt idx="42">
                  <c:v>32.707999999999998</c:v>
                </c:pt>
                <c:pt idx="43">
                  <c:v>29.259</c:v>
                </c:pt>
                <c:pt idx="44">
                  <c:v>26.576000000000001</c:v>
                </c:pt>
                <c:pt idx="45">
                  <c:v>25.192</c:v>
                </c:pt>
                <c:pt idx="46">
                  <c:v>24.468</c:v>
                </c:pt>
                <c:pt idx="47">
                  <c:v>25.268000000000001</c:v>
                </c:pt>
                <c:pt idx="48">
                  <c:v>26.236000000000001</c:v>
                </c:pt>
                <c:pt idx="49">
                  <c:v>27.76</c:v>
                </c:pt>
                <c:pt idx="50">
                  <c:v>29.617999999999999</c:v>
                </c:pt>
                <c:pt idx="51">
                  <c:v>30.655999999999999</c:v>
                </c:pt>
                <c:pt idx="52">
                  <c:v>31.047999999999998</c:v>
                </c:pt>
                <c:pt idx="53">
                  <c:v>29.891999999999999</c:v>
                </c:pt>
                <c:pt idx="54">
                  <c:v>26.91</c:v>
                </c:pt>
                <c:pt idx="55">
                  <c:v>25.538</c:v>
                </c:pt>
                <c:pt idx="56">
                  <c:v>22.247</c:v>
                </c:pt>
                <c:pt idx="57">
                  <c:v>19.483000000000001</c:v>
                </c:pt>
                <c:pt idx="58">
                  <c:v>13.319000000000001</c:v>
                </c:pt>
                <c:pt idx="59">
                  <c:v>9.5</c:v>
                </c:pt>
                <c:pt idx="60">
                  <c:v>8.2710000000000008</c:v>
                </c:pt>
                <c:pt idx="61">
                  <c:v>7.8129999999999997</c:v>
                </c:pt>
                <c:pt idx="62">
                  <c:v>7.3869999999999996</c:v>
                </c:pt>
                <c:pt idx="63">
                  <c:v>6.9649999999999999</c:v>
                </c:pt>
                <c:pt idx="64">
                  <c:v>6.173</c:v>
                </c:pt>
                <c:pt idx="65">
                  <c:v>5.9210000000000003</c:v>
                </c:pt>
                <c:pt idx="66">
                  <c:v>5.5960000000000001</c:v>
                </c:pt>
                <c:pt idx="67">
                  <c:v>4.4740000000000002</c:v>
                </c:pt>
                <c:pt idx="68">
                  <c:v>4.82</c:v>
                </c:pt>
                <c:pt idx="69">
                  <c:v>4.2880000000000003</c:v>
                </c:pt>
                <c:pt idx="70">
                  <c:v>4.8179999999999996</c:v>
                </c:pt>
                <c:pt idx="71">
                  <c:v>5.1790000000000003</c:v>
                </c:pt>
                <c:pt idx="72">
                  <c:v>5.0140000000000002</c:v>
                </c:pt>
                <c:pt idx="73">
                  <c:v>4.4509999999999996</c:v>
                </c:pt>
                <c:pt idx="74">
                  <c:v>4.2709999999999999</c:v>
                </c:pt>
                <c:pt idx="75">
                  <c:v>4.4370000000000003</c:v>
                </c:pt>
                <c:pt idx="76">
                  <c:v>4.641</c:v>
                </c:pt>
                <c:pt idx="77">
                  <c:v>4.0309999999999997</c:v>
                </c:pt>
                <c:pt idx="78">
                  <c:v>4.2290000000000001</c:v>
                </c:pt>
                <c:pt idx="79">
                  <c:v>4.0880000000000001</c:v>
                </c:pt>
                <c:pt idx="80">
                  <c:v>3.01</c:v>
                </c:pt>
                <c:pt idx="81">
                  <c:v>2.7759999999999998</c:v>
                </c:pt>
                <c:pt idx="82">
                  <c:v>2.4950000000000001</c:v>
                </c:pt>
                <c:pt idx="83">
                  <c:v>2.29</c:v>
                </c:pt>
                <c:pt idx="84">
                  <c:v>2.2789999999999999</c:v>
                </c:pt>
                <c:pt idx="85">
                  <c:v>1.89</c:v>
                </c:pt>
                <c:pt idx="86">
                  <c:v>1.3640000000000001</c:v>
                </c:pt>
                <c:pt idx="87">
                  <c:v>1.3120000000000001</c:v>
                </c:pt>
                <c:pt idx="88">
                  <c:v>1.198</c:v>
                </c:pt>
                <c:pt idx="89">
                  <c:v>1.4970000000000001</c:v>
                </c:pt>
                <c:pt idx="90">
                  <c:v>1.7150000000000001</c:v>
                </c:pt>
                <c:pt idx="91">
                  <c:v>1.6579999999999999</c:v>
                </c:pt>
                <c:pt idx="92">
                  <c:v>1.2390000000000001</c:v>
                </c:pt>
                <c:pt idx="93">
                  <c:v>1.0049999999999999</c:v>
                </c:pt>
                <c:pt idx="94">
                  <c:v>1.17</c:v>
                </c:pt>
                <c:pt idx="95">
                  <c:v>1.1479999999999999</c:v>
                </c:pt>
                <c:pt idx="96">
                  <c:v>0.9</c:v>
                </c:pt>
                <c:pt idx="97">
                  <c:v>0.36799999999999999</c:v>
                </c:pt>
                <c:pt idx="98">
                  <c:v>0.111</c:v>
                </c:pt>
                <c:pt idx="99">
                  <c:v>8.9999999999999993E-3</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7.35</c:v>
                </c:pt>
                <c:pt idx="138">
                  <c:v>23.940999999999999</c:v>
                </c:pt>
                <c:pt idx="139">
                  <c:v>19.984999999999999</c:v>
                </c:pt>
                <c:pt idx="140">
                  <c:v>11.353</c:v>
                </c:pt>
                <c:pt idx="141">
                  <c:v>6.1660000000000004</c:v>
                </c:pt>
                <c:pt idx="142">
                  <c:v>4.0330000000000004</c:v>
                </c:pt>
                <c:pt idx="143">
                  <c:v>3.8780000000000001</c:v>
                </c:pt>
                <c:pt idx="144">
                  <c:v>3.4670000000000001</c:v>
                </c:pt>
                <c:pt idx="145">
                  <c:v>3.0150000000000001</c:v>
                </c:pt>
                <c:pt idx="146">
                  <c:v>2.7069999999999999</c:v>
                </c:pt>
                <c:pt idx="147">
                  <c:v>1.841</c:v>
                </c:pt>
                <c:pt idx="148">
                  <c:v>1.3959999999999999</c:v>
                </c:pt>
                <c:pt idx="149">
                  <c:v>1.2130000000000001</c:v>
                </c:pt>
                <c:pt idx="150">
                  <c:v>1.288</c:v>
                </c:pt>
                <c:pt idx="151">
                  <c:v>1.2090000000000001</c:v>
                </c:pt>
                <c:pt idx="152">
                  <c:v>1.238</c:v>
                </c:pt>
                <c:pt idx="153">
                  <c:v>1.296</c:v>
                </c:pt>
                <c:pt idx="154">
                  <c:v>2.0779999999999998</c:v>
                </c:pt>
                <c:pt idx="155">
                  <c:v>2.2919999999999998</c:v>
                </c:pt>
                <c:pt idx="156">
                  <c:v>2.5760000000000001</c:v>
                </c:pt>
                <c:pt idx="157">
                  <c:v>1.7090000000000001</c:v>
                </c:pt>
                <c:pt idx="158">
                  <c:v>1.887</c:v>
                </c:pt>
                <c:pt idx="159">
                  <c:v>3.125</c:v>
                </c:pt>
                <c:pt idx="160">
                  <c:v>3.3370000000000002</c:v>
                </c:pt>
                <c:pt idx="161">
                  <c:v>3.4940000000000002</c:v>
                </c:pt>
                <c:pt idx="162">
                  <c:v>2.347</c:v>
                </c:pt>
                <c:pt idx="163">
                  <c:v>2.5310000000000001</c:v>
                </c:pt>
                <c:pt idx="164">
                  <c:v>2.7810000000000001</c:v>
                </c:pt>
                <c:pt idx="165">
                  <c:v>4.6769999999999996</c:v>
                </c:pt>
                <c:pt idx="166">
                  <c:v>4.5309999999999997</c:v>
                </c:pt>
                <c:pt idx="167">
                  <c:v>4.1280000000000001</c:v>
                </c:pt>
                <c:pt idx="168">
                  <c:v>3.8679999999999999</c:v>
                </c:pt>
                <c:pt idx="169">
                  <c:v>3.63</c:v>
                </c:pt>
                <c:pt idx="170">
                  <c:v>2.2730000000000001</c:v>
                </c:pt>
                <c:pt idx="171">
                  <c:v>1.369</c:v>
                </c:pt>
                <c:pt idx="172">
                  <c:v>1.1180000000000001</c:v>
                </c:pt>
                <c:pt idx="173">
                  <c:v>1.113</c:v>
                </c:pt>
                <c:pt idx="174">
                  <c:v>1.3660000000000001</c:v>
                </c:pt>
                <c:pt idx="175">
                  <c:v>1.8160000000000001</c:v>
                </c:pt>
                <c:pt idx="176">
                  <c:v>2.149</c:v>
                </c:pt>
                <c:pt idx="177">
                  <c:v>1.823</c:v>
                </c:pt>
                <c:pt idx="178">
                  <c:v>1.3979999999999999</c:v>
                </c:pt>
                <c:pt idx="179">
                  <c:v>1.405</c:v>
                </c:pt>
                <c:pt idx="180">
                  <c:v>5.9429999999999996</c:v>
                </c:pt>
                <c:pt idx="181">
                  <c:v>13.228999999999999</c:v>
                </c:pt>
                <c:pt idx="182">
                  <c:v>1.748</c:v>
                </c:pt>
                <c:pt idx="183">
                  <c:v>0.436</c:v>
                </c:pt>
                <c:pt idx="184">
                  <c:v>0.127</c:v>
                </c:pt>
                <c:pt idx="185">
                  <c:v>2E-3</c:v>
                </c:pt>
                <c:pt idx="186">
                  <c:v>0</c:v>
                </c:pt>
                <c:pt idx="187">
                  <c:v>0.58799999999999997</c:v>
                </c:pt>
                <c:pt idx="188">
                  <c:v>0.48</c:v>
                </c:pt>
                <c:pt idx="189">
                  <c:v>1.1200000000000001</c:v>
                </c:pt>
                <c:pt idx="190">
                  <c:v>1.2549999999999999</c:v>
                </c:pt>
                <c:pt idx="191">
                  <c:v>0.98099999999999998</c:v>
                </c:pt>
                <c:pt idx="192">
                  <c:v>0.66200000000000003</c:v>
                </c:pt>
                <c:pt idx="193">
                  <c:v>0.38400000000000001</c:v>
                </c:pt>
                <c:pt idx="194">
                  <c:v>0.32100000000000001</c:v>
                </c:pt>
                <c:pt idx="195">
                  <c:v>0.3</c:v>
                </c:pt>
                <c:pt idx="196">
                  <c:v>0.30599999999999999</c:v>
                </c:pt>
                <c:pt idx="197">
                  <c:v>0.29799999999999999</c:v>
                </c:pt>
                <c:pt idx="198">
                  <c:v>0.26900000000000002</c:v>
                </c:pt>
                <c:pt idx="199">
                  <c:v>0.316</c:v>
                </c:pt>
                <c:pt idx="200">
                  <c:v>0.35199999999999998</c:v>
                </c:pt>
                <c:pt idx="201">
                  <c:v>0.35399999999999998</c:v>
                </c:pt>
                <c:pt idx="202">
                  <c:v>0.32100000000000001</c:v>
                </c:pt>
                <c:pt idx="203">
                  <c:v>0.42099999999999999</c:v>
                </c:pt>
                <c:pt idx="204">
                  <c:v>0.52800000000000002</c:v>
                </c:pt>
                <c:pt idx="205">
                  <c:v>0.67200000000000004</c:v>
                </c:pt>
                <c:pt idx="206">
                  <c:v>0.73499999999999999</c:v>
                </c:pt>
                <c:pt idx="207">
                  <c:v>0.98199999999999998</c:v>
                </c:pt>
                <c:pt idx="208">
                  <c:v>1.046</c:v>
                </c:pt>
                <c:pt idx="209">
                  <c:v>0.72199999999999998</c:v>
                </c:pt>
                <c:pt idx="210">
                  <c:v>1.0109999999999999</c:v>
                </c:pt>
                <c:pt idx="211">
                  <c:v>2.1240000000000001</c:v>
                </c:pt>
                <c:pt idx="212">
                  <c:v>7.8609999999999998</c:v>
                </c:pt>
                <c:pt idx="213">
                  <c:v>6.7779999999999996</c:v>
                </c:pt>
                <c:pt idx="214">
                  <c:v>1.7809999999999999</c:v>
                </c:pt>
                <c:pt idx="215">
                  <c:v>1.6319999999999999</c:v>
                </c:pt>
                <c:pt idx="216">
                  <c:v>1.327</c:v>
                </c:pt>
                <c:pt idx="217">
                  <c:v>0.997</c:v>
                </c:pt>
                <c:pt idx="218">
                  <c:v>1.286</c:v>
                </c:pt>
                <c:pt idx="219">
                  <c:v>7.9889999999999999</c:v>
                </c:pt>
                <c:pt idx="220">
                  <c:v>14.286</c:v>
                </c:pt>
                <c:pt idx="221">
                  <c:v>10.545999999999999</c:v>
                </c:pt>
                <c:pt idx="222">
                  <c:v>20.751000000000001</c:v>
                </c:pt>
                <c:pt idx="223">
                  <c:v>14.214</c:v>
                </c:pt>
                <c:pt idx="224">
                  <c:v>13.439</c:v>
                </c:pt>
                <c:pt idx="225">
                  <c:v>26.236999999999998</c:v>
                </c:pt>
                <c:pt idx="226">
                  <c:v>30.948</c:v>
                </c:pt>
                <c:pt idx="227">
                  <c:v>28.42</c:v>
                </c:pt>
                <c:pt idx="228">
                  <c:v>23.356000000000002</c:v>
                </c:pt>
                <c:pt idx="229">
                  <c:v>19.428000000000001</c:v>
                </c:pt>
                <c:pt idx="230">
                  <c:v>17.885000000000002</c:v>
                </c:pt>
                <c:pt idx="231">
                  <c:v>15.929</c:v>
                </c:pt>
                <c:pt idx="232">
                  <c:v>14.59</c:v>
                </c:pt>
                <c:pt idx="233">
                  <c:v>13.420999999999999</c:v>
                </c:pt>
                <c:pt idx="234">
                  <c:v>12.27</c:v>
                </c:pt>
                <c:pt idx="235">
                  <c:v>11.512</c:v>
                </c:pt>
                <c:pt idx="236">
                  <c:v>9.6389999999999993</c:v>
                </c:pt>
                <c:pt idx="237">
                  <c:v>7.75</c:v>
                </c:pt>
                <c:pt idx="238">
                  <c:v>5.3070000000000004</c:v>
                </c:pt>
                <c:pt idx="239">
                  <c:v>4.1429999999999998</c:v>
                </c:pt>
                <c:pt idx="240">
                  <c:v>3.2719999999999998</c:v>
                </c:pt>
                <c:pt idx="241">
                  <c:v>3.45</c:v>
                </c:pt>
                <c:pt idx="242">
                  <c:v>2.9809999999999999</c:v>
                </c:pt>
                <c:pt idx="243">
                  <c:v>3.1640000000000001</c:v>
                </c:pt>
                <c:pt idx="244">
                  <c:v>2.4470000000000001</c:v>
                </c:pt>
                <c:pt idx="245">
                  <c:v>1.522</c:v>
                </c:pt>
                <c:pt idx="246">
                  <c:v>0.27800000000000002</c:v>
                </c:pt>
                <c:pt idx="247">
                  <c:v>0.16600000000000001</c:v>
                </c:pt>
                <c:pt idx="248">
                  <c:v>0.10199999999999999</c:v>
                </c:pt>
                <c:pt idx="249">
                  <c:v>0.107</c:v>
                </c:pt>
                <c:pt idx="250">
                  <c:v>0.111</c:v>
                </c:pt>
                <c:pt idx="251">
                  <c:v>0.106</c:v>
                </c:pt>
                <c:pt idx="252">
                  <c:v>0.115</c:v>
                </c:pt>
                <c:pt idx="253">
                  <c:v>0.13500000000000001</c:v>
                </c:pt>
                <c:pt idx="254">
                  <c:v>7.9000000000000001E-2</c:v>
                </c:pt>
                <c:pt idx="255">
                  <c:v>7.0000000000000007E-2</c:v>
                </c:pt>
                <c:pt idx="256">
                  <c:v>6.5000000000000002E-2</c:v>
                </c:pt>
                <c:pt idx="257">
                  <c:v>3.5000000000000003E-2</c:v>
                </c:pt>
                <c:pt idx="258">
                  <c:v>2.4E-2</c:v>
                </c:pt>
                <c:pt idx="259">
                  <c:v>1.7000000000000001E-2</c:v>
                </c:pt>
                <c:pt idx="260">
                  <c:v>8.9999999999999993E-3</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50.518000000000001</c:v>
                </c:pt>
                <c:pt idx="329">
                  <c:v>58.561</c:v>
                </c:pt>
                <c:pt idx="330">
                  <c:v>30.187000000000001</c:v>
                </c:pt>
                <c:pt idx="331">
                  <c:v>35.121000000000002</c:v>
                </c:pt>
                <c:pt idx="332">
                  <c:v>25.978000000000002</c:v>
                </c:pt>
                <c:pt idx="333">
                  <c:v>12.849</c:v>
                </c:pt>
                <c:pt idx="334">
                  <c:v>7.7919999999999998</c:v>
                </c:pt>
                <c:pt idx="335">
                  <c:v>5.7489999999999997</c:v>
                </c:pt>
                <c:pt idx="336">
                  <c:v>18.207999999999998</c:v>
                </c:pt>
                <c:pt idx="337">
                  <c:v>60.262999999999998</c:v>
                </c:pt>
                <c:pt idx="338">
                  <c:v>61.357999999999997</c:v>
                </c:pt>
                <c:pt idx="339">
                  <c:v>67.566999999999993</c:v>
                </c:pt>
                <c:pt idx="340">
                  <c:v>86.622</c:v>
                </c:pt>
                <c:pt idx="341">
                  <c:v>71.792000000000002</c:v>
                </c:pt>
                <c:pt idx="342">
                  <c:v>43.106000000000002</c:v>
                </c:pt>
                <c:pt idx="343">
                  <c:v>15.474</c:v>
                </c:pt>
                <c:pt idx="344">
                  <c:v>8.907</c:v>
                </c:pt>
                <c:pt idx="345">
                  <c:v>6.2629999999999999</c:v>
                </c:pt>
                <c:pt idx="346">
                  <c:v>5.0519999999999996</c:v>
                </c:pt>
                <c:pt idx="347">
                  <c:v>4.4279999999999999</c:v>
                </c:pt>
                <c:pt idx="348">
                  <c:v>3.8210000000000002</c:v>
                </c:pt>
                <c:pt idx="349">
                  <c:v>2.8039999999999998</c:v>
                </c:pt>
                <c:pt idx="350">
                  <c:v>2.1509999999999998</c:v>
                </c:pt>
                <c:pt idx="351">
                  <c:v>1.9339999999999999</c:v>
                </c:pt>
                <c:pt idx="352">
                  <c:v>1.7330000000000001</c:v>
                </c:pt>
                <c:pt idx="353">
                  <c:v>1.6220000000000001</c:v>
                </c:pt>
                <c:pt idx="354">
                  <c:v>1.694</c:v>
                </c:pt>
                <c:pt idx="355">
                  <c:v>13.452999999999999</c:v>
                </c:pt>
                <c:pt idx="356">
                  <c:v>33.128</c:v>
                </c:pt>
                <c:pt idx="357">
                  <c:v>18.024999999999999</c:v>
                </c:pt>
                <c:pt idx="358">
                  <c:v>14.742000000000001</c:v>
                </c:pt>
                <c:pt idx="359">
                  <c:v>13.507999999999999</c:v>
                </c:pt>
                <c:pt idx="360">
                  <c:v>13.106999999999999</c:v>
                </c:pt>
                <c:pt idx="361">
                  <c:v>10.891999999999999</c:v>
                </c:pt>
                <c:pt idx="362">
                  <c:v>8.8659999999999997</c:v>
                </c:pt>
                <c:pt idx="363">
                  <c:v>8.1989999999999998</c:v>
                </c:pt>
                <c:pt idx="364">
                  <c:v>7.1159999999999997</c:v>
                </c:pt>
                <c:pt idx="365">
                  <c:v>6.1520000000000001</c:v>
                </c:pt>
              </c:numCache>
            </c:numRef>
          </c:val>
          <c:smooth val="0"/>
        </c:ser>
        <c:ser>
          <c:idx val="2"/>
          <c:order val="2"/>
          <c:tx>
            <c:strRef>
              <c:f>Moomin!$I$2</c:f>
              <c:strCache>
                <c:ptCount val="1"/>
                <c:pt idx="0">
                  <c:v>Environmental water</c:v>
                </c:pt>
              </c:strCache>
            </c:strRef>
          </c:tx>
          <c:spPr>
            <a:ln w="57111">
              <a:solidFill>
                <a:srgbClr val="00B050"/>
              </a:solidFill>
            </a:ln>
          </c:spPr>
          <c:marker>
            <c:symbol val="none"/>
          </c:marker>
          <c:cat>
            <c:numRef>
              <c:f>Moomin!$A$5:$A$370</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Moomin!$I$5:$I$370</c:f>
              <c:numCache>
                <c:formatCode>General</c:formatCode>
                <c:ptCount val="366"/>
              </c:numCache>
            </c:numRef>
          </c:val>
          <c:smooth val="0"/>
        </c:ser>
        <c:ser>
          <c:idx val="3"/>
          <c:order val="3"/>
          <c:tx>
            <c:strRef>
              <c:f>Moomin!$J$2</c:f>
              <c:strCache>
                <c:ptCount val="1"/>
                <c:pt idx="0">
                  <c:v>Longitudinal connectivity</c:v>
                </c:pt>
              </c:strCache>
            </c:strRef>
          </c:tx>
          <c:spPr>
            <a:ln w="57111">
              <a:solidFill>
                <a:srgbClr val="660066"/>
              </a:solidFill>
            </a:ln>
          </c:spPr>
          <c:marker>
            <c:symbol val="none"/>
          </c:marker>
          <c:cat>
            <c:numRef>
              <c:f>Moomin!$A$5:$A$370</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Moomin!$J$5:$J$370</c:f>
              <c:numCache>
                <c:formatCode>General</c:formatCode>
                <c:ptCount val="366"/>
                <c:pt idx="21" formatCode="0">
                  <c:v>2000</c:v>
                </c:pt>
                <c:pt idx="22" formatCode="0">
                  <c:v>2000</c:v>
                </c:pt>
                <c:pt idx="23" formatCode="0">
                  <c:v>2000</c:v>
                </c:pt>
                <c:pt idx="24" formatCode="0">
                  <c:v>2000</c:v>
                </c:pt>
                <c:pt idx="25" formatCode="0">
                  <c:v>2000</c:v>
                </c:pt>
                <c:pt idx="26" formatCode="0">
                  <c:v>2000</c:v>
                </c:pt>
                <c:pt idx="27" formatCode="0">
                  <c:v>2000</c:v>
                </c:pt>
                <c:pt idx="28" formatCode="0">
                  <c:v>2000</c:v>
                </c:pt>
                <c:pt idx="29" formatCode="0">
                  <c:v>2000</c:v>
                </c:pt>
                <c:pt idx="30" formatCode="0">
                  <c:v>2000</c:v>
                </c:pt>
                <c:pt idx="31" formatCode="0">
                  <c:v>2000</c:v>
                </c:pt>
                <c:pt idx="32" formatCode="0">
                  <c:v>2000</c:v>
                </c:pt>
                <c:pt idx="33" formatCode="0">
                  <c:v>2000</c:v>
                </c:pt>
                <c:pt idx="34" formatCode="0">
                  <c:v>2000</c:v>
                </c:pt>
                <c:pt idx="35" formatCode="0">
                  <c:v>2000</c:v>
                </c:pt>
                <c:pt idx="36" formatCode="0">
                  <c:v>2000</c:v>
                </c:pt>
                <c:pt idx="37" formatCode="0">
                  <c:v>2000</c:v>
                </c:pt>
                <c:pt idx="38" formatCode="0">
                  <c:v>2000</c:v>
                </c:pt>
                <c:pt idx="39" formatCode="0">
                  <c:v>2000</c:v>
                </c:pt>
                <c:pt idx="40" formatCode="0">
                  <c:v>2000</c:v>
                </c:pt>
                <c:pt idx="41" formatCode="0">
                  <c:v>2000</c:v>
                </c:pt>
                <c:pt idx="42" formatCode="0">
                  <c:v>2000</c:v>
                </c:pt>
                <c:pt idx="43" formatCode="0">
                  <c:v>2000</c:v>
                </c:pt>
                <c:pt idx="44" formatCode="0">
                  <c:v>2000</c:v>
                </c:pt>
                <c:pt idx="45" formatCode="0">
                  <c:v>2000</c:v>
                </c:pt>
                <c:pt idx="50" formatCode="0">
                  <c:v>2000</c:v>
                </c:pt>
                <c:pt idx="51" formatCode="0">
                  <c:v>2000</c:v>
                </c:pt>
                <c:pt idx="52" formatCode="0">
                  <c:v>2000</c:v>
                </c:pt>
                <c:pt idx="53" formatCode="0">
                  <c:v>2000</c:v>
                </c:pt>
                <c:pt idx="54" formatCode="0">
                  <c:v>2000</c:v>
                </c:pt>
                <c:pt idx="55" formatCode="0">
                  <c:v>2000</c:v>
                </c:pt>
                <c:pt idx="56" formatCode="0">
                  <c:v>2000</c:v>
                </c:pt>
                <c:pt idx="57" formatCode="0">
                  <c:v>2000</c:v>
                </c:pt>
                <c:pt idx="58" formatCode="0">
                  <c:v>2000</c:v>
                </c:pt>
                <c:pt idx="59" formatCode="0">
                  <c:v>2000</c:v>
                </c:pt>
                <c:pt idx="180" formatCode="0">
                  <c:v>2000</c:v>
                </c:pt>
                <c:pt idx="181" formatCode="0">
                  <c:v>2000</c:v>
                </c:pt>
                <c:pt idx="212" formatCode="0">
                  <c:v>2000</c:v>
                </c:pt>
                <c:pt idx="213" formatCode="0">
                  <c:v>2000</c:v>
                </c:pt>
                <c:pt idx="328" formatCode="0">
                  <c:v>2000</c:v>
                </c:pt>
                <c:pt idx="329" formatCode="0">
                  <c:v>2000</c:v>
                </c:pt>
                <c:pt idx="330" formatCode="0">
                  <c:v>2000</c:v>
                </c:pt>
                <c:pt idx="331" formatCode="0">
                  <c:v>2000</c:v>
                </c:pt>
                <c:pt idx="364" formatCode="0">
                  <c:v>2000</c:v>
                </c:pt>
                <c:pt idx="365" formatCode="0">
                  <c:v>2000</c:v>
                </c:pt>
              </c:numCache>
            </c:numRef>
          </c:val>
          <c:smooth val="0"/>
        </c:ser>
        <c:dLbls>
          <c:showLegendKey val="0"/>
          <c:showVal val="0"/>
          <c:showCatName val="0"/>
          <c:showSerName val="0"/>
          <c:showPercent val="0"/>
          <c:showBubbleSize val="0"/>
        </c:dLbls>
        <c:smooth val="0"/>
        <c:axId val="697689648"/>
        <c:axId val="697690040"/>
      </c:lineChart>
      <c:dateAx>
        <c:axId val="697689648"/>
        <c:scaling>
          <c:orientation val="minMax"/>
          <c:max val="42552"/>
        </c:scaling>
        <c:delete val="0"/>
        <c:axPos val="b"/>
        <c:numFmt formatCode="m/d/yyyy" sourceLinked="0"/>
        <c:majorTickMark val="out"/>
        <c:minorTickMark val="none"/>
        <c:tickLblPos val="nextTo"/>
        <c:crossAx val="697690040"/>
        <c:crosses val="autoZero"/>
        <c:auto val="1"/>
        <c:lblOffset val="100"/>
        <c:baseTimeUnit val="days"/>
      </c:dateAx>
      <c:valAx>
        <c:axId val="697690040"/>
        <c:scaling>
          <c:orientation val="minMax"/>
        </c:scaling>
        <c:delete val="0"/>
        <c:axPos val="l"/>
        <c:title>
          <c:tx>
            <c:rich>
              <a:bodyPr/>
              <a:lstStyle/>
              <a:p>
                <a:pPr>
                  <a:defRPr sz="899" b="0" i="0" u="none" strike="noStrike" baseline="0">
                    <a:solidFill>
                      <a:srgbClr val="000000"/>
                    </a:solidFill>
                    <a:latin typeface="Arial"/>
                    <a:ea typeface="Arial"/>
                    <a:cs typeface="Arial"/>
                  </a:defRPr>
                </a:pPr>
                <a:r>
                  <a:rPr lang="en-AU"/>
                  <a:t>Flow (ML/d)</a:t>
                </a:r>
              </a:p>
            </c:rich>
          </c:tx>
          <c:layout/>
          <c:overlay val="0"/>
        </c:title>
        <c:numFmt formatCode="#,##0" sourceLinked="0"/>
        <c:majorTickMark val="out"/>
        <c:minorTickMark val="none"/>
        <c:tickLblPos val="nextTo"/>
        <c:crossAx val="697689648"/>
        <c:crosses val="autoZero"/>
        <c:crossBetween val="between"/>
      </c:valAx>
      <c:spPr>
        <a:noFill/>
        <a:ln w="25383">
          <a:noFill/>
        </a:ln>
      </c:spPr>
    </c:plotArea>
    <c:legend>
      <c:legendPos val="r"/>
      <c:layout>
        <c:manualLayout>
          <c:xMode val="edge"/>
          <c:yMode val="edge"/>
          <c:x val="4.0659415900771601E-2"/>
          <c:y val="0.88451473060249486"/>
          <c:w val="0.95558054407078707"/>
          <c:h val="0.1153381108260344"/>
        </c:manualLayout>
      </c:layout>
      <c:overlay val="0"/>
    </c:legend>
    <c:plotVisOnly val="1"/>
    <c:dispBlanksAs val="gap"/>
    <c:showDLblsOverMax val="0"/>
  </c:chart>
  <c:spPr>
    <a:noFill/>
    <a:ln>
      <a:noFill/>
    </a:ln>
  </c:spPr>
  <c:txPr>
    <a:bodyPr/>
    <a:lstStyle/>
    <a:p>
      <a:pPr>
        <a:defRPr sz="899">
          <a:latin typeface="Arial" pitchFamily="34" charset="0"/>
          <a:cs typeface="Arial" pitchFamily="34" charset="0"/>
        </a:defRPr>
      </a:pPr>
      <a:endParaRPr lang="en-U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strRef>
              <c:f>'Yr 2 MDS'!$D$52</c:f>
              <c:strCache>
                <c:ptCount val="1"/>
                <c:pt idx="0">
                  <c:v>Gingham</c:v>
                </c:pt>
              </c:strCache>
            </c:strRef>
          </c:tx>
          <c:spPr>
            <a:ln w="25388" cap="rnd">
              <a:noFill/>
              <a:round/>
            </a:ln>
            <a:effectLst/>
          </c:spPr>
          <c:marker>
            <c:symbol val="square"/>
            <c:size val="6"/>
            <c:spPr>
              <a:solidFill>
                <a:srgbClr val="00B0F0"/>
              </a:solidFill>
              <a:ln w="9521">
                <a:noFill/>
              </a:ln>
              <a:effectLst/>
            </c:spPr>
          </c:marker>
          <c:xVal>
            <c:numRef>
              <c:f>'Yr 2 MDS'!$E$52:$E$72</c:f>
              <c:numCache>
                <c:formatCode>General</c:formatCode>
                <c:ptCount val="21"/>
                <c:pt idx="0">
                  <c:v>-1.17</c:v>
                </c:pt>
                <c:pt idx="1">
                  <c:v>-0.1</c:v>
                </c:pt>
                <c:pt idx="2">
                  <c:v>-0.02</c:v>
                </c:pt>
                <c:pt idx="3">
                  <c:v>-0.34</c:v>
                </c:pt>
                <c:pt idx="4">
                  <c:v>0.04</c:v>
                </c:pt>
                <c:pt idx="5">
                  <c:v>-0.41</c:v>
                </c:pt>
                <c:pt idx="6">
                  <c:v>-0.04</c:v>
                </c:pt>
                <c:pt idx="7">
                  <c:v>1.1100000000000001</c:v>
                </c:pt>
                <c:pt idx="8">
                  <c:v>-0.67</c:v>
                </c:pt>
                <c:pt idx="9">
                  <c:v>-0.39</c:v>
                </c:pt>
                <c:pt idx="10">
                  <c:v>-0.46</c:v>
                </c:pt>
                <c:pt idx="11">
                  <c:v>-0.23</c:v>
                </c:pt>
                <c:pt idx="12">
                  <c:v>0.61</c:v>
                </c:pt>
                <c:pt idx="13">
                  <c:v>0.83</c:v>
                </c:pt>
                <c:pt idx="14">
                  <c:v>0.56000000000000005</c:v>
                </c:pt>
                <c:pt idx="15">
                  <c:v>0.06</c:v>
                </c:pt>
                <c:pt idx="16">
                  <c:v>-0.51</c:v>
                </c:pt>
                <c:pt idx="17">
                  <c:v>0.01</c:v>
                </c:pt>
                <c:pt idx="18">
                  <c:v>0</c:v>
                </c:pt>
                <c:pt idx="19">
                  <c:v>-0.47</c:v>
                </c:pt>
                <c:pt idx="20">
                  <c:v>-1.06</c:v>
                </c:pt>
              </c:numCache>
            </c:numRef>
          </c:xVal>
          <c:yVal>
            <c:numRef>
              <c:f>'Yr 2 MDS'!$F$52:$F$72</c:f>
              <c:numCache>
                <c:formatCode>General</c:formatCode>
                <c:ptCount val="21"/>
                <c:pt idx="0">
                  <c:v>-0.28000000000000003</c:v>
                </c:pt>
                <c:pt idx="1">
                  <c:v>-0.85</c:v>
                </c:pt>
                <c:pt idx="2">
                  <c:v>-0.35</c:v>
                </c:pt>
                <c:pt idx="3">
                  <c:v>0.06</c:v>
                </c:pt>
                <c:pt idx="4">
                  <c:v>-0.77</c:v>
                </c:pt>
                <c:pt idx="5">
                  <c:v>-0.68</c:v>
                </c:pt>
                <c:pt idx="6">
                  <c:v>0.1</c:v>
                </c:pt>
                <c:pt idx="7">
                  <c:v>1</c:v>
                </c:pt>
                <c:pt idx="8">
                  <c:v>-0.14000000000000001</c:v>
                </c:pt>
                <c:pt idx="9">
                  <c:v>0.4</c:v>
                </c:pt>
                <c:pt idx="10">
                  <c:v>-0.75</c:v>
                </c:pt>
                <c:pt idx="11">
                  <c:v>0.5</c:v>
                </c:pt>
                <c:pt idx="12">
                  <c:v>0.6</c:v>
                </c:pt>
                <c:pt idx="13">
                  <c:v>-1.1100000000000001</c:v>
                </c:pt>
                <c:pt idx="14">
                  <c:v>-0.49</c:v>
                </c:pt>
                <c:pt idx="15">
                  <c:v>-1.22</c:v>
                </c:pt>
                <c:pt idx="16">
                  <c:v>-0.05</c:v>
                </c:pt>
                <c:pt idx="17">
                  <c:v>0.24</c:v>
                </c:pt>
                <c:pt idx="18">
                  <c:v>-0.55000000000000004</c:v>
                </c:pt>
                <c:pt idx="19">
                  <c:v>-0.27</c:v>
                </c:pt>
                <c:pt idx="20">
                  <c:v>-0.9</c:v>
                </c:pt>
              </c:numCache>
            </c:numRef>
          </c:yVal>
          <c:smooth val="0"/>
        </c:ser>
        <c:ser>
          <c:idx val="1"/>
          <c:order val="1"/>
          <c:tx>
            <c:strRef>
              <c:f>'Yr 2 MDS'!$D$73</c:f>
              <c:strCache>
                <c:ptCount val="1"/>
                <c:pt idx="0">
                  <c:v>Lower Gwydir</c:v>
                </c:pt>
              </c:strCache>
            </c:strRef>
          </c:tx>
          <c:spPr>
            <a:ln w="25388" cap="rnd">
              <a:noFill/>
              <a:round/>
            </a:ln>
            <a:effectLst/>
          </c:spPr>
          <c:marker>
            <c:symbol val="circle"/>
            <c:size val="6"/>
            <c:spPr>
              <a:solidFill>
                <a:srgbClr val="C00000"/>
              </a:solidFill>
              <a:ln w="9521">
                <a:noFill/>
              </a:ln>
              <a:effectLst/>
            </c:spPr>
          </c:marker>
          <c:xVal>
            <c:numRef>
              <c:f>'Yr 2 MDS'!$E$73:$E$82</c:f>
              <c:numCache>
                <c:formatCode>General</c:formatCode>
                <c:ptCount val="10"/>
                <c:pt idx="0">
                  <c:v>1.58</c:v>
                </c:pt>
                <c:pt idx="1">
                  <c:v>0.93</c:v>
                </c:pt>
                <c:pt idx="2">
                  <c:v>-0.43</c:v>
                </c:pt>
                <c:pt idx="3">
                  <c:v>-0.69</c:v>
                </c:pt>
                <c:pt idx="4">
                  <c:v>-0.21</c:v>
                </c:pt>
                <c:pt idx="5">
                  <c:v>-1.21</c:v>
                </c:pt>
                <c:pt idx="6">
                  <c:v>-1.66</c:v>
                </c:pt>
                <c:pt idx="7">
                  <c:v>-1.1000000000000001</c:v>
                </c:pt>
                <c:pt idx="8">
                  <c:v>-0.64</c:v>
                </c:pt>
                <c:pt idx="9">
                  <c:v>-1.59</c:v>
                </c:pt>
              </c:numCache>
            </c:numRef>
          </c:xVal>
          <c:yVal>
            <c:numRef>
              <c:f>'Yr 2 MDS'!$F$73:$F$82</c:f>
              <c:numCache>
                <c:formatCode>General</c:formatCode>
                <c:ptCount val="10"/>
                <c:pt idx="0">
                  <c:v>-0.21</c:v>
                </c:pt>
                <c:pt idx="1">
                  <c:v>-0.11</c:v>
                </c:pt>
                <c:pt idx="2">
                  <c:v>0.2</c:v>
                </c:pt>
                <c:pt idx="3">
                  <c:v>-0.57999999999999996</c:v>
                </c:pt>
                <c:pt idx="4">
                  <c:v>-0.23</c:v>
                </c:pt>
                <c:pt idx="5">
                  <c:v>1.32</c:v>
                </c:pt>
                <c:pt idx="6">
                  <c:v>0.76</c:v>
                </c:pt>
                <c:pt idx="7">
                  <c:v>-1.32</c:v>
                </c:pt>
                <c:pt idx="8">
                  <c:v>-0.04</c:v>
                </c:pt>
                <c:pt idx="9">
                  <c:v>0.55000000000000004</c:v>
                </c:pt>
              </c:numCache>
            </c:numRef>
          </c:yVal>
          <c:smooth val="0"/>
        </c:ser>
        <c:ser>
          <c:idx val="2"/>
          <c:order val="2"/>
          <c:tx>
            <c:strRef>
              <c:f>'Yr 2 MDS'!$D$83</c:f>
              <c:strCache>
                <c:ptCount val="1"/>
                <c:pt idx="0">
                  <c:v>Mallowa</c:v>
                </c:pt>
              </c:strCache>
            </c:strRef>
          </c:tx>
          <c:spPr>
            <a:ln w="25388" cap="rnd">
              <a:noFill/>
              <a:round/>
            </a:ln>
            <a:effectLst/>
          </c:spPr>
          <c:marker>
            <c:symbol val="diamond"/>
            <c:size val="7"/>
            <c:spPr>
              <a:solidFill>
                <a:srgbClr val="F79646">
                  <a:lumMod val="75000"/>
                </a:srgbClr>
              </a:solidFill>
              <a:ln w="9521">
                <a:noFill/>
              </a:ln>
              <a:effectLst/>
            </c:spPr>
          </c:marker>
          <c:xVal>
            <c:numRef>
              <c:f>'Yr 2 MDS'!$E$83:$E$90</c:f>
              <c:numCache>
                <c:formatCode>General</c:formatCode>
                <c:ptCount val="8"/>
                <c:pt idx="0">
                  <c:v>-0.44</c:v>
                </c:pt>
                <c:pt idx="1">
                  <c:v>0.56000000000000005</c:v>
                </c:pt>
                <c:pt idx="2">
                  <c:v>0.42</c:v>
                </c:pt>
                <c:pt idx="3">
                  <c:v>0.37</c:v>
                </c:pt>
                <c:pt idx="4">
                  <c:v>1.27</c:v>
                </c:pt>
                <c:pt idx="5">
                  <c:v>1.2</c:v>
                </c:pt>
                <c:pt idx="6">
                  <c:v>1.34</c:v>
                </c:pt>
                <c:pt idx="7">
                  <c:v>0.44</c:v>
                </c:pt>
              </c:numCache>
            </c:numRef>
          </c:xVal>
          <c:yVal>
            <c:numRef>
              <c:f>'Yr 2 MDS'!$F$83:$F$90</c:f>
              <c:numCache>
                <c:formatCode>General</c:formatCode>
                <c:ptCount val="8"/>
                <c:pt idx="0">
                  <c:v>0.97</c:v>
                </c:pt>
                <c:pt idx="1">
                  <c:v>0.08</c:v>
                </c:pt>
                <c:pt idx="2">
                  <c:v>0.81</c:v>
                </c:pt>
                <c:pt idx="3">
                  <c:v>-0.28999999999999998</c:v>
                </c:pt>
                <c:pt idx="4">
                  <c:v>0.25</c:v>
                </c:pt>
                <c:pt idx="5">
                  <c:v>0.3</c:v>
                </c:pt>
                <c:pt idx="6">
                  <c:v>-0.65</c:v>
                </c:pt>
                <c:pt idx="7">
                  <c:v>0.93</c:v>
                </c:pt>
              </c:numCache>
            </c:numRef>
          </c:yVal>
          <c:smooth val="0"/>
        </c:ser>
        <c:ser>
          <c:idx val="3"/>
          <c:order val="3"/>
          <c:tx>
            <c:strRef>
              <c:f>'Yr 2 MDS'!$D$91</c:f>
              <c:strCache>
                <c:ptCount val="1"/>
                <c:pt idx="0">
                  <c:v>Mehi</c:v>
                </c:pt>
              </c:strCache>
            </c:strRef>
          </c:tx>
          <c:spPr>
            <a:ln w="25388" cap="rnd">
              <a:noFill/>
              <a:round/>
            </a:ln>
            <a:effectLst/>
          </c:spPr>
          <c:marker>
            <c:symbol val="triangle"/>
            <c:size val="8"/>
            <c:spPr>
              <a:solidFill>
                <a:srgbClr val="7030A0"/>
              </a:solidFill>
              <a:ln w="9521">
                <a:noFill/>
              </a:ln>
              <a:effectLst/>
            </c:spPr>
          </c:marker>
          <c:xVal>
            <c:numRef>
              <c:f>'Yr 2 MDS'!$E$91:$E$97</c:f>
              <c:numCache>
                <c:formatCode>General</c:formatCode>
                <c:ptCount val="7"/>
                <c:pt idx="0">
                  <c:v>0.39</c:v>
                </c:pt>
                <c:pt idx="1">
                  <c:v>0.08</c:v>
                </c:pt>
                <c:pt idx="2">
                  <c:v>0.26</c:v>
                </c:pt>
                <c:pt idx="3">
                  <c:v>0.31</c:v>
                </c:pt>
                <c:pt idx="4">
                  <c:v>1.04</c:v>
                </c:pt>
                <c:pt idx="5">
                  <c:v>0.3</c:v>
                </c:pt>
                <c:pt idx="6">
                  <c:v>0.17</c:v>
                </c:pt>
              </c:numCache>
            </c:numRef>
          </c:xVal>
          <c:yVal>
            <c:numRef>
              <c:f>'Yr 2 MDS'!$F$91:$F$97</c:f>
              <c:numCache>
                <c:formatCode>General</c:formatCode>
                <c:ptCount val="7"/>
                <c:pt idx="0">
                  <c:v>0.53</c:v>
                </c:pt>
                <c:pt idx="1">
                  <c:v>1.1000000000000001</c:v>
                </c:pt>
                <c:pt idx="2">
                  <c:v>0.46</c:v>
                </c:pt>
                <c:pt idx="3">
                  <c:v>-0.04</c:v>
                </c:pt>
                <c:pt idx="4">
                  <c:v>-0.59</c:v>
                </c:pt>
                <c:pt idx="5">
                  <c:v>0.66</c:v>
                </c:pt>
                <c:pt idx="6">
                  <c:v>0.69</c:v>
                </c:pt>
              </c:numCache>
            </c:numRef>
          </c:yVal>
          <c:smooth val="0"/>
        </c:ser>
        <c:dLbls>
          <c:showLegendKey val="0"/>
          <c:showVal val="0"/>
          <c:showCatName val="0"/>
          <c:showSerName val="0"/>
          <c:showPercent val="0"/>
          <c:showBubbleSize val="0"/>
        </c:dLbls>
        <c:axId val="471515456"/>
        <c:axId val="471515848"/>
      </c:scatterChart>
      <c:valAx>
        <c:axId val="471515456"/>
        <c:scaling>
          <c:orientation val="minMax"/>
        </c:scaling>
        <c:delete val="0"/>
        <c:axPos val="b"/>
        <c:numFmt formatCode="General" sourceLinked="1"/>
        <c:majorTickMark val="out"/>
        <c:minorTickMark val="none"/>
        <c:tickLblPos val="nextTo"/>
        <c:spPr>
          <a:noFill/>
          <a:ln w="9521" cap="flat" cmpd="sng" algn="ctr">
            <a:solidFill>
              <a:sysClr val="window" lastClr="FFFFFF">
                <a:lumMod val="50000"/>
              </a:sysClr>
            </a:solidFill>
            <a:round/>
          </a:ln>
          <a:effectLst/>
        </c:spPr>
        <c:txPr>
          <a:bodyPr rot="0" vert="horz"/>
          <a:lstStyle/>
          <a:p>
            <a:pPr>
              <a:defRPr sz="1000" b="0" i="0" u="none" strike="noStrike" baseline="0">
                <a:solidFill>
                  <a:srgbClr val="000000"/>
                </a:solidFill>
                <a:latin typeface="Arial"/>
                <a:ea typeface="Arial"/>
                <a:cs typeface="Arial"/>
              </a:defRPr>
            </a:pPr>
            <a:endParaRPr lang="en-US"/>
          </a:p>
        </c:txPr>
        <c:crossAx val="471515848"/>
        <c:crossesAt val="-2"/>
        <c:crossBetween val="midCat"/>
      </c:valAx>
      <c:valAx>
        <c:axId val="471515848"/>
        <c:scaling>
          <c:orientation val="minMax"/>
          <c:max val="2"/>
          <c:min val="-2"/>
        </c:scaling>
        <c:delete val="0"/>
        <c:axPos val="l"/>
        <c:numFmt formatCode="General" sourceLinked="1"/>
        <c:majorTickMark val="out"/>
        <c:minorTickMark val="none"/>
        <c:tickLblPos val="nextTo"/>
        <c:spPr>
          <a:noFill/>
          <a:ln w="9521" cap="flat" cmpd="sng" algn="ctr">
            <a:solidFill>
              <a:sysClr val="window" lastClr="FFFFFF">
                <a:lumMod val="50000"/>
              </a:sys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71515456"/>
        <c:crossesAt val="-2"/>
        <c:crossBetween val="midCat"/>
      </c:valAx>
      <c:spPr>
        <a:noFill/>
        <a:ln>
          <a:solidFill>
            <a:sysClr val="window" lastClr="FFFFFF">
              <a:lumMod val="50000"/>
            </a:sysClr>
          </a:solid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a:noFill/>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strRef>
              <c:f>'Yr 2 MDS'!$H$3</c:f>
              <c:strCache>
                <c:ptCount val="1"/>
                <c:pt idx="0">
                  <c:v>Nov_15 Dry</c:v>
                </c:pt>
              </c:strCache>
            </c:strRef>
          </c:tx>
          <c:spPr>
            <a:ln w="25404" cap="rnd">
              <a:noFill/>
              <a:round/>
            </a:ln>
            <a:effectLst/>
          </c:spPr>
          <c:marker>
            <c:symbol val="circle"/>
            <c:size val="7"/>
            <c:spPr>
              <a:solidFill>
                <a:schemeClr val="accent4">
                  <a:lumMod val="60000"/>
                  <a:lumOff val="40000"/>
                </a:schemeClr>
              </a:solidFill>
              <a:ln w="9527">
                <a:noFill/>
              </a:ln>
              <a:effectLst/>
            </c:spPr>
          </c:marker>
          <c:xVal>
            <c:numRef>
              <c:f>'Yr 2 MDS'!$E$3:$E$10</c:f>
              <c:numCache>
                <c:formatCode>General</c:formatCode>
                <c:ptCount val="8"/>
                <c:pt idx="0">
                  <c:v>1.58</c:v>
                </c:pt>
                <c:pt idx="1">
                  <c:v>-0.44</c:v>
                </c:pt>
                <c:pt idx="2">
                  <c:v>-1.17</c:v>
                </c:pt>
                <c:pt idx="3">
                  <c:v>-0.1</c:v>
                </c:pt>
                <c:pt idx="4">
                  <c:v>-0.02</c:v>
                </c:pt>
                <c:pt idx="5">
                  <c:v>-0.34</c:v>
                </c:pt>
                <c:pt idx="6">
                  <c:v>0.04</c:v>
                </c:pt>
                <c:pt idx="7">
                  <c:v>-0.41</c:v>
                </c:pt>
              </c:numCache>
            </c:numRef>
          </c:xVal>
          <c:yVal>
            <c:numRef>
              <c:f>'Yr 2 MDS'!$F$3:$F$10</c:f>
              <c:numCache>
                <c:formatCode>General</c:formatCode>
                <c:ptCount val="8"/>
                <c:pt idx="0">
                  <c:v>-0.21</c:v>
                </c:pt>
                <c:pt idx="1">
                  <c:v>0.97</c:v>
                </c:pt>
                <c:pt idx="2">
                  <c:v>-0.28000000000000003</c:v>
                </c:pt>
                <c:pt idx="3">
                  <c:v>-0.85</c:v>
                </c:pt>
                <c:pt idx="4">
                  <c:v>-0.35</c:v>
                </c:pt>
                <c:pt idx="5">
                  <c:v>0.06</c:v>
                </c:pt>
                <c:pt idx="6">
                  <c:v>-0.77</c:v>
                </c:pt>
                <c:pt idx="7">
                  <c:v>-0.68</c:v>
                </c:pt>
              </c:numCache>
            </c:numRef>
          </c:yVal>
          <c:smooth val="0"/>
        </c:ser>
        <c:ser>
          <c:idx val="1"/>
          <c:order val="1"/>
          <c:tx>
            <c:strRef>
              <c:f>'Yr 2 MDS'!$H$4</c:f>
              <c:strCache>
                <c:ptCount val="1"/>
                <c:pt idx="0">
                  <c:v>Nov_15 Wet</c:v>
                </c:pt>
              </c:strCache>
            </c:strRef>
          </c:tx>
          <c:spPr>
            <a:ln w="25404" cap="rnd">
              <a:noFill/>
              <a:round/>
            </a:ln>
            <a:effectLst/>
          </c:spPr>
          <c:marker>
            <c:symbol val="circle"/>
            <c:size val="7"/>
            <c:spPr>
              <a:solidFill>
                <a:srgbClr val="00B0F0"/>
              </a:solidFill>
              <a:ln w="9527">
                <a:noFill/>
              </a:ln>
              <a:effectLst/>
            </c:spPr>
          </c:marker>
          <c:xVal>
            <c:numRef>
              <c:f>'Yr 2 MDS'!$E$11:$E$26</c:f>
              <c:numCache>
                <c:formatCode>General</c:formatCode>
                <c:ptCount val="16"/>
                <c:pt idx="0">
                  <c:v>-0.04</c:v>
                </c:pt>
                <c:pt idx="1">
                  <c:v>1.1100000000000001</c:v>
                </c:pt>
                <c:pt idx="2">
                  <c:v>-0.67</c:v>
                </c:pt>
                <c:pt idx="3">
                  <c:v>0.39</c:v>
                </c:pt>
                <c:pt idx="4">
                  <c:v>0.56000000000000005</c:v>
                </c:pt>
                <c:pt idx="5">
                  <c:v>0.08</c:v>
                </c:pt>
                <c:pt idx="6">
                  <c:v>0.93</c:v>
                </c:pt>
                <c:pt idx="7">
                  <c:v>-0.39</c:v>
                </c:pt>
                <c:pt idx="8">
                  <c:v>0.42</c:v>
                </c:pt>
                <c:pt idx="9">
                  <c:v>-0.43</c:v>
                </c:pt>
                <c:pt idx="10">
                  <c:v>-0.69</c:v>
                </c:pt>
                <c:pt idx="11">
                  <c:v>0.26</c:v>
                </c:pt>
                <c:pt idx="12">
                  <c:v>0.37</c:v>
                </c:pt>
                <c:pt idx="13">
                  <c:v>-0.21</c:v>
                </c:pt>
                <c:pt idx="14">
                  <c:v>-0.46</c:v>
                </c:pt>
                <c:pt idx="15">
                  <c:v>0.31</c:v>
                </c:pt>
              </c:numCache>
            </c:numRef>
          </c:xVal>
          <c:yVal>
            <c:numRef>
              <c:f>'Yr 2 MDS'!$F$11:$F$26</c:f>
              <c:numCache>
                <c:formatCode>General</c:formatCode>
                <c:ptCount val="16"/>
                <c:pt idx="0">
                  <c:v>0.1</c:v>
                </c:pt>
                <c:pt idx="1">
                  <c:v>1</c:v>
                </c:pt>
                <c:pt idx="2">
                  <c:v>-0.14000000000000001</c:v>
                </c:pt>
                <c:pt idx="3">
                  <c:v>0.53</c:v>
                </c:pt>
                <c:pt idx="4">
                  <c:v>0.08</c:v>
                </c:pt>
                <c:pt idx="5">
                  <c:v>1.1000000000000001</c:v>
                </c:pt>
                <c:pt idx="6">
                  <c:v>-0.11</c:v>
                </c:pt>
                <c:pt idx="7">
                  <c:v>0.4</c:v>
                </c:pt>
                <c:pt idx="8">
                  <c:v>0.81</c:v>
                </c:pt>
                <c:pt idx="9">
                  <c:v>0.2</c:v>
                </c:pt>
                <c:pt idx="10">
                  <c:v>-0.57999999999999996</c:v>
                </c:pt>
                <c:pt idx="11">
                  <c:v>0.46</c:v>
                </c:pt>
                <c:pt idx="12">
                  <c:v>-0.28999999999999998</c:v>
                </c:pt>
                <c:pt idx="13">
                  <c:v>-0.23</c:v>
                </c:pt>
                <c:pt idx="14">
                  <c:v>-0.75</c:v>
                </c:pt>
                <c:pt idx="15">
                  <c:v>-0.04</c:v>
                </c:pt>
              </c:numCache>
            </c:numRef>
          </c:yVal>
          <c:smooth val="0"/>
        </c:ser>
        <c:ser>
          <c:idx val="2"/>
          <c:order val="2"/>
          <c:tx>
            <c:strRef>
              <c:f>'Yr 2 MDS'!$H$5</c:f>
              <c:strCache>
                <c:ptCount val="1"/>
                <c:pt idx="0">
                  <c:v>Mar_16 Dry</c:v>
                </c:pt>
              </c:strCache>
            </c:strRef>
          </c:tx>
          <c:spPr>
            <a:ln w="25404" cap="rnd">
              <a:noFill/>
              <a:round/>
            </a:ln>
            <a:effectLst/>
          </c:spPr>
          <c:marker>
            <c:symbol val="square"/>
            <c:size val="7"/>
            <c:spPr>
              <a:solidFill>
                <a:schemeClr val="accent4">
                  <a:lumMod val="60000"/>
                  <a:lumOff val="40000"/>
                </a:schemeClr>
              </a:solidFill>
              <a:ln w="9527">
                <a:noFill/>
              </a:ln>
              <a:effectLst/>
            </c:spPr>
          </c:marker>
          <c:xVal>
            <c:numRef>
              <c:f>'Yr 2 MDS'!$E$27:$E$38</c:f>
              <c:numCache>
                <c:formatCode>General</c:formatCode>
                <c:ptCount val="12"/>
                <c:pt idx="0">
                  <c:v>-1.21</c:v>
                </c:pt>
                <c:pt idx="1">
                  <c:v>-1.66</c:v>
                </c:pt>
                <c:pt idx="2">
                  <c:v>-0.23</c:v>
                </c:pt>
                <c:pt idx="3">
                  <c:v>0.61</c:v>
                </c:pt>
                <c:pt idx="4">
                  <c:v>1.27</c:v>
                </c:pt>
                <c:pt idx="5">
                  <c:v>1.2</c:v>
                </c:pt>
                <c:pt idx="6">
                  <c:v>0.83</c:v>
                </c:pt>
                <c:pt idx="7">
                  <c:v>0.56000000000000005</c:v>
                </c:pt>
                <c:pt idx="8">
                  <c:v>-1.1000000000000001</c:v>
                </c:pt>
                <c:pt idx="9">
                  <c:v>0.06</c:v>
                </c:pt>
                <c:pt idx="10">
                  <c:v>1.34</c:v>
                </c:pt>
                <c:pt idx="11">
                  <c:v>1.04</c:v>
                </c:pt>
              </c:numCache>
            </c:numRef>
          </c:xVal>
          <c:yVal>
            <c:numRef>
              <c:f>'Yr 2 MDS'!$F$27:$F$38</c:f>
              <c:numCache>
                <c:formatCode>General</c:formatCode>
                <c:ptCount val="12"/>
                <c:pt idx="0">
                  <c:v>1.32</c:v>
                </c:pt>
                <c:pt idx="1">
                  <c:v>0.76</c:v>
                </c:pt>
                <c:pt idx="2">
                  <c:v>0.5</c:v>
                </c:pt>
                <c:pt idx="3">
                  <c:v>0.6</c:v>
                </c:pt>
                <c:pt idx="4">
                  <c:v>0.25</c:v>
                </c:pt>
                <c:pt idx="5">
                  <c:v>0.3</c:v>
                </c:pt>
                <c:pt idx="6">
                  <c:v>-1.1100000000000001</c:v>
                </c:pt>
                <c:pt idx="7">
                  <c:v>-0.49</c:v>
                </c:pt>
                <c:pt idx="8">
                  <c:v>-1.32</c:v>
                </c:pt>
                <c:pt idx="9">
                  <c:v>-1.22</c:v>
                </c:pt>
                <c:pt idx="10">
                  <c:v>-0.65</c:v>
                </c:pt>
                <c:pt idx="11">
                  <c:v>-0.59</c:v>
                </c:pt>
              </c:numCache>
            </c:numRef>
          </c:yVal>
          <c:smooth val="0"/>
        </c:ser>
        <c:ser>
          <c:idx val="3"/>
          <c:order val="3"/>
          <c:tx>
            <c:strRef>
              <c:f>'Yr 2 MDS'!$H$6</c:f>
              <c:strCache>
                <c:ptCount val="1"/>
                <c:pt idx="0">
                  <c:v>Mar_16 Wet</c:v>
                </c:pt>
              </c:strCache>
            </c:strRef>
          </c:tx>
          <c:spPr>
            <a:ln w="25404" cap="rnd">
              <a:noFill/>
              <a:round/>
            </a:ln>
            <a:effectLst/>
          </c:spPr>
          <c:marker>
            <c:symbol val="square"/>
            <c:size val="7"/>
            <c:spPr>
              <a:solidFill>
                <a:srgbClr val="00B0F0"/>
              </a:solidFill>
              <a:ln w="9527">
                <a:noFill/>
              </a:ln>
              <a:effectLst/>
            </c:spPr>
          </c:marker>
          <c:xVal>
            <c:numRef>
              <c:f>'Yr 2 MDS'!$E$39:$E$48</c:f>
              <c:numCache>
                <c:formatCode>General</c:formatCode>
                <c:ptCount val="10"/>
                <c:pt idx="0">
                  <c:v>-0.51</c:v>
                </c:pt>
                <c:pt idx="1">
                  <c:v>0.3</c:v>
                </c:pt>
                <c:pt idx="2">
                  <c:v>0.01</c:v>
                </c:pt>
                <c:pt idx="3">
                  <c:v>0</c:v>
                </c:pt>
                <c:pt idx="4">
                  <c:v>0.44</c:v>
                </c:pt>
                <c:pt idx="5">
                  <c:v>-0.47</c:v>
                </c:pt>
                <c:pt idx="6">
                  <c:v>-0.64</c:v>
                </c:pt>
                <c:pt idx="7">
                  <c:v>0.17</c:v>
                </c:pt>
                <c:pt idx="8">
                  <c:v>-1.59</c:v>
                </c:pt>
                <c:pt idx="9">
                  <c:v>-1.06</c:v>
                </c:pt>
              </c:numCache>
            </c:numRef>
          </c:xVal>
          <c:yVal>
            <c:numRef>
              <c:f>'Yr 2 MDS'!$F$39:$F$48</c:f>
              <c:numCache>
                <c:formatCode>General</c:formatCode>
                <c:ptCount val="10"/>
                <c:pt idx="0">
                  <c:v>-0.05</c:v>
                </c:pt>
                <c:pt idx="1">
                  <c:v>0.66</c:v>
                </c:pt>
                <c:pt idx="2">
                  <c:v>0.24</c:v>
                </c:pt>
                <c:pt idx="3">
                  <c:v>-0.55000000000000004</c:v>
                </c:pt>
                <c:pt idx="4">
                  <c:v>0.93</c:v>
                </c:pt>
                <c:pt idx="5">
                  <c:v>-0.27</c:v>
                </c:pt>
                <c:pt idx="6">
                  <c:v>-0.04</c:v>
                </c:pt>
                <c:pt idx="7">
                  <c:v>0.69</c:v>
                </c:pt>
                <c:pt idx="8">
                  <c:v>0.55000000000000004</c:v>
                </c:pt>
                <c:pt idx="9">
                  <c:v>-0.9</c:v>
                </c:pt>
              </c:numCache>
            </c:numRef>
          </c:yVal>
          <c:smooth val="0"/>
        </c:ser>
        <c:dLbls>
          <c:showLegendKey val="0"/>
          <c:showVal val="0"/>
          <c:showCatName val="0"/>
          <c:showSerName val="0"/>
          <c:showPercent val="0"/>
          <c:showBubbleSize val="0"/>
        </c:dLbls>
        <c:axId val="706730448"/>
        <c:axId val="706730840"/>
      </c:scatterChart>
      <c:valAx>
        <c:axId val="706730448"/>
        <c:scaling>
          <c:orientation val="minMax"/>
        </c:scaling>
        <c:delete val="0"/>
        <c:axPos val="b"/>
        <c:numFmt formatCode="General" sourceLinked="1"/>
        <c:majorTickMark val="out"/>
        <c:minorTickMark val="none"/>
        <c:tickLblPos val="nextTo"/>
        <c:spPr>
          <a:noFill/>
          <a:ln w="9527" cap="flat" cmpd="sng" algn="ctr">
            <a:solidFill>
              <a:sysClr val="window" lastClr="FFFFFF">
                <a:lumMod val="50000"/>
              </a:sysClr>
            </a:solidFill>
            <a:round/>
          </a:ln>
          <a:effectLst/>
        </c:spPr>
        <c:txPr>
          <a:bodyPr rot="0" vert="horz"/>
          <a:lstStyle/>
          <a:p>
            <a:pPr>
              <a:defRPr sz="1000" b="0" i="0" u="none" strike="noStrike" baseline="0">
                <a:solidFill>
                  <a:srgbClr val="000000"/>
                </a:solidFill>
                <a:latin typeface="Arial"/>
                <a:ea typeface="Arial"/>
                <a:cs typeface="Arial"/>
              </a:defRPr>
            </a:pPr>
            <a:endParaRPr lang="en-US"/>
          </a:p>
        </c:txPr>
        <c:crossAx val="706730840"/>
        <c:crossesAt val="-2"/>
        <c:crossBetween val="midCat"/>
      </c:valAx>
      <c:valAx>
        <c:axId val="706730840"/>
        <c:scaling>
          <c:orientation val="minMax"/>
          <c:max val="2"/>
          <c:min val="-2"/>
        </c:scaling>
        <c:delete val="0"/>
        <c:axPos val="l"/>
        <c:numFmt formatCode="General" sourceLinked="1"/>
        <c:majorTickMark val="out"/>
        <c:minorTickMark val="none"/>
        <c:tickLblPos val="nextTo"/>
        <c:spPr>
          <a:noFill/>
          <a:ln w="9527" cap="flat" cmpd="sng" algn="ctr">
            <a:solidFill>
              <a:sysClr val="window" lastClr="FFFFFF">
                <a:lumMod val="50000"/>
              </a:sys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06730448"/>
        <c:crossesAt val="-2"/>
        <c:crossBetween val="midCat"/>
      </c:valAx>
      <c:spPr>
        <a:noFill/>
        <a:ln>
          <a:solidFill>
            <a:sysClr val="window" lastClr="FFFFFF">
              <a:lumMod val="50000"/>
            </a:sysClr>
          </a:solid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a:noFill/>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867560935990494"/>
          <c:y val="2.927478376580173E-2"/>
          <c:w val="0.84743731137842293"/>
          <c:h val="0.51068629230910612"/>
        </c:manualLayout>
      </c:layout>
      <c:barChart>
        <c:barDir val="col"/>
        <c:grouping val="clustered"/>
        <c:varyColors val="0"/>
        <c:ser>
          <c:idx val="0"/>
          <c:order val="0"/>
          <c:tx>
            <c:strRef>
              <c:f>'[Chart 2 in Microsoft Word]FuncGuild Chart Data'!$B$1</c:f>
              <c:strCache>
                <c:ptCount val="1"/>
                <c:pt idx="0">
                  <c:v>Nov15</c:v>
                </c:pt>
              </c:strCache>
            </c:strRef>
          </c:tx>
          <c:spPr>
            <a:pattFill prst="pct50">
              <a:fgClr>
                <a:schemeClr val="accent1"/>
              </a:fgClr>
              <a:bgClr>
                <a:schemeClr val="bg1"/>
              </a:bgClr>
            </a:pattFill>
            <a:ln>
              <a:noFill/>
            </a:ln>
            <a:effectLst/>
          </c:spPr>
          <c:invertIfNegative val="0"/>
          <c:cat>
            <c:strRef>
              <c:f>'[Chart 2 in Microsoft Word]FuncGuild Chart Data'!$A$2:$A$11</c:f>
              <c:strCache>
                <c:ptCount val="10"/>
                <c:pt idx="0">
                  <c:v>Piscivores</c:v>
                </c:pt>
                <c:pt idx="1">
                  <c:v>Rails and shoreline gallinules</c:v>
                </c:pt>
                <c:pt idx="2">
                  <c:v>Raptor</c:v>
                </c:pt>
                <c:pt idx="3">
                  <c:v>Reed-inhabiting passerines</c:v>
                </c:pt>
                <c:pt idx="4">
                  <c:v>Large wading birds</c:v>
                </c:pt>
                <c:pt idx="5">
                  <c:v>Australian-breeding Charadriiform shorebirds</c:v>
                </c:pt>
                <c:pt idx="6">
                  <c:v>Dabbling and filter-feeding ducks</c:v>
                </c:pt>
                <c:pt idx="7">
                  <c:v>Diving ducks, aquatic gallinules and swans</c:v>
                </c:pt>
                <c:pt idx="8">
                  <c:v>Grazing ducks and geese</c:v>
                </c:pt>
                <c:pt idx="9">
                  <c:v>Migratory Charadriiform shorebirds</c:v>
                </c:pt>
              </c:strCache>
            </c:strRef>
          </c:cat>
          <c:val>
            <c:numRef>
              <c:f>'[Chart 2 in Microsoft Word]FuncGuild Chart Data'!$B$2:$B$11</c:f>
              <c:numCache>
                <c:formatCode>General</c:formatCode>
                <c:ptCount val="10"/>
                <c:pt idx="0">
                  <c:v>60.464097919405276</c:v>
                </c:pt>
                <c:pt idx="1">
                  <c:v>2.4241488280528865</c:v>
                </c:pt>
                <c:pt idx="2">
                  <c:v>7.8462219835000688</c:v>
                </c:pt>
                <c:pt idx="3">
                  <c:v>20.747191471489096</c:v>
                </c:pt>
                <c:pt idx="4">
                  <c:v>40.905577267141204</c:v>
                </c:pt>
                <c:pt idx="5">
                  <c:v>18.90237781127524</c:v>
                </c:pt>
                <c:pt idx="6">
                  <c:v>112.1042139923069</c:v>
                </c:pt>
                <c:pt idx="7">
                  <c:v>10.620290988370579</c:v>
                </c:pt>
                <c:pt idx="8">
                  <c:v>43.122046876809264</c:v>
                </c:pt>
                <c:pt idx="9">
                  <c:v>3.1296135120790569</c:v>
                </c:pt>
              </c:numCache>
            </c:numRef>
          </c:val>
        </c:ser>
        <c:ser>
          <c:idx val="1"/>
          <c:order val="1"/>
          <c:tx>
            <c:strRef>
              <c:f>'[Chart 2 in Microsoft Word]FuncGuild Chart Data'!$C$1</c:f>
              <c:strCache>
                <c:ptCount val="1"/>
                <c:pt idx="0">
                  <c:v>Mar16</c:v>
                </c:pt>
              </c:strCache>
            </c:strRef>
          </c:tx>
          <c:spPr>
            <a:pattFill prst="pct80">
              <a:fgClr>
                <a:srgbClr val="990033"/>
              </a:fgClr>
              <a:bgClr>
                <a:schemeClr val="bg1"/>
              </a:bgClr>
            </a:pattFill>
            <a:ln>
              <a:noFill/>
            </a:ln>
            <a:effectLst/>
          </c:spPr>
          <c:invertIfNegative val="0"/>
          <c:cat>
            <c:strRef>
              <c:f>'[Chart 2 in Microsoft Word]FuncGuild Chart Data'!$A$2:$A$11</c:f>
              <c:strCache>
                <c:ptCount val="10"/>
                <c:pt idx="0">
                  <c:v>Piscivores</c:v>
                </c:pt>
                <c:pt idx="1">
                  <c:v>Rails and shoreline gallinules</c:v>
                </c:pt>
                <c:pt idx="2">
                  <c:v>Raptor</c:v>
                </c:pt>
                <c:pt idx="3">
                  <c:v>Reed-inhabiting passerines</c:v>
                </c:pt>
                <c:pt idx="4">
                  <c:v>Large wading birds</c:v>
                </c:pt>
                <c:pt idx="5">
                  <c:v>Australian-breeding Charadriiform shorebirds</c:v>
                </c:pt>
                <c:pt idx="6">
                  <c:v>Dabbling and filter-feeding ducks</c:v>
                </c:pt>
                <c:pt idx="7">
                  <c:v>Diving ducks, aquatic gallinules and swans</c:v>
                </c:pt>
                <c:pt idx="8">
                  <c:v>Grazing ducks and geese</c:v>
                </c:pt>
                <c:pt idx="9">
                  <c:v>Migratory Charadriiform shorebirds</c:v>
                </c:pt>
              </c:strCache>
            </c:strRef>
          </c:cat>
          <c:val>
            <c:numRef>
              <c:f>'[Chart 2 in Microsoft Word]FuncGuild Chart Data'!$C$2:$C$11</c:f>
              <c:numCache>
                <c:formatCode>General</c:formatCode>
                <c:ptCount val="10"/>
                <c:pt idx="0">
                  <c:v>84.552878427813255</c:v>
                </c:pt>
                <c:pt idx="1">
                  <c:v>1.4232490043050687</c:v>
                </c:pt>
                <c:pt idx="2">
                  <c:v>23.402876585751535</c:v>
                </c:pt>
                <c:pt idx="3">
                  <c:v>11.970629889909333</c:v>
                </c:pt>
                <c:pt idx="4">
                  <c:v>38.346663573874345</c:v>
                </c:pt>
                <c:pt idx="5">
                  <c:v>4.4255062679162602</c:v>
                </c:pt>
                <c:pt idx="6">
                  <c:v>27.511974258910229</c:v>
                </c:pt>
                <c:pt idx="7">
                  <c:v>3.4294635733866987</c:v>
                </c:pt>
                <c:pt idx="8">
                  <c:v>54.544603939800893</c:v>
                </c:pt>
                <c:pt idx="9">
                  <c:v>1.1949321499774905</c:v>
                </c:pt>
              </c:numCache>
            </c:numRef>
          </c:val>
        </c:ser>
        <c:dLbls>
          <c:showLegendKey val="0"/>
          <c:showVal val="0"/>
          <c:showCatName val="0"/>
          <c:showSerName val="0"/>
          <c:showPercent val="0"/>
          <c:showBubbleSize val="0"/>
        </c:dLbls>
        <c:gapWidth val="219"/>
        <c:overlap val="-27"/>
        <c:axId val="411598488"/>
        <c:axId val="411598880"/>
      </c:barChart>
      <c:catAx>
        <c:axId val="411598488"/>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11598880"/>
        <c:crosses val="autoZero"/>
        <c:auto val="1"/>
        <c:lblAlgn val="ctr"/>
        <c:lblOffset val="100"/>
        <c:noMultiLvlLbl val="0"/>
      </c:catAx>
      <c:valAx>
        <c:axId val="41159888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Waterbirds/ha</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11598488"/>
        <c:crosses val="autoZero"/>
        <c:crossBetween val="between"/>
      </c:valAx>
      <c:spPr>
        <a:noFill/>
        <a:ln>
          <a:noFill/>
        </a:ln>
        <a:effectLst/>
      </c:spPr>
    </c:plotArea>
    <c:legend>
      <c:legendPos val="b"/>
      <c:layout>
        <c:manualLayout>
          <c:xMode val="edge"/>
          <c:yMode val="edge"/>
          <c:x val="0.82607805467615514"/>
          <c:y val="3.9135659513149089E-2"/>
          <c:w val="0.14280361861983748"/>
          <c:h val="0.1260166869385229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strRef>
              <c:f>'YR1 and 2 MDS'!$H$4</c:f>
              <c:strCache>
                <c:ptCount val="1"/>
                <c:pt idx="0">
                  <c:v>Dec_14 Dry</c:v>
                </c:pt>
              </c:strCache>
            </c:strRef>
          </c:tx>
          <c:spPr>
            <a:ln w="25377" cap="rnd">
              <a:noFill/>
              <a:round/>
            </a:ln>
            <a:effectLst/>
          </c:spPr>
          <c:marker>
            <c:symbol val="diamond"/>
            <c:size val="7"/>
            <c:spPr>
              <a:solidFill>
                <a:schemeClr val="accent4"/>
              </a:solidFill>
              <a:ln w="9516">
                <a:noFill/>
              </a:ln>
              <a:effectLst/>
            </c:spPr>
          </c:marker>
          <c:xVal>
            <c:numRef>
              <c:f>'YR1 and 2 MDS'!$E$4:$E$10</c:f>
              <c:numCache>
                <c:formatCode>General</c:formatCode>
                <c:ptCount val="7"/>
                <c:pt idx="0">
                  <c:v>-0.09</c:v>
                </c:pt>
                <c:pt idx="1">
                  <c:v>-0.37</c:v>
                </c:pt>
                <c:pt idx="2">
                  <c:v>-0.71</c:v>
                </c:pt>
                <c:pt idx="3">
                  <c:v>1.08</c:v>
                </c:pt>
                <c:pt idx="4">
                  <c:v>-1.38</c:v>
                </c:pt>
                <c:pt idx="5">
                  <c:v>1.36</c:v>
                </c:pt>
                <c:pt idx="6">
                  <c:v>0.39</c:v>
                </c:pt>
              </c:numCache>
            </c:numRef>
          </c:xVal>
          <c:yVal>
            <c:numRef>
              <c:f>'YR1 and 2 MDS'!$F$4:$F$10</c:f>
              <c:numCache>
                <c:formatCode>General</c:formatCode>
                <c:ptCount val="7"/>
                <c:pt idx="0">
                  <c:v>-0.19</c:v>
                </c:pt>
                <c:pt idx="1">
                  <c:v>1.58</c:v>
                </c:pt>
                <c:pt idx="2">
                  <c:v>1.36</c:v>
                </c:pt>
                <c:pt idx="3">
                  <c:v>0.61</c:v>
                </c:pt>
                <c:pt idx="4">
                  <c:v>-0.14000000000000001</c:v>
                </c:pt>
                <c:pt idx="5">
                  <c:v>-0.4</c:v>
                </c:pt>
                <c:pt idx="6">
                  <c:v>0.49</c:v>
                </c:pt>
              </c:numCache>
            </c:numRef>
          </c:yVal>
          <c:smooth val="0"/>
        </c:ser>
        <c:ser>
          <c:idx val="1"/>
          <c:order val="1"/>
          <c:tx>
            <c:strRef>
              <c:f>'YR1 and 2 MDS'!$H$5</c:f>
              <c:strCache>
                <c:ptCount val="1"/>
                <c:pt idx="0">
                  <c:v>Dec_14 Wet</c:v>
                </c:pt>
              </c:strCache>
            </c:strRef>
          </c:tx>
          <c:spPr>
            <a:ln w="25377" cap="rnd">
              <a:noFill/>
              <a:round/>
            </a:ln>
            <a:effectLst/>
          </c:spPr>
          <c:marker>
            <c:symbol val="diamond"/>
            <c:size val="7"/>
            <c:spPr>
              <a:solidFill>
                <a:srgbClr val="00B0F0"/>
              </a:solidFill>
              <a:ln w="9516">
                <a:noFill/>
              </a:ln>
              <a:effectLst/>
            </c:spPr>
          </c:marker>
          <c:xVal>
            <c:numRef>
              <c:f>'YR1 and 2 MDS'!$E$11:$E$18</c:f>
              <c:numCache>
                <c:formatCode>General</c:formatCode>
                <c:ptCount val="8"/>
                <c:pt idx="0">
                  <c:v>-0.86</c:v>
                </c:pt>
                <c:pt idx="1">
                  <c:v>-0.01</c:v>
                </c:pt>
                <c:pt idx="2">
                  <c:v>0.18</c:v>
                </c:pt>
                <c:pt idx="3">
                  <c:v>-0.64</c:v>
                </c:pt>
                <c:pt idx="4">
                  <c:v>0.44</c:v>
                </c:pt>
                <c:pt idx="5">
                  <c:v>-0.01</c:v>
                </c:pt>
                <c:pt idx="6">
                  <c:v>-0.04</c:v>
                </c:pt>
                <c:pt idx="7">
                  <c:v>-0.25</c:v>
                </c:pt>
              </c:numCache>
            </c:numRef>
          </c:xVal>
          <c:yVal>
            <c:numRef>
              <c:f>'YR1 and 2 MDS'!$F$11:$F$18</c:f>
              <c:numCache>
                <c:formatCode>General</c:formatCode>
                <c:ptCount val="8"/>
                <c:pt idx="0">
                  <c:v>-0.66</c:v>
                </c:pt>
                <c:pt idx="1">
                  <c:v>1.26</c:v>
                </c:pt>
                <c:pt idx="2">
                  <c:v>0.44</c:v>
                </c:pt>
                <c:pt idx="3">
                  <c:v>0.7</c:v>
                </c:pt>
                <c:pt idx="4">
                  <c:v>-0.26</c:v>
                </c:pt>
                <c:pt idx="5">
                  <c:v>-0.62</c:v>
                </c:pt>
                <c:pt idx="6">
                  <c:v>-0.32</c:v>
                </c:pt>
                <c:pt idx="7">
                  <c:v>-1.1000000000000001</c:v>
                </c:pt>
              </c:numCache>
            </c:numRef>
          </c:yVal>
          <c:smooth val="0"/>
        </c:ser>
        <c:ser>
          <c:idx val="2"/>
          <c:order val="2"/>
          <c:tx>
            <c:strRef>
              <c:f>'YR1 and 2 MDS'!$H$6</c:f>
              <c:strCache>
                <c:ptCount val="1"/>
                <c:pt idx="0">
                  <c:v>Mar_15 Dry</c:v>
                </c:pt>
              </c:strCache>
            </c:strRef>
          </c:tx>
          <c:spPr>
            <a:ln w="25377" cap="rnd">
              <a:noFill/>
              <a:round/>
            </a:ln>
            <a:effectLst/>
          </c:spPr>
          <c:marker>
            <c:symbol val="triangle"/>
            <c:size val="7"/>
            <c:spPr>
              <a:solidFill>
                <a:schemeClr val="accent4"/>
              </a:solidFill>
              <a:ln w="9516">
                <a:noFill/>
              </a:ln>
              <a:effectLst/>
            </c:spPr>
          </c:marker>
          <c:xVal>
            <c:numRef>
              <c:f>'YR1 and 2 MDS'!$E$19</c:f>
              <c:numCache>
                <c:formatCode>General</c:formatCode>
                <c:ptCount val="1"/>
                <c:pt idx="0">
                  <c:v>1.4</c:v>
                </c:pt>
              </c:numCache>
            </c:numRef>
          </c:xVal>
          <c:yVal>
            <c:numRef>
              <c:f>'YR1 and 2 MDS'!$F$19</c:f>
              <c:numCache>
                <c:formatCode>General</c:formatCode>
                <c:ptCount val="1"/>
                <c:pt idx="0">
                  <c:v>-1.04</c:v>
                </c:pt>
              </c:numCache>
            </c:numRef>
          </c:yVal>
          <c:smooth val="0"/>
        </c:ser>
        <c:ser>
          <c:idx val="3"/>
          <c:order val="3"/>
          <c:tx>
            <c:strRef>
              <c:f>'YR1 and 2 MDS'!$H$7</c:f>
              <c:strCache>
                <c:ptCount val="1"/>
                <c:pt idx="0">
                  <c:v>Mar_15 Wet</c:v>
                </c:pt>
              </c:strCache>
            </c:strRef>
          </c:tx>
          <c:spPr>
            <a:ln w="25377" cap="rnd">
              <a:noFill/>
              <a:round/>
            </a:ln>
            <a:effectLst/>
          </c:spPr>
          <c:marker>
            <c:symbol val="triangle"/>
            <c:size val="7"/>
            <c:spPr>
              <a:solidFill>
                <a:srgbClr val="00B0F0"/>
              </a:solidFill>
              <a:ln w="9516">
                <a:noFill/>
              </a:ln>
              <a:effectLst/>
            </c:spPr>
          </c:marker>
          <c:xVal>
            <c:numRef>
              <c:f>'YR1 and 2 MDS'!$E$20:$E$33</c:f>
              <c:numCache>
                <c:formatCode>General</c:formatCode>
                <c:ptCount val="14"/>
                <c:pt idx="0">
                  <c:v>-0.15</c:v>
                </c:pt>
                <c:pt idx="1">
                  <c:v>0</c:v>
                </c:pt>
                <c:pt idx="2">
                  <c:v>-0.48</c:v>
                </c:pt>
                <c:pt idx="3">
                  <c:v>1.69</c:v>
                </c:pt>
                <c:pt idx="4">
                  <c:v>0.54</c:v>
                </c:pt>
                <c:pt idx="5">
                  <c:v>0.32</c:v>
                </c:pt>
                <c:pt idx="6">
                  <c:v>-0.08</c:v>
                </c:pt>
                <c:pt idx="7">
                  <c:v>-0.08</c:v>
                </c:pt>
                <c:pt idx="8">
                  <c:v>-0.21</c:v>
                </c:pt>
                <c:pt idx="9">
                  <c:v>0.21</c:v>
                </c:pt>
                <c:pt idx="10">
                  <c:v>0.31</c:v>
                </c:pt>
                <c:pt idx="11">
                  <c:v>-0.49</c:v>
                </c:pt>
                <c:pt idx="12">
                  <c:v>0.37</c:v>
                </c:pt>
                <c:pt idx="13">
                  <c:v>-0.24</c:v>
                </c:pt>
              </c:numCache>
            </c:numRef>
          </c:xVal>
          <c:yVal>
            <c:numRef>
              <c:f>'YR1 and 2 MDS'!$F$20:$F$33</c:f>
              <c:numCache>
                <c:formatCode>General</c:formatCode>
                <c:ptCount val="14"/>
                <c:pt idx="0">
                  <c:v>-0.27</c:v>
                </c:pt>
                <c:pt idx="1">
                  <c:v>0.61</c:v>
                </c:pt>
                <c:pt idx="2">
                  <c:v>-0.79</c:v>
                </c:pt>
                <c:pt idx="3">
                  <c:v>0.39</c:v>
                </c:pt>
                <c:pt idx="4">
                  <c:v>0.37</c:v>
                </c:pt>
                <c:pt idx="5">
                  <c:v>1.37</c:v>
                </c:pt>
                <c:pt idx="6">
                  <c:v>-0.75</c:v>
                </c:pt>
                <c:pt idx="7">
                  <c:v>-0.49</c:v>
                </c:pt>
                <c:pt idx="8">
                  <c:v>-0.31</c:v>
                </c:pt>
                <c:pt idx="9">
                  <c:v>-0.49</c:v>
                </c:pt>
                <c:pt idx="10">
                  <c:v>-0.47</c:v>
                </c:pt>
                <c:pt idx="11">
                  <c:v>-0.36</c:v>
                </c:pt>
                <c:pt idx="12">
                  <c:v>-0.62</c:v>
                </c:pt>
                <c:pt idx="13">
                  <c:v>-0.55000000000000004</c:v>
                </c:pt>
              </c:numCache>
            </c:numRef>
          </c:yVal>
          <c:smooth val="0"/>
        </c:ser>
        <c:ser>
          <c:idx val="6"/>
          <c:order val="4"/>
          <c:tx>
            <c:strRef>
              <c:f>'YR1 and 2 MDS'!$H$8</c:f>
              <c:strCache>
                <c:ptCount val="1"/>
                <c:pt idx="0">
                  <c:v>Nov_15 Dry</c:v>
                </c:pt>
              </c:strCache>
            </c:strRef>
          </c:tx>
          <c:spPr>
            <a:ln w="25377" cap="rnd">
              <a:noFill/>
              <a:round/>
            </a:ln>
            <a:effectLst/>
          </c:spPr>
          <c:marker>
            <c:symbol val="circle"/>
            <c:size val="6"/>
            <c:spPr>
              <a:solidFill>
                <a:schemeClr val="accent4"/>
              </a:solidFill>
              <a:ln w="9516">
                <a:noFill/>
              </a:ln>
              <a:effectLst/>
            </c:spPr>
          </c:marker>
          <c:xVal>
            <c:numRef>
              <c:f>'YR1 and 2 MDS'!$E$56:$E$63</c:f>
              <c:numCache>
                <c:formatCode>General</c:formatCode>
                <c:ptCount val="8"/>
                <c:pt idx="0">
                  <c:v>1.43</c:v>
                </c:pt>
                <c:pt idx="1">
                  <c:v>-0.64</c:v>
                </c:pt>
                <c:pt idx="2">
                  <c:v>-1.19</c:v>
                </c:pt>
                <c:pt idx="3">
                  <c:v>0.1</c:v>
                </c:pt>
                <c:pt idx="4">
                  <c:v>0.06</c:v>
                </c:pt>
                <c:pt idx="5">
                  <c:v>-0.33</c:v>
                </c:pt>
                <c:pt idx="6">
                  <c:v>0.25</c:v>
                </c:pt>
                <c:pt idx="7">
                  <c:v>-0.72</c:v>
                </c:pt>
              </c:numCache>
            </c:numRef>
          </c:xVal>
          <c:yVal>
            <c:numRef>
              <c:f>'YR1 and 2 MDS'!$F$56:$F$63</c:f>
              <c:numCache>
                <c:formatCode>General</c:formatCode>
                <c:ptCount val="8"/>
                <c:pt idx="0">
                  <c:v>0.48</c:v>
                </c:pt>
                <c:pt idx="1">
                  <c:v>0.92</c:v>
                </c:pt>
                <c:pt idx="2">
                  <c:v>-0.34</c:v>
                </c:pt>
                <c:pt idx="3">
                  <c:v>-0.96</c:v>
                </c:pt>
                <c:pt idx="4">
                  <c:v>-0.28000000000000003</c:v>
                </c:pt>
                <c:pt idx="5">
                  <c:v>0.02</c:v>
                </c:pt>
                <c:pt idx="6">
                  <c:v>-0.82</c:v>
                </c:pt>
                <c:pt idx="7">
                  <c:v>-0.03</c:v>
                </c:pt>
              </c:numCache>
            </c:numRef>
          </c:yVal>
          <c:smooth val="0"/>
        </c:ser>
        <c:ser>
          <c:idx val="7"/>
          <c:order val="5"/>
          <c:tx>
            <c:strRef>
              <c:f>'YR1 and 2 MDS'!$H$9</c:f>
              <c:strCache>
                <c:ptCount val="1"/>
                <c:pt idx="0">
                  <c:v>Nov_15 Wet</c:v>
                </c:pt>
              </c:strCache>
            </c:strRef>
          </c:tx>
          <c:spPr>
            <a:ln w="25377" cap="rnd">
              <a:noFill/>
              <a:round/>
            </a:ln>
            <a:effectLst/>
          </c:spPr>
          <c:marker>
            <c:symbol val="circle"/>
            <c:size val="6"/>
            <c:spPr>
              <a:solidFill>
                <a:srgbClr val="00B0F0"/>
              </a:solidFill>
              <a:ln w="9516">
                <a:noFill/>
              </a:ln>
              <a:effectLst/>
            </c:spPr>
          </c:marker>
          <c:xVal>
            <c:numRef>
              <c:f>'YR1 and 2 MDS'!$E$64:$E$79</c:f>
              <c:numCache>
                <c:formatCode>General</c:formatCode>
                <c:ptCount val="16"/>
                <c:pt idx="0">
                  <c:v>0.03</c:v>
                </c:pt>
                <c:pt idx="1">
                  <c:v>0.83</c:v>
                </c:pt>
                <c:pt idx="2">
                  <c:v>-0.56000000000000005</c:v>
                </c:pt>
                <c:pt idx="3">
                  <c:v>0.19</c:v>
                </c:pt>
                <c:pt idx="4">
                  <c:v>0.48</c:v>
                </c:pt>
                <c:pt idx="5">
                  <c:v>-0.01</c:v>
                </c:pt>
                <c:pt idx="6">
                  <c:v>0.89</c:v>
                </c:pt>
                <c:pt idx="7">
                  <c:v>-0.5</c:v>
                </c:pt>
                <c:pt idx="8">
                  <c:v>-0.1</c:v>
                </c:pt>
                <c:pt idx="9">
                  <c:v>-0.5</c:v>
                </c:pt>
                <c:pt idx="10">
                  <c:v>-0.92</c:v>
                </c:pt>
                <c:pt idx="11">
                  <c:v>0.1</c:v>
                </c:pt>
                <c:pt idx="12">
                  <c:v>0.34</c:v>
                </c:pt>
                <c:pt idx="13">
                  <c:v>-0.27</c:v>
                </c:pt>
                <c:pt idx="14">
                  <c:v>-0.19</c:v>
                </c:pt>
                <c:pt idx="15">
                  <c:v>0.28999999999999998</c:v>
                </c:pt>
              </c:numCache>
            </c:numRef>
          </c:xVal>
          <c:yVal>
            <c:numRef>
              <c:f>'YR1 and 2 MDS'!$F$64:$F$79</c:f>
              <c:numCache>
                <c:formatCode>General</c:formatCode>
                <c:ptCount val="16"/>
                <c:pt idx="0">
                  <c:v>-0.03</c:v>
                </c:pt>
                <c:pt idx="1">
                  <c:v>1.19</c:v>
                </c:pt>
                <c:pt idx="2">
                  <c:v>-0.56000000000000005</c:v>
                </c:pt>
                <c:pt idx="3">
                  <c:v>0.57999999999999996</c:v>
                </c:pt>
                <c:pt idx="4">
                  <c:v>-0.08</c:v>
                </c:pt>
                <c:pt idx="5">
                  <c:v>1.01</c:v>
                </c:pt>
                <c:pt idx="6">
                  <c:v>-0.08</c:v>
                </c:pt>
                <c:pt idx="7">
                  <c:v>0.24</c:v>
                </c:pt>
                <c:pt idx="8">
                  <c:v>0.81</c:v>
                </c:pt>
                <c:pt idx="9">
                  <c:v>0.04</c:v>
                </c:pt>
                <c:pt idx="10">
                  <c:v>-0.09</c:v>
                </c:pt>
                <c:pt idx="11">
                  <c:v>0.53</c:v>
                </c:pt>
                <c:pt idx="12">
                  <c:v>-0.37</c:v>
                </c:pt>
                <c:pt idx="13">
                  <c:v>-0.45</c:v>
                </c:pt>
                <c:pt idx="14">
                  <c:v>-0.91</c:v>
                </c:pt>
                <c:pt idx="15">
                  <c:v>-0.18</c:v>
                </c:pt>
              </c:numCache>
            </c:numRef>
          </c:yVal>
          <c:smooth val="0"/>
        </c:ser>
        <c:ser>
          <c:idx val="4"/>
          <c:order val="6"/>
          <c:tx>
            <c:strRef>
              <c:f>'YR1 and 2 MDS'!$H$10</c:f>
              <c:strCache>
                <c:ptCount val="1"/>
                <c:pt idx="0">
                  <c:v>Mar_16 Dry</c:v>
                </c:pt>
              </c:strCache>
            </c:strRef>
          </c:tx>
          <c:spPr>
            <a:ln w="25377" cap="rnd">
              <a:noFill/>
              <a:round/>
            </a:ln>
            <a:effectLst/>
          </c:spPr>
          <c:marker>
            <c:symbol val="square"/>
            <c:size val="6"/>
            <c:spPr>
              <a:solidFill>
                <a:schemeClr val="accent4"/>
              </a:solidFill>
              <a:ln w="9516">
                <a:noFill/>
              </a:ln>
              <a:effectLst/>
            </c:spPr>
          </c:marker>
          <c:xVal>
            <c:numRef>
              <c:f>'YR1 and 2 MDS'!$E$34:$E$45</c:f>
              <c:numCache>
                <c:formatCode>General</c:formatCode>
                <c:ptCount val="12"/>
                <c:pt idx="0">
                  <c:v>-1.62</c:v>
                </c:pt>
                <c:pt idx="1">
                  <c:v>-1.88</c:v>
                </c:pt>
                <c:pt idx="2">
                  <c:v>-0.27</c:v>
                </c:pt>
                <c:pt idx="3">
                  <c:v>0.48</c:v>
                </c:pt>
                <c:pt idx="4">
                  <c:v>1</c:v>
                </c:pt>
                <c:pt idx="5">
                  <c:v>0.73</c:v>
                </c:pt>
                <c:pt idx="6">
                  <c:v>1.24</c:v>
                </c:pt>
                <c:pt idx="7">
                  <c:v>0.64</c:v>
                </c:pt>
                <c:pt idx="8">
                  <c:v>-1.05</c:v>
                </c:pt>
                <c:pt idx="9">
                  <c:v>0.47</c:v>
                </c:pt>
                <c:pt idx="10">
                  <c:v>1.56</c:v>
                </c:pt>
                <c:pt idx="11">
                  <c:v>1.19</c:v>
                </c:pt>
              </c:numCache>
            </c:numRef>
          </c:xVal>
          <c:yVal>
            <c:numRef>
              <c:f>'YR1 and 2 MDS'!$F$34:$F$45</c:f>
              <c:numCache>
                <c:formatCode>General</c:formatCode>
                <c:ptCount val="12"/>
                <c:pt idx="0">
                  <c:v>0.95</c:v>
                </c:pt>
                <c:pt idx="1">
                  <c:v>0.51</c:v>
                </c:pt>
                <c:pt idx="2">
                  <c:v>0.41</c:v>
                </c:pt>
                <c:pt idx="3">
                  <c:v>0.56000000000000005</c:v>
                </c:pt>
                <c:pt idx="4">
                  <c:v>0.82</c:v>
                </c:pt>
                <c:pt idx="5">
                  <c:v>0.78</c:v>
                </c:pt>
                <c:pt idx="6">
                  <c:v>-0.61</c:v>
                </c:pt>
                <c:pt idx="7">
                  <c:v>-0.2</c:v>
                </c:pt>
                <c:pt idx="8">
                  <c:v>-1.32</c:v>
                </c:pt>
                <c:pt idx="9">
                  <c:v>-1.05</c:v>
                </c:pt>
                <c:pt idx="10">
                  <c:v>-0.09</c:v>
                </c:pt>
                <c:pt idx="11">
                  <c:v>-0.4</c:v>
                </c:pt>
              </c:numCache>
            </c:numRef>
          </c:yVal>
          <c:smooth val="0"/>
        </c:ser>
        <c:ser>
          <c:idx val="5"/>
          <c:order val="7"/>
          <c:tx>
            <c:strRef>
              <c:f>'YR1 and 2 MDS'!$H$11</c:f>
              <c:strCache>
                <c:ptCount val="1"/>
                <c:pt idx="0">
                  <c:v>Mar_16 Wet</c:v>
                </c:pt>
              </c:strCache>
            </c:strRef>
          </c:tx>
          <c:spPr>
            <a:ln w="25377" cap="rnd">
              <a:noFill/>
              <a:round/>
            </a:ln>
            <a:effectLst/>
          </c:spPr>
          <c:marker>
            <c:symbol val="square"/>
            <c:size val="6"/>
            <c:spPr>
              <a:solidFill>
                <a:srgbClr val="00B0F0"/>
              </a:solidFill>
              <a:ln w="9516">
                <a:noFill/>
              </a:ln>
              <a:effectLst/>
            </c:spPr>
          </c:marker>
          <c:xVal>
            <c:numRef>
              <c:f>'YR1 and 2 MDS'!$E$46:$E$55</c:f>
              <c:numCache>
                <c:formatCode>General</c:formatCode>
                <c:ptCount val="10"/>
                <c:pt idx="0">
                  <c:v>-0.38</c:v>
                </c:pt>
                <c:pt idx="1">
                  <c:v>0.22</c:v>
                </c:pt>
                <c:pt idx="2">
                  <c:v>-0.12</c:v>
                </c:pt>
                <c:pt idx="3">
                  <c:v>0.09</c:v>
                </c:pt>
                <c:pt idx="4">
                  <c:v>-0.28999999999999998</c:v>
                </c:pt>
                <c:pt idx="5">
                  <c:v>-0.56000000000000005</c:v>
                </c:pt>
                <c:pt idx="6">
                  <c:v>-0.56000000000000005</c:v>
                </c:pt>
                <c:pt idx="7">
                  <c:v>0.1</c:v>
                </c:pt>
                <c:pt idx="8">
                  <c:v>-1.72</c:v>
                </c:pt>
                <c:pt idx="9">
                  <c:v>-0.5</c:v>
                </c:pt>
              </c:numCache>
            </c:numRef>
          </c:xVal>
          <c:yVal>
            <c:numRef>
              <c:f>'YR1 and 2 MDS'!$F$46:$F$55</c:f>
              <c:numCache>
                <c:formatCode>General</c:formatCode>
                <c:ptCount val="10"/>
                <c:pt idx="0">
                  <c:v>-0.56000000000000005</c:v>
                </c:pt>
                <c:pt idx="1">
                  <c:v>0.73</c:v>
                </c:pt>
                <c:pt idx="2">
                  <c:v>0.11</c:v>
                </c:pt>
                <c:pt idx="3">
                  <c:v>-0.65</c:v>
                </c:pt>
                <c:pt idx="4">
                  <c:v>0.77</c:v>
                </c:pt>
                <c:pt idx="5">
                  <c:v>-0.08</c:v>
                </c:pt>
                <c:pt idx="6">
                  <c:v>-0.41</c:v>
                </c:pt>
                <c:pt idx="7">
                  <c:v>0.71</c:v>
                </c:pt>
                <c:pt idx="8">
                  <c:v>0.34</c:v>
                </c:pt>
                <c:pt idx="9">
                  <c:v>-1.36</c:v>
                </c:pt>
              </c:numCache>
            </c:numRef>
          </c:yVal>
          <c:smooth val="0"/>
        </c:ser>
        <c:dLbls>
          <c:showLegendKey val="0"/>
          <c:showVal val="0"/>
          <c:showCatName val="0"/>
          <c:showSerName val="0"/>
          <c:showPercent val="0"/>
          <c:showBubbleSize val="0"/>
        </c:dLbls>
        <c:axId val="332925144"/>
        <c:axId val="332925536"/>
      </c:scatterChart>
      <c:valAx>
        <c:axId val="332925144"/>
        <c:scaling>
          <c:orientation val="minMax"/>
          <c:min val="-2"/>
        </c:scaling>
        <c:delete val="0"/>
        <c:axPos val="b"/>
        <c:numFmt formatCode="General" sourceLinked="1"/>
        <c:majorTickMark val="out"/>
        <c:minorTickMark val="none"/>
        <c:tickLblPos val="nextTo"/>
        <c:spPr>
          <a:noFill/>
          <a:ln w="9516" cap="flat" cmpd="sng" algn="ctr">
            <a:solidFill>
              <a:sysClr val="window" lastClr="FFFFFF">
                <a:lumMod val="50000"/>
              </a:sysClr>
            </a:solidFill>
            <a:round/>
          </a:ln>
          <a:effectLst/>
        </c:spPr>
        <c:txPr>
          <a:bodyPr rot="0" vert="horz"/>
          <a:lstStyle/>
          <a:p>
            <a:pPr>
              <a:defRPr sz="999" b="0" i="0" u="none" strike="noStrike" baseline="0">
                <a:solidFill>
                  <a:srgbClr val="000000"/>
                </a:solidFill>
                <a:latin typeface="Arial"/>
                <a:ea typeface="Arial"/>
                <a:cs typeface="Arial"/>
              </a:defRPr>
            </a:pPr>
            <a:endParaRPr lang="en-US"/>
          </a:p>
        </c:txPr>
        <c:crossAx val="332925536"/>
        <c:crossesAt val="-2"/>
        <c:crossBetween val="midCat"/>
        <c:majorUnit val="1"/>
      </c:valAx>
      <c:valAx>
        <c:axId val="332925536"/>
        <c:scaling>
          <c:orientation val="minMax"/>
        </c:scaling>
        <c:delete val="0"/>
        <c:axPos val="l"/>
        <c:numFmt formatCode="General" sourceLinked="1"/>
        <c:majorTickMark val="out"/>
        <c:minorTickMark val="none"/>
        <c:tickLblPos val="nextTo"/>
        <c:spPr>
          <a:noFill/>
          <a:ln w="9516" cap="flat" cmpd="sng" algn="ctr">
            <a:solidFill>
              <a:sysClr val="window" lastClr="FFFFFF">
                <a:lumMod val="50000"/>
              </a:sysClr>
            </a:solidFill>
            <a:round/>
          </a:ln>
          <a:effectLst/>
        </c:spPr>
        <c:txPr>
          <a:bodyPr rot="-60000000" spcFirstLastPara="1" vertOverflow="ellipsis" vert="horz" wrap="square" anchor="ctr" anchorCtr="1"/>
          <a:lstStyle/>
          <a:p>
            <a:pPr>
              <a:defRPr sz="999"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32925144"/>
        <c:crossesAt val="-2"/>
        <c:crossBetween val="midCat"/>
        <c:majorUnit val="1"/>
      </c:valAx>
      <c:spPr>
        <a:noFill/>
        <a:ln>
          <a:solidFill>
            <a:sysClr val="window" lastClr="FFFFFF">
              <a:lumMod val="50000"/>
            </a:sysClr>
          </a:solidFill>
        </a:ln>
        <a:effectLst/>
      </c:spPr>
    </c:plotArea>
    <c:legend>
      <c:legendPos val="r"/>
      <c:overlay val="0"/>
      <c:spPr>
        <a:noFill/>
        <a:ln>
          <a:noFill/>
        </a:ln>
        <a:effectLst/>
      </c:spPr>
      <c:txPr>
        <a:bodyPr rot="0" spcFirstLastPara="1" vertOverflow="ellipsis" vert="horz" wrap="square" anchor="ctr" anchorCtr="1"/>
        <a:lstStyle/>
        <a:p>
          <a:pPr>
            <a:defRPr sz="999"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a:noFill/>
    </a:ln>
    <a:effectLst/>
  </c:spPr>
  <c:txPr>
    <a:bodyPr/>
    <a:lstStyle/>
    <a:p>
      <a:pPr>
        <a:defRPr sz="999">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662937553597882E-2"/>
          <c:y val="4.4022713608831185E-2"/>
          <c:w val="0.67441907261592304"/>
          <c:h val="0.89303831307799031"/>
        </c:manualLayout>
      </c:layout>
      <c:scatterChart>
        <c:scatterStyle val="lineMarker"/>
        <c:varyColors val="0"/>
        <c:ser>
          <c:idx val="0"/>
          <c:order val="0"/>
          <c:tx>
            <c:strRef>
              <c:f>Sheet1!$E$3</c:f>
              <c:strCache>
                <c:ptCount val="1"/>
                <c:pt idx="0">
                  <c:v>Creek</c:v>
                </c:pt>
              </c:strCache>
            </c:strRef>
          </c:tx>
          <c:spPr>
            <a:ln w="25400" cap="rnd">
              <a:noFill/>
              <a:round/>
            </a:ln>
            <a:effectLst/>
          </c:spPr>
          <c:marker>
            <c:symbol val="circle"/>
            <c:size val="5"/>
            <c:spPr>
              <a:solidFill>
                <a:schemeClr val="accent1"/>
              </a:solidFill>
              <a:ln w="9525">
                <a:solidFill>
                  <a:schemeClr val="accent1"/>
                </a:solidFill>
              </a:ln>
              <a:effectLst/>
            </c:spPr>
          </c:marker>
          <c:xVal>
            <c:numRef>
              <c:f>Sheet1!$B$3:$B$6</c:f>
              <c:numCache>
                <c:formatCode>General</c:formatCode>
                <c:ptCount val="4"/>
                <c:pt idx="0">
                  <c:v>1.61</c:v>
                </c:pt>
                <c:pt idx="1">
                  <c:v>2.2400000000000002</c:v>
                </c:pt>
                <c:pt idx="2">
                  <c:v>-0.39</c:v>
                </c:pt>
                <c:pt idx="3">
                  <c:v>-0.36</c:v>
                </c:pt>
              </c:numCache>
            </c:numRef>
          </c:xVal>
          <c:yVal>
            <c:numRef>
              <c:f>Sheet1!$C$3:$C$6</c:f>
              <c:numCache>
                <c:formatCode>General</c:formatCode>
                <c:ptCount val="4"/>
                <c:pt idx="0">
                  <c:v>-1.35</c:v>
                </c:pt>
                <c:pt idx="1">
                  <c:v>1.03</c:v>
                </c:pt>
                <c:pt idx="2">
                  <c:v>0.03</c:v>
                </c:pt>
                <c:pt idx="3">
                  <c:v>0.06</c:v>
                </c:pt>
              </c:numCache>
            </c:numRef>
          </c:yVal>
          <c:smooth val="0"/>
          <c:extLst xmlns:c16r2="http://schemas.microsoft.com/office/drawing/2015/06/chart">
            <c:ext xmlns:c16="http://schemas.microsoft.com/office/drawing/2014/chart" uri="{C3380CC4-5D6E-409C-BE32-E72D297353CC}">
              <c16:uniqueId val="{00000000-F3F8-451F-B05D-7B9745707078}"/>
            </c:ext>
          </c:extLst>
        </c:ser>
        <c:ser>
          <c:idx val="1"/>
          <c:order val="1"/>
          <c:tx>
            <c:strRef>
              <c:f>Sheet1!$E$7</c:f>
              <c:strCache>
                <c:ptCount val="1"/>
                <c:pt idx="0">
                  <c:v>Floodplain</c:v>
                </c:pt>
              </c:strCache>
            </c:strRef>
          </c:tx>
          <c:spPr>
            <a:ln w="25400" cap="rnd">
              <a:noFill/>
              <a:round/>
            </a:ln>
            <a:effectLst/>
          </c:spPr>
          <c:marker>
            <c:symbol val="circle"/>
            <c:size val="5"/>
            <c:spPr>
              <a:solidFill>
                <a:schemeClr val="accent2"/>
              </a:solidFill>
              <a:ln w="9525">
                <a:solidFill>
                  <a:schemeClr val="accent2"/>
                </a:solidFill>
              </a:ln>
              <a:effectLst/>
            </c:spPr>
          </c:marker>
          <c:xVal>
            <c:numRef>
              <c:f>Sheet1!$B$7:$B$10</c:f>
              <c:numCache>
                <c:formatCode>General</c:formatCode>
                <c:ptCount val="4"/>
                <c:pt idx="0">
                  <c:v>-0.38</c:v>
                </c:pt>
                <c:pt idx="1">
                  <c:v>-0.42</c:v>
                </c:pt>
                <c:pt idx="2">
                  <c:v>-0.38</c:v>
                </c:pt>
                <c:pt idx="3">
                  <c:v>-0.38</c:v>
                </c:pt>
              </c:numCache>
            </c:numRef>
          </c:xVal>
          <c:yVal>
            <c:numRef>
              <c:f>Sheet1!$C$7:$C$10</c:f>
              <c:numCache>
                <c:formatCode>General</c:formatCode>
                <c:ptCount val="4"/>
                <c:pt idx="0">
                  <c:v>0.01</c:v>
                </c:pt>
                <c:pt idx="1">
                  <c:v>0.02</c:v>
                </c:pt>
                <c:pt idx="2">
                  <c:v>0.04</c:v>
                </c:pt>
                <c:pt idx="3">
                  <c:v>0.04</c:v>
                </c:pt>
              </c:numCache>
            </c:numRef>
          </c:yVal>
          <c:smooth val="0"/>
          <c:extLst xmlns:c16r2="http://schemas.microsoft.com/office/drawing/2015/06/chart">
            <c:ext xmlns:c16="http://schemas.microsoft.com/office/drawing/2014/chart" uri="{C3380CC4-5D6E-409C-BE32-E72D297353CC}">
              <c16:uniqueId val="{00000001-F3F8-451F-B05D-7B9745707078}"/>
            </c:ext>
          </c:extLst>
        </c:ser>
        <c:ser>
          <c:idx val="2"/>
          <c:order val="2"/>
          <c:tx>
            <c:strRef>
              <c:f>Sheet1!$E$11</c:f>
              <c:strCache>
                <c:ptCount val="1"/>
                <c:pt idx="0">
                  <c:v>Waterhole</c:v>
                </c:pt>
              </c:strCache>
            </c:strRef>
          </c:tx>
          <c:spPr>
            <a:ln w="25400" cap="rnd">
              <a:noFill/>
              <a:round/>
            </a:ln>
            <a:effectLst/>
          </c:spPr>
          <c:marker>
            <c:symbol val="circle"/>
            <c:size val="5"/>
            <c:spPr>
              <a:solidFill>
                <a:schemeClr val="accent3"/>
              </a:solidFill>
              <a:ln w="9525">
                <a:solidFill>
                  <a:schemeClr val="accent3"/>
                </a:solidFill>
              </a:ln>
              <a:effectLst/>
            </c:spPr>
          </c:marker>
          <c:xVal>
            <c:numRef>
              <c:f>Sheet1!$B$11:$B$14</c:f>
              <c:numCache>
                <c:formatCode>General</c:formatCode>
                <c:ptCount val="4"/>
                <c:pt idx="0">
                  <c:v>-0.41</c:v>
                </c:pt>
                <c:pt idx="1">
                  <c:v>-0.38</c:v>
                </c:pt>
                <c:pt idx="2">
                  <c:v>-0.37</c:v>
                </c:pt>
                <c:pt idx="3">
                  <c:v>-0.37</c:v>
                </c:pt>
              </c:numCache>
            </c:numRef>
          </c:xVal>
          <c:yVal>
            <c:numRef>
              <c:f>Sheet1!$C$11:$C$14</c:f>
              <c:numCache>
                <c:formatCode>General</c:formatCode>
                <c:ptCount val="4"/>
                <c:pt idx="0">
                  <c:v>0.04</c:v>
                </c:pt>
                <c:pt idx="1">
                  <c:v>0.05</c:v>
                </c:pt>
                <c:pt idx="2">
                  <c:v>0.02</c:v>
                </c:pt>
                <c:pt idx="3">
                  <c:v>0.02</c:v>
                </c:pt>
              </c:numCache>
            </c:numRef>
          </c:yVal>
          <c:smooth val="0"/>
          <c:extLst xmlns:c16r2="http://schemas.microsoft.com/office/drawing/2015/06/chart">
            <c:ext xmlns:c16="http://schemas.microsoft.com/office/drawing/2014/chart" uri="{C3380CC4-5D6E-409C-BE32-E72D297353CC}">
              <c16:uniqueId val="{00000002-F3F8-451F-B05D-7B9745707078}"/>
            </c:ext>
          </c:extLst>
        </c:ser>
        <c:dLbls>
          <c:showLegendKey val="0"/>
          <c:showVal val="0"/>
          <c:showCatName val="0"/>
          <c:showSerName val="0"/>
          <c:showPercent val="0"/>
          <c:showBubbleSize val="0"/>
        </c:dLbls>
        <c:axId val="556671176"/>
        <c:axId val="556671568"/>
      </c:scatterChart>
      <c:valAx>
        <c:axId val="556671176"/>
        <c:scaling>
          <c:orientation val="minMax"/>
          <c:min val="-2.5"/>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56671568"/>
        <c:crossesAt val="-2.5"/>
        <c:crossBetween val="midCat"/>
      </c:valAx>
      <c:valAx>
        <c:axId val="556671568"/>
        <c:scaling>
          <c:orientation val="minMax"/>
          <c:max val="2.5"/>
          <c:min val="-2.5"/>
        </c:scaling>
        <c:delete val="0"/>
        <c:axPos val="l"/>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56671176"/>
        <c:crossesAt val="-2.5"/>
        <c:crossBetween val="midCat"/>
      </c:valAx>
      <c:spPr>
        <a:noFill/>
        <a:ln>
          <a:solidFill>
            <a:schemeClr val="bg1">
              <a:lumMod val="50000"/>
            </a:schemeClr>
          </a:solidFill>
        </a:ln>
        <a:effectLst/>
      </c:spPr>
    </c:plotArea>
    <c:legend>
      <c:legendPos val="r"/>
      <c:layout>
        <c:manualLayout>
          <c:xMode val="edge"/>
          <c:yMode val="edge"/>
          <c:x val="0.77266220991399448"/>
          <c:y val="0.41945038493100051"/>
          <c:w val="0.16262838325556819"/>
          <c:h val="0.1610989795726608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071075591860234E-2"/>
          <c:y val="3.7667581628632298E-2"/>
          <c:w val="0.89183694307538242"/>
          <c:h val="0.70316645554957136"/>
        </c:manualLayout>
      </c:layout>
      <c:lineChart>
        <c:grouping val="standard"/>
        <c:varyColors val="0"/>
        <c:ser>
          <c:idx val="0"/>
          <c:order val="0"/>
          <c:tx>
            <c:strRef>
              <c:f>Mallowa!$B$1</c:f>
              <c:strCache>
                <c:ptCount val="1"/>
                <c:pt idx="0">
                  <c:v>418049 - Mallowa Creek @ Regulator </c:v>
                </c:pt>
              </c:strCache>
            </c:strRef>
          </c:tx>
          <c:spPr>
            <a:ln>
              <a:solidFill>
                <a:srgbClr val="FF0000"/>
              </a:solidFill>
              <a:prstDash val="sysDash"/>
            </a:ln>
          </c:spPr>
          <c:marker>
            <c:symbol val="none"/>
          </c:marker>
          <c:cat>
            <c:numRef>
              <c:f>Mallowa!$A$5:$A$369</c:f>
              <c:numCache>
                <c:formatCode>m/d/yyyy</c:formatCode>
                <c:ptCount val="365"/>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numCache>
            </c:numRef>
          </c:cat>
          <c:val>
            <c:numRef>
              <c:f>Mallowa!$B$5:$B$369</c:f>
              <c:numCache>
                <c:formatCode>General</c:formatCode>
                <c:ptCount val="365"/>
                <c:pt idx="0">
                  <c:v>0.38800000000000001</c:v>
                </c:pt>
                <c:pt idx="1">
                  <c:v>0.33800000000000002</c:v>
                </c:pt>
                <c:pt idx="2">
                  <c:v>0.27</c:v>
                </c:pt>
                <c:pt idx="3">
                  <c:v>0.248</c:v>
                </c:pt>
                <c:pt idx="4">
                  <c:v>0.24399999999999999</c:v>
                </c:pt>
                <c:pt idx="5">
                  <c:v>0.24199999999999999</c:v>
                </c:pt>
                <c:pt idx="6">
                  <c:v>0.24199999999999999</c:v>
                </c:pt>
                <c:pt idx="7">
                  <c:v>0.23599999999999999</c:v>
                </c:pt>
                <c:pt idx="8">
                  <c:v>0.22900000000000001</c:v>
                </c:pt>
                <c:pt idx="9">
                  <c:v>0.216</c:v>
                </c:pt>
                <c:pt idx="10">
                  <c:v>0.24</c:v>
                </c:pt>
                <c:pt idx="11">
                  <c:v>0.27900000000000003</c:v>
                </c:pt>
                <c:pt idx="12">
                  <c:v>0.26400000000000001</c:v>
                </c:pt>
                <c:pt idx="13">
                  <c:v>0.245</c:v>
                </c:pt>
                <c:pt idx="14">
                  <c:v>0.221</c:v>
                </c:pt>
                <c:pt idx="15">
                  <c:v>0.20799999999999999</c:v>
                </c:pt>
                <c:pt idx="16">
                  <c:v>0.218</c:v>
                </c:pt>
                <c:pt idx="17">
                  <c:v>0.20699999999999999</c:v>
                </c:pt>
                <c:pt idx="18">
                  <c:v>0.19800000000000001</c:v>
                </c:pt>
                <c:pt idx="19">
                  <c:v>0.191</c:v>
                </c:pt>
                <c:pt idx="20">
                  <c:v>0.191</c:v>
                </c:pt>
                <c:pt idx="21">
                  <c:v>0.19600000000000001</c:v>
                </c:pt>
                <c:pt idx="22">
                  <c:v>0.21</c:v>
                </c:pt>
                <c:pt idx="23">
                  <c:v>0.23300000000000001</c:v>
                </c:pt>
                <c:pt idx="24">
                  <c:v>0.26</c:v>
                </c:pt>
                <c:pt idx="25">
                  <c:v>0.23200000000000001</c:v>
                </c:pt>
                <c:pt idx="26">
                  <c:v>0.188</c:v>
                </c:pt>
                <c:pt idx="27">
                  <c:v>0.17</c:v>
                </c:pt>
                <c:pt idx="28">
                  <c:v>0.16900000000000001</c:v>
                </c:pt>
                <c:pt idx="29">
                  <c:v>0.182</c:v>
                </c:pt>
                <c:pt idx="30">
                  <c:v>0.20100000000000001</c:v>
                </c:pt>
                <c:pt idx="31">
                  <c:v>0.19900000000000001</c:v>
                </c:pt>
                <c:pt idx="32">
                  <c:v>0.19</c:v>
                </c:pt>
                <c:pt idx="33">
                  <c:v>0.182</c:v>
                </c:pt>
                <c:pt idx="34">
                  <c:v>0.18</c:v>
                </c:pt>
                <c:pt idx="35">
                  <c:v>0.17499999999999999</c:v>
                </c:pt>
                <c:pt idx="36">
                  <c:v>0.16600000000000001</c:v>
                </c:pt>
                <c:pt idx="37">
                  <c:v>0.16500000000000001</c:v>
                </c:pt>
                <c:pt idx="38">
                  <c:v>0.182</c:v>
                </c:pt>
                <c:pt idx="39">
                  <c:v>0.2</c:v>
                </c:pt>
                <c:pt idx="40">
                  <c:v>0.21199999999999999</c:v>
                </c:pt>
                <c:pt idx="41">
                  <c:v>0.221</c:v>
                </c:pt>
                <c:pt idx="42">
                  <c:v>0.223</c:v>
                </c:pt>
                <c:pt idx="43">
                  <c:v>0.22800000000000001</c:v>
                </c:pt>
                <c:pt idx="44">
                  <c:v>0.218</c:v>
                </c:pt>
                <c:pt idx="45">
                  <c:v>0.219</c:v>
                </c:pt>
                <c:pt idx="46">
                  <c:v>0.20899999999999999</c:v>
                </c:pt>
                <c:pt idx="47">
                  <c:v>0.20300000000000001</c:v>
                </c:pt>
                <c:pt idx="48">
                  <c:v>0.19900000000000001</c:v>
                </c:pt>
                <c:pt idx="49">
                  <c:v>0.192</c:v>
                </c:pt>
                <c:pt idx="50">
                  <c:v>0.19800000000000001</c:v>
                </c:pt>
                <c:pt idx="51">
                  <c:v>0.20799999999999999</c:v>
                </c:pt>
                <c:pt idx="52">
                  <c:v>0.23</c:v>
                </c:pt>
                <c:pt idx="53">
                  <c:v>0.26500000000000001</c:v>
                </c:pt>
                <c:pt idx="54">
                  <c:v>0.32300000000000001</c:v>
                </c:pt>
                <c:pt idx="55">
                  <c:v>0.39500000000000002</c:v>
                </c:pt>
                <c:pt idx="56">
                  <c:v>0.36499999999999999</c:v>
                </c:pt>
                <c:pt idx="57">
                  <c:v>0.34799999999999998</c:v>
                </c:pt>
                <c:pt idx="58">
                  <c:v>0.378</c:v>
                </c:pt>
                <c:pt idx="59">
                  <c:v>0.42699999999999999</c:v>
                </c:pt>
                <c:pt idx="60">
                  <c:v>0.48799999999999999</c:v>
                </c:pt>
                <c:pt idx="61">
                  <c:v>0.44800000000000001</c:v>
                </c:pt>
                <c:pt idx="62">
                  <c:v>0.39900000000000002</c:v>
                </c:pt>
                <c:pt idx="63">
                  <c:v>0.35399999999999998</c:v>
                </c:pt>
                <c:pt idx="64">
                  <c:v>0.33</c:v>
                </c:pt>
                <c:pt idx="65">
                  <c:v>0.41099999999999998</c:v>
                </c:pt>
                <c:pt idx="66">
                  <c:v>0.36299999999999999</c:v>
                </c:pt>
                <c:pt idx="67">
                  <c:v>0.32</c:v>
                </c:pt>
                <c:pt idx="68">
                  <c:v>0.28999999999999998</c:v>
                </c:pt>
                <c:pt idx="69">
                  <c:v>0.27400000000000002</c:v>
                </c:pt>
                <c:pt idx="70">
                  <c:v>0.254</c:v>
                </c:pt>
                <c:pt idx="71">
                  <c:v>0.24299999999999999</c:v>
                </c:pt>
                <c:pt idx="72">
                  <c:v>0.22900000000000001</c:v>
                </c:pt>
                <c:pt idx="73">
                  <c:v>0.22500000000000001</c:v>
                </c:pt>
                <c:pt idx="74">
                  <c:v>0.218</c:v>
                </c:pt>
                <c:pt idx="75">
                  <c:v>0.215</c:v>
                </c:pt>
                <c:pt idx="76">
                  <c:v>0.20899999999999999</c:v>
                </c:pt>
                <c:pt idx="77">
                  <c:v>0.20300000000000001</c:v>
                </c:pt>
                <c:pt idx="78">
                  <c:v>0.20799999999999999</c:v>
                </c:pt>
                <c:pt idx="79">
                  <c:v>0.20799999999999999</c:v>
                </c:pt>
                <c:pt idx="80">
                  <c:v>0.192</c:v>
                </c:pt>
                <c:pt idx="81">
                  <c:v>0.16900000000000001</c:v>
                </c:pt>
                <c:pt idx="82">
                  <c:v>0.16</c:v>
                </c:pt>
                <c:pt idx="83">
                  <c:v>0.154</c:v>
                </c:pt>
                <c:pt idx="84">
                  <c:v>0.13800000000000001</c:v>
                </c:pt>
                <c:pt idx="85">
                  <c:v>0.11899999999999999</c:v>
                </c:pt>
                <c:pt idx="86">
                  <c:v>0.105</c:v>
                </c:pt>
                <c:pt idx="87">
                  <c:v>0.114</c:v>
                </c:pt>
                <c:pt idx="88">
                  <c:v>0.13300000000000001</c:v>
                </c:pt>
                <c:pt idx="89">
                  <c:v>0.16</c:v>
                </c:pt>
                <c:pt idx="90">
                  <c:v>0.21</c:v>
                </c:pt>
                <c:pt idx="91">
                  <c:v>0.22700000000000001</c:v>
                </c:pt>
                <c:pt idx="92">
                  <c:v>0.24299999999999999</c:v>
                </c:pt>
                <c:pt idx="93">
                  <c:v>0.23799999999999999</c:v>
                </c:pt>
                <c:pt idx="94">
                  <c:v>0.22700000000000001</c:v>
                </c:pt>
                <c:pt idx="95">
                  <c:v>0.216</c:v>
                </c:pt>
                <c:pt idx="96">
                  <c:v>0.188</c:v>
                </c:pt>
                <c:pt idx="97">
                  <c:v>0.161</c:v>
                </c:pt>
                <c:pt idx="98">
                  <c:v>0.114</c:v>
                </c:pt>
                <c:pt idx="99">
                  <c:v>6.9000000000000006E-2</c:v>
                </c:pt>
                <c:pt idx="100">
                  <c:v>4.2000000000000003E-2</c:v>
                </c:pt>
                <c:pt idx="101">
                  <c:v>3.4000000000000002E-2</c:v>
                </c:pt>
                <c:pt idx="102">
                  <c:v>4.0000000000000001E-3</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35.414000000000001</c:v>
                </c:pt>
                <c:pt idx="133">
                  <c:v>72.665000000000006</c:v>
                </c:pt>
                <c:pt idx="134">
                  <c:v>64.084999999999994</c:v>
                </c:pt>
                <c:pt idx="135">
                  <c:v>35.430999999999997</c:v>
                </c:pt>
                <c:pt idx="136">
                  <c:v>48.892000000000003</c:v>
                </c:pt>
                <c:pt idx="137">
                  <c:v>112.73099999999999</c:v>
                </c:pt>
                <c:pt idx="138">
                  <c:v>106.95099999999999</c:v>
                </c:pt>
                <c:pt idx="139">
                  <c:v>82.063000000000002</c:v>
                </c:pt>
                <c:pt idx="140">
                  <c:v>66.063999999999993</c:v>
                </c:pt>
                <c:pt idx="141">
                  <c:v>54.338000000000001</c:v>
                </c:pt>
                <c:pt idx="142">
                  <c:v>45.228000000000002</c:v>
                </c:pt>
                <c:pt idx="143">
                  <c:v>38.4</c:v>
                </c:pt>
                <c:pt idx="144">
                  <c:v>19.239999999999998</c:v>
                </c:pt>
                <c:pt idx="145">
                  <c:v>2.8940000000000001</c:v>
                </c:pt>
                <c:pt idx="146">
                  <c:v>1.5469999999999999</c:v>
                </c:pt>
                <c:pt idx="147">
                  <c:v>1.1659999999999999</c:v>
                </c:pt>
                <c:pt idx="148">
                  <c:v>0.98</c:v>
                </c:pt>
                <c:pt idx="149">
                  <c:v>0.81100000000000005</c:v>
                </c:pt>
                <c:pt idx="150">
                  <c:v>0.64700000000000002</c:v>
                </c:pt>
                <c:pt idx="151">
                  <c:v>0.51400000000000001</c:v>
                </c:pt>
                <c:pt idx="152">
                  <c:v>0.38500000000000001</c:v>
                </c:pt>
                <c:pt idx="153">
                  <c:v>0.27900000000000003</c:v>
                </c:pt>
                <c:pt idx="154">
                  <c:v>0.18099999999999999</c:v>
                </c:pt>
                <c:pt idx="155">
                  <c:v>0.105</c:v>
                </c:pt>
                <c:pt idx="156">
                  <c:v>4.8000000000000001E-2</c:v>
                </c:pt>
                <c:pt idx="157">
                  <c:v>1.9E-2</c:v>
                </c:pt>
                <c:pt idx="158">
                  <c:v>1E-3</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4.1100000000000003</c:v>
                </c:pt>
                <c:pt idx="177">
                  <c:v>16.620999999999999</c:v>
                </c:pt>
                <c:pt idx="178">
                  <c:v>30.954000000000001</c:v>
                </c:pt>
                <c:pt idx="179">
                  <c:v>76.355999999999995</c:v>
                </c:pt>
                <c:pt idx="180">
                  <c:v>163.04400000000001</c:v>
                </c:pt>
                <c:pt idx="181">
                  <c:v>205.25899999999999</c:v>
                </c:pt>
                <c:pt idx="182">
                  <c:v>161.828</c:v>
                </c:pt>
                <c:pt idx="183">
                  <c:v>126.247</c:v>
                </c:pt>
                <c:pt idx="184">
                  <c:v>110.93</c:v>
                </c:pt>
                <c:pt idx="185">
                  <c:v>102.718</c:v>
                </c:pt>
                <c:pt idx="186">
                  <c:v>94.564999999999998</c:v>
                </c:pt>
                <c:pt idx="187">
                  <c:v>99.802000000000007</c:v>
                </c:pt>
                <c:pt idx="188">
                  <c:v>106.559</c:v>
                </c:pt>
                <c:pt idx="189">
                  <c:v>127.601</c:v>
                </c:pt>
                <c:pt idx="190">
                  <c:v>134.142</c:v>
                </c:pt>
                <c:pt idx="191">
                  <c:v>107.575</c:v>
                </c:pt>
                <c:pt idx="192">
                  <c:v>84.546000000000006</c:v>
                </c:pt>
                <c:pt idx="193">
                  <c:v>78.02</c:v>
                </c:pt>
                <c:pt idx="194">
                  <c:v>70.852000000000004</c:v>
                </c:pt>
                <c:pt idx="195">
                  <c:v>63.668999999999997</c:v>
                </c:pt>
                <c:pt idx="196">
                  <c:v>52.968000000000004</c:v>
                </c:pt>
                <c:pt idx="197">
                  <c:v>26.295999999999999</c:v>
                </c:pt>
                <c:pt idx="198">
                  <c:v>16.515000000000001</c:v>
                </c:pt>
                <c:pt idx="199">
                  <c:v>13.016</c:v>
                </c:pt>
                <c:pt idx="200">
                  <c:v>10.444000000000001</c:v>
                </c:pt>
                <c:pt idx="201">
                  <c:v>7.758</c:v>
                </c:pt>
                <c:pt idx="202">
                  <c:v>5.827</c:v>
                </c:pt>
                <c:pt idx="203">
                  <c:v>4.6520000000000001</c:v>
                </c:pt>
                <c:pt idx="204">
                  <c:v>3.9049999999999998</c:v>
                </c:pt>
                <c:pt idx="205">
                  <c:v>3.3439999999999999</c:v>
                </c:pt>
                <c:pt idx="206">
                  <c:v>3.944</c:v>
                </c:pt>
                <c:pt idx="207">
                  <c:v>25.93</c:v>
                </c:pt>
                <c:pt idx="208">
                  <c:v>66.64</c:v>
                </c:pt>
                <c:pt idx="209">
                  <c:v>90.296000000000006</c:v>
                </c:pt>
                <c:pt idx="210">
                  <c:v>124.24</c:v>
                </c:pt>
                <c:pt idx="211">
                  <c:v>151.523</c:v>
                </c:pt>
                <c:pt idx="212">
                  <c:v>157.71199999999999</c:v>
                </c:pt>
                <c:pt idx="213">
                  <c:v>150.244</c:v>
                </c:pt>
                <c:pt idx="214">
                  <c:v>122.38200000000001</c:v>
                </c:pt>
                <c:pt idx="215">
                  <c:v>113.49</c:v>
                </c:pt>
                <c:pt idx="216">
                  <c:v>116.24299999999999</c:v>
                </c:pt>
                <c:pt idx="217">
                  <c:v>102.438</c:v>
                </c:pt>
                <c:pt idx="218">
                  <c:v>88.927000000000007</c:v>
                </c:pt>
                <c:pt idx="219">
                  <c:v>82.756</c:v>
                </c:pt>
                <c:pt idx="220">
                  <c:v>46.942999999999998</c:v>
                </c:pt>
                <c:pt idx="221">
                  <c:v>11.651</c:v>
                </c:pt>
                <c:pt idx="222">
                  <c:v>7.7770000000000001</c:v>
                </c:pt>
                <c:pt idx="223">
                  <c:v>5.3529999999999998</c:v>
                </c:pt>
                <c:pt idx="224">
                  <c:v>4.0730000000000004</c:v>
                </c:pt>
                <c:pt idx="225">
                  <c:v>3.327</c:v>
                </c:pt>
                <c:pt idx="226">
                  <c:v>2.8820000000000001</c:v>
                </c:pt>
                <c:pt idx="227">
                  <c:v>2.5219999999999998</c:v>
                </c:pt>
                <c:pt idx="228">
                  <c:v>2.181</c:v>
                </c:pt>
                <c:pt idx="229">
                  <c:v>1.8839999999999999</c:v>
                </c:pt>
                <c:pt idx="230">
                  <c:v>1.6419999999999999</c:v>
                </c:pt>
                <c:pt idx="231">
                  <c:v>1.3620000000000001</c:v>
                </c:pt>
                <c:pt idx="232">
                  <c:v>1.173</c:v>
                </c:pt>
                <c:pt idx="233">
                  <c:v>0.998</c:v>
                </c:pt>
                <c:pt idx="234">
                  <c:v>0.86699999999999999</c:v>
                </c:pt>
                <c:pt idx="235">
                  <c:v>0.80100000000000005</c:v>
                </c:pt>
                <c:pt idx="236">
                  <c:v>0.86899999999999999</c:v>
                </c:pt>
                <c:pt idx="237">
                  <c:v>1.022</c:v>
                </c:pt>
                <c:pt idx="238">
                  <c:v>1.1339999999999999</c:v>
                </c:pt>
                <c:pt idx="239">
                  <c:v>1.1850000000000001</c:v>
                </c:pt>
                <c:pt idx="240">
                  <c:v>1.1759999999999999</c:v>
                </c:pt>
                <c:pt idx="241">
                  <c:v>1.111</c:v>
                </c:pt>
                <c:pt idx="242">
                  <c:v>1.022</c:v>
                </c:pt>
                <c:pt idx="243">
                  <c:v>0.90100000000000002</c:v>
                </c:pt>
                <c:pt idx="244">
                  <c:v>0.749</c:v>
                </c:pt>
                <c:pt idx="245">
                  <c:v>0.621</c:v>
                </c:pt>
                <c:pt idx="246">
                  <c:v>0.51800000000000002</c:v>
                </c:pt>
                <c:pt idx="247">
                  <c:v>0.43</c:v>
                </c:pt>
                <c:pt idx="248">
                  <c:v>0.33500000000000002</c:v>
                </c:pt>
                <c:pt idx="249">
                  <c:v>0.23</c:v>
                </c:pt>
                <c:pt idx="250">
                  <c:v>0.13</c:v>
                </c:pt>
                <c:pt idx="251">
                  <c:v>4.8000000000000001E-2</c:v>
                </c:pt>
                <c:pt idx="252">
                  <c:v>1.4E-2</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0.28599999999999998</c:v>
                </c:pt>
                <c:pt idx="314">
                  <c:v>0.85699999999999998</c:v>
                </c:pt>
                <c:pt idx="315">
                  <c:v>0.74399999999999999</c:v>
                </c:pt>
                <c:pt idx="316">
                  <c:v>0.68500000000000005</c:v>
                </c:pt>
                <c:pt idx="317">
                  <c:v>0.70199999999999996</c:v>
                </c:pt>
                <c:pt idx="318">
                  <c:v>0.74299999999999999</c:v>
                </c:pt>
                <c:pt idx="319">
                  <c:v>1.0389999999999999</c:v>
                </c:pt>
                <c:pt idx="320">
                  <c:v>1.236</c:v>
                </c:pt>
                <c:pt idx="321">
                  <c:v>1.1479999999999999</c:v>
                </c:pt>
                <c:pt idx="322">
                  <c:v>1.03</c:v>
                </c:pt>
                <c:pt idx="323">
                  <c:v>0.97</c:v>
                </c:pt>
                <c:pt idx="324">
                  <c:v>0.98799999999999999</c:v>
                </c:pt>
                <c:pt idx="325">
                  <c:v>1.103</c:v>
                </c:pt>
                <c:pt idx="326">
                  <c:v>1.19</c:v>
                </c:pt>
                <c:pt idx="327">
                  <c:v>1.167</c:v>
                </c:pt>
                <c:pt idx="328">
                  <c:v>1.129</c:v>
                </c:pt>
                <c:pt idx="329">
                  <c:v>1.1200000000000001</c:v>
                </c:pt>
                <c:pt idx="330">
                  <c:v>1.1200000000000001</c:v>
                </c:pt>
                <c:pt idx="331">
                  <c:v>1.228</c:v>
                </c:pt>
                <c:pt idx="332">
                  <c:v>1.232</c:v>
                </c:pt>
                <c:pt idx="333">
                  <c:v>1.23</c:v>
                </c:pt>
                <c:pt idx="334">
                  <c:v>1.1839999999999999</c:v>
                </c:pt>
                <c:pt idx="335">
                  <c:v>1.117</c:v>
                </c:pt>
                <c:pt idx="336">
                  <c:v>1.0129999999999999</c:v>
                </c:pt>
                <c:pt idx="337">
                  <c:v>0.94399999999999995</c:v>
                </c:pt>
                <c:pt idx="338">
                  <c:v>0.94499999999999995</c:v>
                </c:pt>
                <c:pt idx="339">
                  <c:v>0.92400000000000004</c:v>
                </c:pt>
                <c:pt idx="340">
                  <c:v>1.089</c:v>
                </c:pt>
                <c:pt idx="341">
                  <c:v>0.68</c:v>
                </c:pt>
                <c:pt idx="342">
                  <c:v>0.55300000000000005</c:v>
                </c:pt>
                <c:pt idx="343">
                  <c:v>0.47699999999999998</c:v>
                </c:pt>
                <c:pt idx="344">
                  <c:v>0.41499999999999998</c:v>
                </c:pt>
                <c:pt idx="345">
                  <c:v>0.38500000000000001</c:v>
                </c:pt>
                <c:pt idx="346">
                  <c:v>0.34699999999999998</c:v>
                </c:pt>
                <c:pt idx="347">
                  <c:v>0.30099999999999999</c:v>
                </c:pt>
                <c:pt idx="348">
                  <c:v>0.27100000000000002</c:v>
                </c:pt>
                <c:pt idx="349">
                  <c:v>0.252</c:v>
                </c:pt>
                <c:pt idx="350">
                  <c:v>0.23200000000000001</c:v>
                </c:pt>
                <c:pt idx="351">
                  <c:v>0.20499999999999999</c:v>
                </c:pt>
                <c:pt idx="352">
                  <c:v>0.17699999999999999</c:v>
                </c:pt>
                <c:pt idx="353">
                  <c:v>0.153</c:v>
                </c:pt>
                <c:pt idx="354">
                  <c:v>0.124</c:v>
                </c:pt>
                <c:pt idx="355">
                  <c:v>0.20799999999999999</c:v>
                </c:pt>
                <c:pt idx="356">
                  <c:v>0.252</c:v>
                </c:pt>
                <c:pt idx="357">
                  <c:v>0.221</c:v>
                </c:pt>
                <c:pt idx="358">
                  <c:v>0.20599999999999999</c:v>
                </c:pt>
                <c:pt idx="359">
                  <c:v>0.16600000000000001</c:v>
                </c:pt>
                <c:pt idx="360">
                  <c:v>0.14599999999999999</c:v>
                </c:pt>
                <c:pt idx="361">
                  <c:v>0.109</c:v>
                </c:pt>
                <c:pt idx="362">
                  <c:v>7.8E-2</c:v>
                </c:pt>
                <c:pt idx="363">
                  <c:v>0.06</c:v>
                </c:pt>
                <c:pt idx="364">
                  <c:v>4.4999999999999998E-2</c:v>
                </c:pt>
              </c:numCache>
            </c:numRef>
          </c:val>
          <c:smooth val="0"/>
        </c:ser>
        <c:ser>
          <c:idx val="2"/>
          <c:order val="1"/>
          <c:tx>
            <c:strRef>
              <c:f>Mallowa!$I$2</c:f>
              <c:strCache>
                <c:ptCount val="1"/>
                <c:pt idx="0">
                  <c:v>Environmental water</c:v>
                </c:pt>
              </c:strCache>
            </c:strRef>
          </c:tx>
          <c:spPr>
            <a:ln w="57152">
              <a:solidFill>
                <a:srgbClr val="00B050"/>
              </a:solidFill>
            </a:ln>
          </c:spPr>
          <c:marker>
            <c:symbol val="none"/>
          </c:marker>
          <c:cat>
            <c:numRef>
              <c:f>Mallowa!$A$5:$A$369</c:f>
              <c:numCache>
                <c:formatCode>m/d/yyyy</c:formatCode>
                <c:ptCount val="365"/>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numCache>
            </c:numRef>
          </c:cat>
          <c:val>
            <c:numRef>
              <c:f>Mallowa!$I$5:$I$256</c:f>
              <c:numCache>
                <c:formatCode>General</c:formatCode>
                <c:ptCount val="252"/>
                <c:pt idx="132">
                  <c:v>250</c:v>
                </c:pt>
                <c:pt idx="133">
                  <c:v>250</c:v>
                </c:pt>
                <c:pt idx="134">
                  <c:v>250</c:v>
                </c:pt>
                <c:pt idx="135">
                  <c:v>250</c:v>
                </c:pt>
                <c:pt idx="136">
                  <c:v>250</c:v>
                </c:pt>
                <c:pt idx="137">
                  <c:v>250</c:v>
                </c:pt>
                <c:pt idx="177">
                  <c:v>250</c:v>
                </c:pt>
                <c:pt idx="178">
                  <c:v>250</c:v>
                </c:pt>
                <c:pt idx="179">
                  <c:v>250</c:v>
                </c:pt>
                <c:pt idx="180">
                  <c:v>250</c:v>
                </c:pt>
                <c:pt idx="181">
                  <c:v>250</c:v>
                </c:pt>
                <c:pt idx="182">
                  <c:v>250</c:v>
                </c:pt>
                <c:pt idx="183">
                  <c:v>250</c:v>
                </c:pt>
                <c:pt idx="184">
                  <c:v>250</c:v>
                </c:pt>
                <c:pt idx="185">
                  <c:v>250</c:v>
                </c:pt>
                <c:pt idx="186">
                  <c:v>250</c:v>
                </c:pt>
                <c:pt idx="187">
                  <c:v>250</c:v>
                </c:pt>
                <c:pt idx="188">
                  <c:v>250</c:v>
                </c:pt>
                <c:pt idx="189">
                  <c:v>250</c:v>
                </c:pt>
                <c:pt idx="190">
                  <c:v>250</c:v>
                </c:pt>
                <c:pt idx="191">
                  <c:v>250</c:v>
                </c:pt>
                <c:pt idx="192">
                  <c:v>250</c:v>
                </c:pt>
                <c:pt idx="193">
                  <c:v>250</c:v>
                </c:pt>
                <c:pt idx="207">
                  <c:v>250</c:v>
                </c:pt>
                <c:pt idx="208">
                  <c:v>250</c:v>
                </c:pt>
                <c:pt idx="209">
                  <c:v>250</c:v>
                </c:pt>
                <c:pt idx="210">
                  <c:v>250</c:v>
                </c:pt>
                <c:pt idx="211">
                  <c:v>250</c:v>
                </c:pt>
                <c:pt idx="212">
                  <c:v>250</c:v>
                </c:pt>
                <c:pt idx="213">
                  <c:v>250</c:v>
                </c:pt>
                <c:pt idx="214">
                  <c:v>250</c:v>
                </c:pt>
                <c:pt idx="215">
                  <c:v>250</c:v>
                </c:pt>
                <c:pt idx="216">
                  <c:v>250</c:v>
                </c:pt>
                <c:pt idx="217">
                  <c:v>250</c:v>
                </c:pt>
                <c:pt idx="218">
                  <c:v>250</c:v>
                </c:pt>
                <c:pt idx="219">
                  <c:v>250</c:v>
                </c:pt>
              </c:numCache>
            </c:numRef>
          </c:val>
          <c:smooth val="0"/>
        </c:ser>
        <c:ser>
          <c:idx val="1"/>
          <c:order val="2"/>
          <c:tx>
            <c:v>Wet Days</c:v>
          </c:tx>
          <c:spPr>
            <a:ln w="57152">
              <a:solidFill>
                <a:schemeClr val="tx1"/>
              </a:solidFill>
              <a:prstDash val="solid"/>
            </a:ln>
          </c:spPr>
          <c:marker>
            <c:symbol val="none"/>
          </c:marker>
          <c:val>
            <c:numRef>
              <c:f>Mallowa!$J$5:$J$370</c:f>
              <c:numCache>
                <c:formatCode>General</c:formatCode>
                <c:ptCount val="366"/>
                <c:pt idx="132" formatCode="0">
                  <c:v>275</c:v>
                </c:pt>
                <c:pt idx="133" formatCode="0">
                  <c:v>275</c:v>
                </c:pt>
                <c:pt idx="134" formatCode="0">
                  <c:v>275</c:v>
                </c:pt>
                <c:pt idx="135" formatCode="0">
                  <c:v>275</c:v>
                </c:pt>
                <c:pt idx="136" formatCode="0">
                  <c:v>275</c:v>
                </c:pt>
                <c:pt idx="137" formatCode="0">
                  <c:v>275</c:v>
                </c:pt>
                <c:pt idx="138" formatCode="0">
                  <c:v>275</c:v>
                </c:pt>
                <c:pt idx="139" formatCode="0">
                  <c:v>275</c:v>
                </c:pt>
                <c:pt idx="140" formatCode="0">
                  <c:v>275</c:v>
                </c:pt>
                <c:pt idx="141" formatCode="0">
                  <c:v>275</c:v>
                </c:pt>
                <c:pt idx="142" formatCode="0">
                  <c:v>275</c:v>
                </c:pt>
                <c:pt idx="143" formatCode="0">
                  <c:v>275</c:v>
                </c:pt>
                <c:pt idx="144" formatCode="0">
                  <c:v>275</c:v>
                </c:pt>
                <c:pt idx="177" formatCode="0">
                  <c:v>275</c:v>
                </c:pt>
                <c:pt idx="178" formatCode="0">
                  <c:v>275</c:v>
                </c:pt>
                <c:pt idx="179" formatCode="0">
                  <c:v>275</c:v>
                </c:pt>
                <c:pt idx="180" formatCode="0">
                  <c:v>275</c:v>
                </c:pt>
                <c:pt idx="181" formatCode="0">
                  <c:v>275</c:v>
                </c:pt>
                <c:pt idx="182" formatCode="0">
                  <c:v>275</c:v>
                </c:pt>
                <c:pt idx="183" formatCode="0">
                  <c:v>275</c:v>
                </c:pt>
                <c:pt idx="184" formatCode="0">
                  <c:v>275</c:v>
                </c:pt>
                <c:pt idx="185" formatCode="0">
                  <c:v>275</c:v>
                </c:pt>
                <c:pt idx="186" formatCode="0">
                  <c:v>275</c:v>
                </c:pt>
                <c:pt idx="187" formatCode="0">
                  <c:v>275</c:v>
                </c:pt>
                <c:pt idx="188" formatCode="0">
                  <c:v>275</c:v>
                </c:pt>
                <c:pt idx="189" formatCode="0">
                  <c:v>275</c:v>
                </c:pt>
                <c:pt idx="190" formatCode="0">
                  <c:v>275</c:v>
                </c:pt>
                <c:pt idx="191" formatCode="0">
                  <c:v>275</c:v>
                </c:pt>
                <c:pt idx="192" formatCode="0">
                  <c:v>275</c:v>
                </c:pt>
                <c:pt idx="193" formatCode="0">
                  <c:v>275</c:v>
                </c:pt>
                <c:pt idx="194" formatCode="0">
                  <c:v>275</c:v>
                </c:pt>
                <c:pt idx="195" formatCode="0">
                  <c:v>275</c:v>
                </c:pt>
                <c:pt idx="196" formatCode="0">
                  <c:v>275</c:v>
                </c:pt>
                <c:pt idx="197" formatCode="0">
                  <c:v>275</c:v>
                </c:pt>
                <c:pt idx="198" formatCode="0">
                  <c:v>275</c:v>
                </c:pt>
                <c:pt idx="199" formatCode="0">
                  <c:v>275</c:v>
                </c:pt>
                <c:pt idx="200" formatCode="0">
                  <c:v>275</c:v>
                </c:pt>
                <c:pt idx="201" formatCode="0">
                  <c:v>275</c:v>
                </c:pt>
                <c:pt idx="202" formatCode="0">
                  <c:v>275</c:v>
                </c:pt>
                <c:pt idx="207" formatCode="0">
                  <c:v>275</c:v>
                </c:pt>
                <c:pt idx="208" formatCode="0">
                  <c:v>275</c:v>
                </c:pt>
                <c:pt idx="209" formatCode="0">
                  <c:v>275</c:v>
                </c:pt>
                <c:pt idx="210" formatCode="0">
                  <c:v>275</c:v>
                </c:pt>
                <c:pt idx="211" formatCode="0">
                  <c:v>275</c:v>
                </c:pt>
                <c:pt idx="212" formatCode="0">
                  <c:v>275</c:v>
                </c:pt>
                <c:pt idx="213" formatCode="0">
                  <c:v>275</c:v>
                </c:pt>
                <c:pt idx="214" formatCode="0">
                  <c:v>275</c:v>
                </c:pt>
                <c:pt idx="215" formatCode="0">
                  <c:v>275</c:v>
                </c:pt>
                <c:pt idx="216" formatCode="0">
                  <c:v>275</c:v>
                </c:pt>
                <c:pt idx="217" formatCode="0">
                  <c:v>275</c:v>
                </c:pt>
                <c:pt idx="218" formatCode="0">
                  <c:v>275</c:v>
                </c:pt>
                <c:pt idx="219" formatCode="0">
                  <c:v>275</c:v>
                </c:pt>
                <c:pt idx="220" formatCode="0">
                  <c:v>275</c:v>
                </c:pt>
                <c:pt idx="221" formatCode="0">
                  <c:v>275</c:v>
                </c:pt>
                <c:pt idx="222" formatCode="0">
                  <c:v>275</c:v>
                </c:pt>
                <c:pt idx="223" formatCode="0">
                  <c:v>275</c:v>
                </c:pt>
              </c:numCache>
            </c:numRef>
          </c:val>
          <c:smooth val="0"/>
        </c:ser>
        <c:dLbls>
          <c:showLegendKey val="0"/>
          <c:showVal val="0"/>
          <c:showCatName val="0"/>
          <c:showSerName val="0"/>
          <c:showPercent val="0"/>
          <c:showBubbleSize val="0"/>
        </c:dLbls>
        <c:smooth val="0"/>
        <c:axId val="697688472"/>
        <c:axId val="697688864"/>
      </c:lineChart>
      <c:dateAx>
        <c:axId val="697688472"/>
        <c:scaling>
          <c:orientation val="minMax"/>
        </c:scaling>
        <c:delete val="0"/>
        <c:axPos val="b"/>
        <c:numFmt formatCode="m/d/yyyy" sourceLinked="0"/>
        <c:majorTickMark val="out"/>
        <c:minorTickMark val="none"/>
        <c:tickLblPos val="nextTo"/>
        <c:crossAx val="697688864"/>
        <c:crosses val="autoZero"/>
        <c:auto val="1"/>
        <c:lblOffset val="100"/>
        <c:baseTimeUnit val="days"/>
      </c:dateAx>
      <c:valAx>
        <c:axId val="697688864"/>
        <c:scaling>
          <c:orientation val="minMax"/>
        </c:scaling>
        <c:delete val="0"/>
        <c:axPos val="l"/>
        <c:title>
          <c:tx>
            <c:rich>
              <a:bodyPr/>
              <a:lstStyle/>
              <a:p>
                <a:pPr>
                  <a:defRPr sz="900" b="0" i="0" u="none" strike="noStrike" baseline="0">
                    <a:solidFill>
                      <a:srgbClr val="000000"/>
                    </a:solidFill>
                    <a:latin typeface="Arial"/>
                    <a:ea typeface="Arial"/>
                    <a:cs typeface="Arial"/>
                  </a:defRPr>
                </a:pPr>
                <a:r>
                  <a:rPr lang="en-AU"/>
                  <a:t>Flow (ML/d)</a:t>
                </a:r>
              </a:p>
            </c:rich>
          </c:tx>
          <c:layout/>
          <c:overlay val="0"/>
        </c:title>
        <c:numFmt formatCode="General" sourceLinked="0"/>
        <c:majorTickMark val="out"/>
        <c:minorTickMark val="none"/>
        <c:tickLblPos val="nextTo"/>
        <c:crossAx val="697688472"/>
        <c:crosses val="autoZero"/>
        <c:crossBetween val="between"/>
      </c:valAx>
      <c:spPr>
        <a:noFill/>
        <a:ln w="25401">
          <a:noFill/>
        </a:ln>
      </c:spPr>
    </c:plotArea>
    <c:legend>
      <c:legendPos val="r"/>
      <c:layout>
        <c:manualLayout>
          <c:xMode val="edge"/>
          <c:yMode val="edge"/>
          <c:x val="3.3992533111578877E-3"/>
          <c:y val="0.88192104305545882"/>
          <c:w val="0.99660074668884213"/>
          <c:h val="0.11807895694454118"/>
        </c:manualLayout>
      </c:layout>
      <c:overlay val="0"/>
    </c:legend>
    <c:plotVisOnly val="1"/>
    <c:dispBlanksAs val="gap"/>
    <c:showDLblsOverMax val="0"/>
  </c:chart>
  <c:spPr>
    <a:noFill/>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41871978392082"/>
          <c:y val="3.7667581628632298E-2"/>
          <c:w val="0.86248942333535761"/>
          <c:h val="0.54808781352662039"/>
        </c:manualLayout>
      </c:layout>
      <c:lineChart>
        <c:grouping val="standard"/>
        <c:varyColors val="0"/>
        <c:ser>
          <c:idx val="0"/>
          <c:order val="0"/>
          <c:tx>
            <c:strRef>
              <c:f>Inflows!$B$1</c:f>
              <c:strCache>
                <c:ptCount val="1"/>
                <c:pt idx="0">
                  <c:v>418066 - Gwydir @ Millewa</c:v>
                </c:pt>
              </c:strCache>
            </c:strRef>
          </c:tx>
          <c:spPr>
            <a:ln>
              <a:solidFill>
                <a:srgbClr val="FF0000"/>
              </a:solidFill>
              <a:prstDash val="sysDash"/>
            </a:ln>
          </c:spPr>
          <c:marker>
            <c:symbol val="none"/>
          </c:marker>
          <c:cat>
            <c:numRef>
              <c:f>Inflows!$A$5:$A$370</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Inflows!$B$5:$B$370</c:f>
              <c:numCache>
                <c:formatCode>General</c:formatCode>
                <c:ptCount val="366"/>
                <c:pt idx="0">
                  <c:v>177.393</c:v>
                </c:pt>
                <c:pt idx="1">
                  <c:v>147.119</c:v>
                </c:pt>
                <c:pt idx="2">
                  <c:v>129.99600000000001</c:v>
                </c:pt>
                <c:pt idx="3">
                  <c:v>108.995</c:v>
                </c:pt>
                <c:pt idx="4">
                  <c:v>102.56100000000001</c:v>
                </c:pt>
                <c:pt idx="5">
                  <c:v>93.475999999999999</c:v>
                </c:pt>
                <c:pt idx="6">
                  <c:v>87.587999999999994</c:v>
                </c:pt>
                <c:pt idx="7">
                  <c:v>73.546000000000006</c:v>
                </c:pt>
                <c:pt idx="8">
                  <c:v>65.408000000000001</c:v>
                </c:pt>
                <c:pt idx="9">
                  <c:v>64.486999999999995</c:v>
                </c:pt>
                <c:pt idx="10">
                  <c:v>64.442999999999998</c:v>
                </c:pt>
                <c:pt idx="11">
                  <c:v>65.623999999999995</c:v>
                </c:pt>
                <c:pt idx="12">
                  <c:v>64.805999999999997</c:v>
                </c:pt>
                <c:pt idx="13">
                  <c:v>64.045000000000002</c:v>
                </c:pt>
                <c:pt idx="14">
                  <c:v>63.41</c:v>
                </c:pt>
                <c:pt idx="15">
                  <c:v>62.156999999999996</c:v>
                </c:pt>
                <c:pt idx="16">
                  <c:v>62.036000000000001</c:v>
                </c:pt>
                <c:pt idx="17">
                  <c:v>61.795000000000002</c:v>
                </c:pt>
                <c:pt idx="18">
                  <c:v>61.476999999999997</c:v>
                </c:pt>
                <c:pt idx="19">
                  <c:v>61.741999999999997</c:v>
                </c:pt>
                <c:pt idx="20">
                  <c:v>62.131999999999998</c:v>
                </c:pt>
                <c:pt idx="21">
                  <c:v>105.914</c:v>
                </c:pt>
                <c:pt idx="22">
                  <c:v>178.01</c:v>
                </c:pt>
                <c:pt idx="23">
                  <c:v>72.900999999999996</c:v>
                </c:pt>
                <c:pt idx="24">
                  <c:v>43.54</c:v>
                </c:pt>
                <c:pt idx="25">
                  <c:v>24.361999999999998</c:v>
                </c:pt>
                <c:pt idx="26">
                  <c:v>80.031999999999996</c:v>
                </c:pt>
                <c:pt idx="27">
                  <c:v>299.02100000000002</c:v>
                </c:pt>
                <c:pt idx="28">
                  <c:v>203.935</c:v>
                </c:pt>
                <c:pt idx="29">
                  <c:v>378.30399999999997</c:v>
                </c:pt>
                <c:pt idx="30">
                  <c:v>406.35700000000003</c:v>
                </c:pt>
                <c:pt idx="31">
                  <c:v>345.959</c:v>
                </c:pt>
                <c:pt idx="32">
                  <c:v>315.62599999999998</c:v>
                </c:pt>
                <c:pt idx="33">
                  <c:v>302.30700000000002</c:v>
                </c:pt>
                <c:pt idx="34">
                  <c:v>254.91300000000001</c:v>
                </c:pt>
                <c:pt idx="35">
                  <c:v>205.64699999999999</c:v>
                </c:pt>
                <c:pt idx="36">
                  <c:v>155.91</c:v>
                </c:pt>
                <c:pt idx="37">
                  <c:v>116.295</c:v>
                </c:pt>
                <c:pt idx="38">
                  <c:v>105.051</c:v>
                </c:pt>
                <c:pt idx="39">
                  <c:v>88.453999999999994</c:v>
                </c:pt>
                <c:pt idx="40">
                  <c:v>72.283000000000001</c:v>
                </c:pt>
                <c:pt idx="41">
                  <c:v>67.087999999999994</c:v>
                </c:pt>
                <c:pt idx="42">
                  <c:v>66.147999999999996</c:v>
                </c:pt>
                <c:pt idx="43">
                  <c:v>64.938000000000002</c:v>
                </c:pt>
                <c:pt idx="44">
                  <c:v>63.698999999999998</c:v>
                </c:pt>
                <c:pt idx="45">
                  <c:v>63.360999999999997</c:v>
                </c:pt>
                <c:pt idx="46">
                  <c:v>63.927</c:v>
                </c:pt>
                <c:pt idx="47">
                  <c:v>64.222999999999999</c:v>
                </c:pt>
                <c:pt idx="48">
                  <c:v>64.498999999999995</c:v>
                </c:pt>
                <c:pt idx="49">
                  <c:v>63.628</c:v>
                </c:pt>
                <c:pt idx="50">
                  <c:v>57.588000000000001</c:v>
                </c:pt>
                <c:pt idx="51">
                  <c:v>52.381999999999998</c:v>
                </c:pt>
                <c:pt idx="52">
                  <c:v>51.182000000000002</c:v>
                </c:pt>
                <c:pt idx="53">
                  <c:v>50.045999999999999</c:v>
                </c:pt>
                <c:pt idx="54">
                  <c:v>42.819000000000003</c:v>
                </c:pt>
                <c:pt idx="55">
                  <c:v>35.36</c:v>
                </c:pt>
                <c:pt idx="56">
                  <c:v>32.658000000000001</c:v>
                </c:pt>
                <c:pt idx="57">
                  <c:v>35.307000000000002</c:v>
                </c:pt>
                <c:pt idx="58">
                  <c:v>97.998000000000005</c:v>
                </c:pt>
                <c:pt idx="59">
                  <c:v>71.596000000000004</c:v>
                </c:pt>
                <c:pt idx="60">
                  <c:v>392.98099999999999</c:v>
                </c:pt>
                <c:pt idx="61">
                  <c:v>424.49299999999999</c:v>
                </c:pt>
                <c:pt idx="62">
                  <c:v>418.19</c:v>
                </c:pt>
                <c:pt idx="63">
                  <c:v>397.17</c:v>
                </c:pt>
                <c:pt idx="64">
                  <c:v>346.40899999999999</c:v>
                </c:pt>
                <c:pt idx="65">
                  <c:v>265.01499999999999</c:v>
                </c:pt>
                <c:pt idx="66">
                  <c:v>241.267</c:v>
                </c:pt>
                <c:pt idx="67">
                  <c:v>203.99799999999999</c:v>
                </c:pt>
                <c:pt idx="68">
                  <c:v>200.30799999999999</c:v>
                </c:pt>
                <c:pt idx="69">
                  <c:v>200.21899999999999</c:v>
                </c:pt>
                <c:pt idx="70">
                  <c:v>197.12899999999999</c:v>
                </c:pt>
                <c:pt idx="71">
                  <c:v>172.69300000000001</c:v>
                </c:pt>
                <c:pt idx="72">
                  <c:v>159.72399999999999</c:v>
                </c:pt>
                <c:pt idx="73">
                  <c:v>159.44800000000001</c:v>
                </c:pt>
                <c:pt idx="74">
                  <c:v>157.80000000000001</c:v>
                </c:pt>
                <c:pt idx="75">
                  <c:v>135.87100000000001</c:v>
                </c:pt>
                <c:pt idx="76">
                  <c:v>104.111</c:v>
                </c:pt>
                <c:pt idx="77">
                  <c:v>109.447</c:v>
                </c:pt>
                <c:pt idx="78">
                  <c:v>86.320999999999998</c:v>
                </c:pt>
                <c:pt idx="79">
                  <c:v>75.441000000000003</c:v>
                </c:pt>
                <c:pt idx="80">
                  <c:v>74.41</c:v>
                </c:pt>
                <c:pt idx="81">
                  <c:v>73.394000000000005</c:v>
                </c:pt>
                <c:pt idx="82">
                  <c:v>61.052</c:v>
                </c:pt>
                <c:pt idx="83">
                  <c:v>51.015000000000001</c:v>
                </c:pt>
                <c:pt idx="84">
                  <c:v>50.012</c:v>
                </c:pt>
                <c:pt idx="85">
                  <c:v>48.575000000000003</c:v>
                </c:pt>
                <c:pt idx="86">
                  <c:v>48.026000000000003</c:v>
                </c:pt>
                <c:pt idx="87">
                  <c:v>45.631999999999998</c:v>
                </c:pt>
                <c:pt idx="88">
                  <c:v>34.170999999999999</c:v>
                </c:pt>
                <c:pt idx="89">
                  <c:v>32.067</c:v>
                </c:pt>
                <c:pt idx="90">
                  <c:v>31.619</c:v>
                </c:pt>
                <c:pt idx="91">
                  <c:v>30.649000000000001</c:v>
                </c:pt>
                <c:pt idx="92">
                  <c:v>28.643999999999998</c:v>
                </c:pt>
                <c:pt idx="93">
                  <c:v>24.113</c:v>
                </c:pt>
                <c:pt idx="94">
                  <c:v>21.745999999999999</c:v>
                </c:pt>
                <c:pt idx="95">
                  <c:v>21.134</c:v>
                </c:pt>
                <c:pt idx="96">
                  <c:v>20.483000000000001</c:v>
                </c:pt>
                <c:pt idx="97">
                  <c:v>18.248000000000001</c:v>
                </c:pt>
                <c:pt idx="98">
                  <c:v>15.564</c:v>
                </c:pt>
                <c:pt idx="99">
                  <c:v>13.445</c:v>
                </c:pt>
                <c:pt idx="100">
                  <c:v>11.474</c:v>
                </c:pt>
                <c:pt idx="101">
                  <c:v>10.388</c:v>
                </c:pt>
                <c:pt idx="102">
                  <c:v>9.8490000000000002</c:v>
                </c:pt>
                <c:pt idx="103">
                  <c:v>9.7289999999999992</c:v>
                </c:pt>
                <c:pt idx="104">
                  <c:v>9.4</c:v>
                </c:pt>
                <c:pt idx="105">
                  <c:v>8.9280000000000008</c:v>
                </c:pt>
                <c:pt idx="106">
                  <c:v>8.3209999999999997</c:v>
                </c:pt>
                <c:pt idx="107">
                  <c:v>8.4179999999999993</c:v>
                </c:pt>
                <c:pt idx="108">
                  <c:v>8.0809999999999995</c:v>
                </c:pt>
                <c:pt idx="109">
                  <c:v>7.6559999999999997</c:v>
                </c:pt>
                <c:pt idx="110">
                  <c:v>6.8739999999999997</c:v>
                </c:pt>
                <c:pt idx="111">
                  <c:v>6.3209999999999997</c:v>
                </c:pt>
                <c:pt idx="112">
                  <c:v>7.14</c:v>
                </c:pt>
                <c:pt idx="113">
                  <c:v>7.3550000000000004</c:v>
                </c:pt>
                <c:pt idx="114">
                  <c:v>7.5359999999999996</c:v>
                </c:pt>
                <c:pt idx="115">
                  <c:v>7.742</c:v>
                </c:pt>
                <c:pt idx="116">
                  <c:v>7.3310000000000004</c:v>
                </c:pt>
                <c:pt idx="117">
                  <c:v>6.87</c:v>
                </c:pt>
                <c:pt idx="118">
                  <c:v>7.0890000000000004</c:v>
                </c:pt>
                <c:pt idx="119">
                  <c:v>7.6520000000000001</c:v>
                </c:pt>
                <c:pt idx="120">
                  <c:v>6.992</c:v>
                </c:pt>
                <c:pt idx="121">
                  <c:v>8.2230000000000008</c:v>
                </c:pt>
                <c:pt idx="122">
                  <c:v>8.7859999999999996</c:v>
                </c:pt>
                <c:pt idx="123">
                  <c:v>7.9509999999999996</c:v>
                </c:pt>
                <c:pt idx="124">
                  <c:v>6.5570000000000004</c:v>
                </c:pt>
                <c:pt idx="125">
                  <c:v>5.2080000000000002</c:v>
                </c:pt>
                <c:pt idx="126">
                  <c:v>4.4729999999999999</c:v>
                </c:pt>
                <c:pt idx="127">
                  <c:v>4.1050000000000004</c:v>
                </c:pt>
                <c:pt idx="128">
                  <c:v>4.5060000000000002</c:v>
                </c:pt>
                <c:pt idx="129">
                  <c:v>5.8529999999999998</c:v>
                </c:pt>
                <c:pt idx="130">
                  <c:v>30.375</c:v>
                </c:pt>
                <c:pt idx="131">
                  <c:v>404.82100000000003</c:v>
                </c:pt>
                <c:pt idx="132">
                  <c:v>331.40800000000002</c:v>
                </c:pt>
                <c:pt idx="133">
                  <c:v>233.179</c:v>
                </c:pt>
                <c:pt idx="134">
                  <c:v>253.02199999999999</c:v>
                </c:pt>
                <c:pt idx="135">
                  <c:v>288.44</c:v>
                </c:pt>
                <c:pt idx="136">
                  <c:v>155.81899999999999</c:v>
                </c:pt>
                <c:pt idx="137">
                  <c:v>141.67599999999999</c:v>
                </c:pt>
                <c:pt idx="138">
                  <c:v>123.59099999999999</c:v>
                </c:pt>
                <c:pt idx="139">
                  <c:v>78.367000000000004</c:v>
                </c:pt>
                <c:pt idx="140">
                  <c:v>58.773000000000003</c:v>
                </c:pt>
                <c:pt idx="141">
                  <c:v>56.664000000000001</c:v>
                </c:pt>
                <c:pt idx="142">
                  <c:v>49.091999999999999</c:v>
                </c:pt>
                <c:pt idx="143">
                  <c:v>23.655999999999999</c:v>
                </c:pt>
                <c:pt idx="144">
                  <c:v>115.32899999999999</c:v>
                </c:pt>
                <c:pt idx="145">
                  <c:v>114.10899999999999</c:v>
                </c:pt>
                <c:pt idx="146">
                  <c:v>74.378</c:v>
                </c:pt>
                <c:pt idx="147">
                  <c:v>51.203000000000003</c:v>
                </c:pt>
                <c:pt idx="148">
                  <c:v>35.491999999999997</c:v>
                </c:pt>
                <c:pt idx="149">
                  <c:v>21.382999999999999</c:v>
                </c:pt>
                <c:pt idx="150">
                  <c:v>16.556999999999999</c:v>
                </c:pt>
                <c:pt idx="151">
                  <c:v>11.869</c:v>
                </c:pt>
                <c:pt idx="152">
                  <c:v>6.7789999999999999</c:v>
                </c:pt>
                <c:pt idx="153">
                  <c:v>3.8359999999999999</c:v>
                </c:pt>
                <c:pt idx="154">
                  <c:v>2.177</c:v>
                </c:pt>
                <c:pt idx="155">
                  <c:v>1.5029999999999999</c:v>
                </c:pt>
                <c:pt idx="156">
                  <c:v>1.1599999999999999</c:v>
                </c:pt>
                <c:pt idx="157">
                  <c:v>0.71499999999999997</c:v>
                </c:pt>
                <c:pt idx="158">
                  <c:v>0.52600000000000002</c:v>
                </c:pt>
                <c:pt idx="159">
                  <c:v>0.42799999999999999</c:v>
                </c:pt>
                <c:pt idx="160">
                  <c:v>0.32400000000000001</c:v>
                </c:pt>
                <c:pt idx="161">
                  <c:v>0.23100000000000001</c:v>
                </c:pt>
                <c:pt idx="162">
                  <c:v>0.186</c:v>
                </c:pt>
                <c:pt idx="163">
                  <c:v>17.507000000000001</c:v>
                </c:pt>
                <c:pt idx="164">
                  <c:v>37.753999999999998</c:v>
                </c:pt>
                <c:pt idx="165">
                  <c:v>42.953000000000003</c:v>
                </c:pt>
                <c:pt idx="166">
                  <c:v>95.272999999999996</c:v>
                </c:pt>
                <c:pt idx="167">
                  <c:v>59.427</c:v>
                </c:pt>
                <c:pt idx="168">
                  <c:v>24.655999999999999</c:v>
                </c:pt>
                <c:pt idx="169">
                  <c:v>13.539</c:v>
                </c:pt>
                <c:pt idx="170">
                  <c:v>15.875999999999999</c:v>
                </c:pt>
                <c:pt idx="171">
                  <c:v>20.689</c:v>
                </c:pt>
                <c:pt idx="172">
                  <c:v>15.087999999999999</c:v>
                </c:pt>
                <c:pt idx="173">
                  <c:v>15.484999999999999</c:v>
                </c:pt>
                <c:pt idx="174">
                  <c:v>31.27</c:v>
                </c:pt>
                <c:pt idx="175">
                  <c:v>12.052</c:v>
                </c:pt>
                <c:pt idx="176">
                  <c:v>9.9329999999999998</c:v>
                </c:pt>
                <c:pt idx="177">
                  <c:v>13.691000000000001</c:v>
                </c:pt>
                <c:pt idx="178">
                  <c:v>29.48</c:v>
                </c:pt>
                <c:pt idx="179">
                  <c:v>16.478000000000002</c:v>
                </c:pt>
                <c:pt idx="180">
                  <c:v>6.34</c:v>
                </c:pt>
                <c:pt idx="181">
                  <c:v>2.5339999999999998</c:v>
                </c:pt>
                <c:pt idx="182">
                  <c:v>1.0249999999999999</c:v>
                </c:pt>
                <c:pt idx="183">
                  <c:v>0.53800000000000003</c:v>
                </c:pt>
                <c:pt idx="184">
                  <c:v>1.2549999999999999</c:v>
                </c:pt>
                <c:pt idx="185">
                  <c:v>65.587000000000003</c:v>
                </c:pt>
                <c:pt idx="186">
                  <c:v>46.31</c:v>
                </c:pt>
                <c:pt idx="187">
                  <c:v>20.654</c:v>
                </c:pt>
                <c:pt idx="188">
                  <c:v>56.499000000000002</c:v>
                </c:pt>
                <c:pt idx="189">
                  <c:v>37.298000000000002</c:v>
                </c:pt>
                <c:pt idx="190">
                  <c:v>37.220999999999997</c:v>
                </c:pt>
                <c:pt idx="191">
                  <c:v>83.888000000000005</c:v>
                </c:pt>
                <c:pt idx="192">
                  <c:v>7.0270000000000001</c:v>
                </c:pt>
                <c:pt idx="193">
                  <c:v>18.556999999999999</c:v>
                </c:pt>
                <c:pt idx="194">
                  <c:v>148.43199999999999</c:v>
                </c:pt>
                <c:pt idx="195">
                  <c:v>208.81100000000001</c:v>
                </c:pt>
                <c:pt idx="196">
                  <c:v>221.46600000000001</c:v>
                </c:pt>
                <c:pt idx="197">
                  <c:v>208.233</c:v>
                </c:pt>
                <c:pt idx="198">
                  <c:v>156.44300000000001</c:v>
                </c:pt>
                <c:pt idx="199">
                  <c:v>125.371</c:v>
                </c:pt>
                <c:pt idx="200">
                  <c:v>88.149000000000001</c:v>
                </c:pt>
                <c:pt idx="201">
                  <c:v>59.326999999999998</c:v>
                </c:pt>
                <c:pt idx="202">
                  <c:v>36.286000000000001</c:v>
                </c:pt>
                <c:pt idx="203">
                  <c:v>32.953000000000003</c:v>
                </c:pt>
                <c:pt idx="204">
                  <c:v>33.404000000000003</c:v>
                </c:pt>
                <c:pt idx="205">
                  <c:v>28.445</c:v>
                </c:pt>
                <c:pt idx="206">
                  <c:v>22.265999999999998</c:v>
                </c:pt>
                <c:pt idx="207">
                  <c:v>19.501999999999999</c:v>
                </c:pt>
                <c:pt idx="208">
                  <c:v>16.45</c:v>
                </c:pt>
                <c:pt idx="209">
                  <c:v>12.356</c:v>
                </c:pt>
                <c:pt idx="210">
                  <c:v>7.56</c:v>
                </c:pt>
                <c:pt idx="211">
                  <c:v>6.63</c:v>
                </c:pt>
                <c:pt idx="212">
                  <c:v>14.715</c:v>
                </c:pt>
                <c:pt idx="213">
                  <c:v>18.478000000000002</c:v>
                </c:pt>
                <c:pt idx="214">
                  <c:v>13.301</c:v>
                </c:pt>
                <c:pt idx="215">
                  <c:v>5.2629999999999999</c:v>
                </c:pt>
                <c:pt idx="216">
                  <c:v>1.522</c:v>
                </c:pt>
                <c:pt idx="217">
                  <c:v>45.136000000000003</c:v>
                </c:pt>
                <c:pt idx="218">
                  <c:v>151.66</c:v>
                </c:pt>
                <c:pt idx="219">
                  <c:v>127.59699999999999</c:v>
                </c:pt>
                <c:pt idx="220">
                  <c:v>106.351</c:v>
                </c:pt>
                <c:pt idx="221">
                  <c:v>103.20699999999999</c:v>
                </c:pt>
                <c:pt idx="222">
                  <c:v>223.67699999999999</c:v>
                </c:pt>
                <c:pt idx="223">
                  <c:v>269.34199999999998</c:v>
                </c:pt>
                <c:pt idx="224">
                  <c:v>207.36600000000001</c:v>
                </c:pt>
                <c:pt idx="225">
                  <c:v>88.614999999999995</c:v>
                </c:pt>
                <c:pt idx="226">
                  <c:v>54.076000000000001</c:v>
                </c:pt>
                <c:pt idx="227">
                  <c:v>44.676000000000002</c:v>
                </c:pt>
                <c:pt idx="228">
                  <c:v>19.922000000000001</c:v>
                </c:pt>
                <c:pt idx="229">
                  <c:v>7.9219999999999997</c:v>
                </c:pt>
                <c:pt idx="230">
                  <c:v>3.8010000000000002</c:v>
                </c:pt>
                <c:pt idx="231">
                  <c:v>2.4860000000000002</c:v>
                </c:pt>
                <c:pt idx="232">
                  <c:v>1.333</c:v>
                </c:pt>
                <c:pt idx="233">
                  <c:v>0.83399999999999996</c:v>
                </c:pt>
                <c:pt idx="234">
                  <c:v>0.58899999999999997</c:v>
                </c:pt>
                <c:pt idx="235">
                  <c:v>0.36599999999999999</c:v>
                </c:pt>
                <c:pt idx="236">
                  <c:v>0.17699999999999999</c:v>
                </c:pt>
                <c:pt idx="237">
                  <c:v>5.3999999999999999E-2</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34.948999999999998</c:v>
                </c:pt>
                <c:pt idx="345">
                  <c:v>56.84</c:v>
                </c:pt>
                <c:pt idx="346">
                  <c:v>47.302</c:v>
                </c:pt>
                <c:pt idx="347">
                  <c:v>34.360999999999997</c:v>
                </c:pt>
                <c:pt idx="348">
                  <c:v>21.103999999999999</c:v>
                </c:pt>
                <c:pt idx="349">
                  <c:v>12.747999999999999</c:v>
                </c:pt>
                <c:pt idx="350">
                  <c:v>7.7130000000000001</c:v>
                </c:pt>
                <c:pt idx="351">
                  <c:v>5.6920000000000002</c:v>
                </c:pt>
                <c:pt idx="352">
                  <c:v>5.0599999999999996</c:v>
                </c:pt>
                <c:pt idx="353">
                  <c:v>8.3529999999999998</c:v>
                </c:pt>
                <c:pt idx="354">
                  <c:v>18.864999999999998</c:v>
                </c:pt>
                <c:pt idx="355">
                  <c:v>24.795999999999999</c:v>
                </c:pt>
                <c:pt idx="356">
                  <c:v>31.378</c:v>
                </c:pt>
                <c:pt idx="357">
                  <c:v>33.582000000000001</c:v>
                </c:pt>
                <c:pt idx="358">
                  <c:v>24.62</c:v>
                </c:pt>
                <c:pt idx="359">
                  <c:v>18.515000000000001</c:v>
                </c:pt>
                <c:pt idx="360">
                  <c:v>45.975999999999999</c:v>
                </c:pt>
                <c:pt idx="361">
                  <c:v>34.770000000000003</c:v>
                </c:pt>
                <c:pt idx="362">
                  <c:v>118.325</c:v>
                </c:pt>
                <c:pt idx="363">
                  <c:v>287.84199999999998</c:v>
                </c:pt>
                <c:pt idx="364">
                  <c:v>347.40899999999999</c:v>
                </c:pt>
                <c:pt idx="365">
                  <c:v>393.15100000000001</c:v>
                </c:pt>
              </c:numCache>
            </c:numRef>
          </c:val>
          <c:smooth val="0"/>
        </c:ser>
        <c:ser>
          <c:idx val="1"/>
          <c:order val="1"/>
          <c:tx>
            <c:strRef>
              <c:f>Inflows!$C$1</c:f>
              <c:strCache>
                <c:ptCount val="1"/>
                <c:pt idx="0">
                  <c:v>418074 - Gingham @ Teralba</c:v>
                </c:pt>
              </c:strCache>
            </c:strRef>
          </c:tx>
          <c:spPr>
            <a:ln>
              <a:solidFill>
                <a:srgbClr val="0070C0"/>
              </a:solidFill>
            </a:ln>
          </c:spPr>
          <c:marker>
            <c:symbol val="none"/>
          </c:marker>
          <c:cat>
            <c:numRef>
              <c:f>Inflows!$A$5:$A$370</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Inflows!$C$5:$C$370</c:f>
              <c:numCache>
                <c:formatCode>General</c:formatCode>
                <c:ptCount val="366"/>
                <c:pt idx="0">
                  <c:v>78.697000000000003</c:v>
                </c:pt>
                <c:pt idx="1">
                  <c:v>74.135000000000005</c:v>
                </c:pt>
                <c:pt idx="2">
                  <c:v>74.052999999999997</c:v>
                </c:pt>
                <c:pt idx="3">
                  <c:v>80.790000000000006</c:v>
                </c:pt>
                <c:pt idx="4">
                  <c:v>72.953999999999994</c:v>
                </c:pt>
                <c:pt idx="5">
                  <c:v>47.69</c:v>
                </c:pt>
                <c:pt idx="6">
                  <c:v>47.250999999999998</c:v>
                </c:pt>
                <c:pt idx="7">
                  <c:v>47.890999999999998</c:v>
                </c:pt>
                <c:pt idx="8">
                  <c:v>47.454999999999998</c:v>
                </c:pt>
                <c:pt idx="9">
                  <c:v>47.000999999999998</c:v>
                </c:pt>
                <c:pt idx="10">
                  <c:v>43.734000000000002</c:v>
                </c:pt>
                <c:pt idx="11">
                  <c:v>41.292000000000002</c:v>
                </c:pt>
                <c:pt idx="12">
                  <c:v>40.853000000000002</c:v>
                </c:pt>
                <c:pt idx="13">
                  <c:v>40.573</c:v>
                </c:pt>
                <c:pt idx="14">
                  <c:v>44.465000000000003</c:v>
                </c:pt>
                <c:pt idx="15">
                  <c:v>43.566000000000003</c:v>
                </c:pt>
                <c:pt idx="16">
                  <c:v>41.228000000000002</c:v>
                </c:pt>
                <c:pt idx="17">
                  <c:v>40.462000000000003</c:v>
                </c:pt>
                <c:pt idx="18">
                  <c:v>41.292000000000002</c:v>
                </c:pt>
                <c:pt idx="19">
                  <c:v>39.58</c:v>
                </c:pt>
                <c:pt idx="20">
                  <c:v>24.286000000000001</c:v>
                </c:pt>
                <c:pt idx="21">
                  <c:v>9.4329999999999998</c:v>
                </c:pt>
                <c:pt idx="22">
                  <c:v>3.9460000000000002</c:v>
                </c:pt>
                <c:pt idx="23">
                  <c:v>2.0630000000000002</c:v>
                </c:pt>
                <c:pt idx="24">
                  <c:v>56.475999999999999</c:v>
                </c:pt>
                <c:pt idx="25">
                  <c:v>117.253</c:v>
                </c:pt>
                <c:pt idx="26">
                  <c:v>1859.375</c:v>
                </c:pt>
                <c:pt idx="27">
                  <c:v>982.03399999999999</c:v>
                </c:pt>
                <c:pt idx="28">
                  <c:v>161.09100000000001</c:v>
                </c:pt>
                <c:pt idx="29">
                  <c:v>153.35300000000001</c:v>
                </c:pt>
                <c:pt idx="30">
                  <c:v>269.32100000000003</c:v>
                </c:pt>
                <c:pt idx="31">
                  <c:v>240.833</c:v>
                </c:pt>
                <c:pt idx="32">
                  <c:v>209.846</c:v>
                </c:pt>
                <c:pt idx="33">
                  <c:v>171.2</c:v>
                </c:pt>
                <c:pt idx="34">
                  <c:v>123.688</c:v>
                </c:pt>
                <c:pt idx="35">
                  <c:v>99.409000000000006</c:v>
                </c:pt>
                <c:pt idx="36">
                  <c:v>78.222999999999999</c:v>
                </c:pt>
                <c:pt idx="37">
                  <c:v>63.621000000000002</c:v>
                </c:pt>
                <c:pt idx="38">
                  <c:v>67.147000000000006</c:v>
                </c:pt>
                <c:pt idx="39">
                  <c:v>66.998000000000005</c:v>
                </c:pt>
                <c:pt idx="40">
                  <c:v>61.625999999999998</c:v>
                </c:pt>
                <c:pt idx="41">
                  <c:v>57.494</c:v>
                </c:pt>
                <c:pt idx="42">
                  <c:v>54.338999999999999</c:v>
                </c:pt>
                <c:pt idx="43">
                  <c:v>49.558999999999997</c:v>
                </c:pt>
                <c:pt idx="44">
                  <c:v>40.759</c:v>
                </c:pt>
                <c:pt idx="45">
                  <c:v>36.703000000000003</c:v>
                </c:pt>
                <c:pt idx="46">
                  <c:v>35.122999999999998</c:v>
                </c:pt>
                <c:pt idx="47">
                  <c:v>33.363</c:v>
                </c:pt>
                <c:pt idx="48">
                  <c:v>32.194000000000003</c:v>
                </c:pt>
                <c:pt idx="49">
                  <c:v>51.481999999999999</c:v>
                </c:pt>
                <c:pt idx="50">
                  <c:v>42.664000000000001</c:v>
                </c:pt>
                <c:pt idx="51">
                  <c:v>24.721</c:v>
                </c:pt>
                <c:pt idx="52">
                  <c:v>19.206</c:v>
                </c:pt>
                <c:pt idx="53">
                  <c:v>19.670999999999999</c:v>
                </c:pt>
                <c:pt idx="54">
                  <c:v>24.542000000000002</c:v>
                </c:pt>
                <c:pt idx="55">
                  <c:v>26.742999999999999</c:v>
                </c:pt>
                <c:pt idx="56">
                  <c:v>121.001</c:v>
                </c:pt>
                <c:pt idx="57">
                  <c:v>1825.847</c:v>
                </c:pt>
                <c:pt idx="58">
                  <c:v>277.34199999999998</c:v>
                </c:pt>
                <c:pt idx="59">
                  <c:v>70.093000000000004</c:v>
                </c:pt>
                <c:pt idx="60">
                  <c:v>135.899</c:v>
                </c:pt>
                <c:pt idx="61">
                  <c:v>177.74299999999999</c:v>
                </c:pt>
                <c:pt idx="62">
                  <c:v>268.83999999999997</c:v>
                </c:pt>
                <c:pt idx="63">
                  <c:v>262.346</c:v>
                </c:pt>
                <c:pt idx="64">
                  <c:v>273.7</c:v>
                </c:pt>
                <c:pt idx="65">
                  <c:v>225.672</c:v>
                </c:pt>
                <c:pt idx="66">
                  <c:v>208.608</c:v>
                </c:pt>
                <c:pt idx="67">
                  <c:v>170.63</c:v>
                </c:pt>
                <c:pt idx="68">
                  <c:v>150.82300000000001</c:v>
                </c:pt>
                <c:pt idx="69">
                  <c:v>136.67500000000001</c:v>
                </c:pt>
                <c:pt idx="70">
                  <c:v>140.53100000000001</c:v>
                </c:pt>
                <c:pt idx="71">
                  <c:v>151.005</c:v>
                </c:pt>
                <c:pt idx="72">
                  <c:v>155.822</c:v>
                </c:pt>
                <c:pt idx="73">
                  <c:v>146.37299999999999</c:v>
                </c:pt>
                <c:pt idx="74">
                  <c:v>83.018000000000001</c:v>
                </c:pt>
                <c:pt idx="75">
                  <c:v>120.905</c:v>
                </c:pt>
                <c:pt idx="76">
                  <c:v>133.98500000000001</c:v>
                </c:pt>
                <c:pt idx="77">
                  <c:v>73.721999999999994</c:v>
                </c:pt>
                <c:pt idx="78">
                  <c:v>55.527999999999999</c:v>
                </c:pt>
                <c:pt idx="79">
                  <c:v>48.524999999999999</c:v>
                </c:pt>
                <c:pt idx="80">
                  <c:v>37.630000000000003</c:v>
                </c:pt>
                <c:pt idx="81">
                  <c:v>30.588999999999999</c:v>
                </c:pt>
                <c:pt idx="82">
                  <c:v>37.994</c:v>
                </c:pt>
                <c:pt idx="83">
                  <c:v>41.683</c:v>
                </c:pt>
                <c:pt idx="84">
                  <c:v>41.322000000000003</c:v>
                </c:pt>
                <c:pt idx="85">
                  <c:v>37.996000000000002</c:v>
                </c:pt>
                <c:pt idx="86">
                  <c:v>28.643999999999998</c:v>
                </c:pt>
                <c:pt idx="87">
                  <c:v>23.376000000000001</c:v>
                </c:pt>
                <c:pt idx="88">
                  <c:v>20.154</c:v>
                </c:pt>
                <c:pt idx="89">
                  <c:v>18.782</c:v>
                </c:pt>
                <c:pt idx="90">
                  <c:v>18.472000000000001</c:v>
                </c:pt>
                <c:pt idx="91">
                  <c:v>19.462</c:v>
                </c:pt>
                <c:pt idx="92">
                  <c:v>19.946999999999999</c:v>
                </c:pt>
                <c:pt idx="93">
                  <c:v>18.065000000000001</c:v>
                </c:pt>
                <c:pt idx="94">
                  <c:v>15.766999999999999</c:v>
                </c:pt>
                <c:pt idx="95">
                  <c:v>15.329000000000001</c:v>
                </c:pt>
                <c:pt idx="96">
                  <c:v>15.614000000000001</c:v>
                </c:pt>
                <c:pt idx="97">
                  <c:v>14.577999999999999</c:v>
                </c:pt>
                <c:pt idx="98">
                  <c:v>12.773999999999999</c:v>
                </c:pt>
                <c:pt idx="99">
                  <c:v>13.135</c:v>
                </c:pt>
                <c:pt idx="100">
                  <c:v>17.213999999999999</c:v>
                </c:pt>
                <c:pt idx="101">
                  <c:v>16.933</c:v>
                </c:pt>
                <c:pt idx="102">
                  <c:v>15.757999999999999</c:v>
                </c:pt>
                <c:pt idx="103">
                  <c:v>14.433</c:v>
                </c:pt>
                <c:pt idx="104">
                  <c:v>13.002000000000001</c:v>
                </c:pt>
                <c:pt idx="105">
                  <c:v>11.792999999999999</c:v>
                </c:pt>
                <c:pt idx="106">
                  <c:v>10.769</c:v>
                </c:pt>
                <c:pt idx="107">
                  <c:v>8.3889999999999993</c:v>
                </c:pt>
                <c:pt idx="108">
                  <c:v>6.6870000000000003</c:v>
                </c:pt>
                <c:pt idx="109">
                  <c:v>8.82</c:v>
                </c:pt>
                <c:pt idx="110">
                  <c:v>10.272</c:v>
                </c:pt>
                <c:pt idx="111">
                  <c:v>7.351</c:v>
                </c:pt>
                <c:pt idx="112">
                  <c:v>4.92</c:v>
                </c:pt>
                <c:pt idx="113">
                  <c:v>3.5619999999999998</c:v>
                </c:pt>
                <c:pt idx="114">
                  <c:v>3.1560000000000001</c:v>
                </c:pt>
                <c:pt idx="115">
                  <c:v>2.202</c:v>
                </c:pt>
                <c:pt idx="116">
                  <c:v>1.6240000000000001</c:v>
                </c:pt>
                <c:pt idx="117">
                  <c:v>1.2829999999999999</c:v>
                </c:pt>
                <c:pt idx="118">
                  <c:v>1.5680000000000001</c:v>
                </c:pt>
                <c:pt idx="119">
                  <c:v>2.8239999999999998</c:v>
                </c:pt>
                <c:pt idx="120">
                  <c:v>5.5449999999999999</c:v>
                </c:pt>
                <c:pt idx="121">
                  <c:v>6.0629999999999997</c:v>
                </c:pt>
                <c:pt idx="122">
                  <c:v>7.37</c:v>
                </c:pt>
                <c:pt idx="123">
                  <c:v>8.5150000000000006</c:v>
                </c:pt>
                <c:pt idx="124">
                  <c:v>8.9949999999999992</c:v>
                </c:pt>
                <c:pt idx="125">
                  <c:v>12.486000000000001</c:v>
                </c:pt>
                <c:pt idx="126">
                  <c:v>12.445</c:v>
                </c:pt>
                <c:pt idx="127">
                  <c:v>9.8179999999999996</c:v>
                </c:pt>
                <c:pt idx="128">
                  <c:v>16.977</c:v>
                </c:pt>
                <c:pt idx="129">
                  <c:v>28.591000000000001</c:v>
                </c:pt>
                <c:pt idx="130">
                  <c:v>917.94299999999998</c:v>
                </c:pt>
                <c:pt idx="131">
                  <c:v>206.58099999999999</c:v>
                </c:pt>
                <c:pt idx="132">
                  <c:v>173.244</c:v>
                </c:pt>
                <c:pt idx="133">
                  <c:v>110.48399999999999</c:v>
                </c:pt>
                <c:pt idx="134">
                  <c:v>65.355999999999995</c:v>
                </c:pt>
                <c:pt idx="135">
                  <c:v>134.91999999999999</c:v>
                </c:pt>
                <c:pt idx="136">
                  <c:v>110.449</c:v>
                </c:pt>
                <c:pt idx="137">
                  <c:v>73.896000000000001</c:v>
                </c:pt>
                <c:pt idx="138">
                  <c:v>46.728999999999999</c:v>
                </c:pt>
                <c:pt idx="139">
                  <c:v>20.457000000000001</c:v>
                </c:pt>
                <c:pt idx="140">
                  <c:v>7.9029999999999996</c:v>
                </c:pt>
                <c:pt idx="141">
                  <c:v>6.5119999999999996</c:v>
                </c:pt>
                <c:pt idx="142">
                  <c:v>68.832999999999998</c:v>
                </c:pt>
                <c:pt idx="143">
                  <c:v>91.372</c:v>
                </c:pt>
                <c:pt idx="144">
                  <c:v>53.15</c:v>
                </c:pt>
                <c:pt idx="145">
                  <c:v>30.23</c:v>
                </c:pt>
                <c:pt idx="146">
                  <c:v>20.131</c:v>
                </c:pt>
                <c:pt idx="147">
                  <c:v>15.157</c:v>
                </c:pt>
                <c:pt idx="148">
                  <c:v>11.298999999999999</c:v>
                </c:pt>
                <c:pt idx="149">
                  <c:v>9.3859999999999992</c:v>
                </c:pt>
                <c:pt idx="150">
                  <c:v>7.8780000000000001</c:v>
                </c:pt>
                <c:pt idx="151">
                  <c:v>6.2279999999999998</c:v>
                </c:pt>
                <c:pt idx="152">
                  <c:v>4.944</c:v>
                </c:pt>
                <c:pt idx="153">
                  <c:v>4.1479999999999997</c:v>
                </c:pt>
                <c:pt idx="154">
                  <c:v>3.4340000000000002</c:v>
                </c:pt>
                <c:pt idx="155">
                  <c:v>3.7170000000000001</c:v>
                </c:pt>
                <c:pt idx="156">
                  <c:v>5.4509999999999996</c:v>
                </c:pt>
                <c:pt idx="157">
                  <c:v>5.1459999999999999</c:v>
                </c:pt>
                <c:pt idx="158">
                  <c:v>3.5659999999999998</c:v>
                </c:pt>
                <c:pt idx="159">
                  <c:v>2.2879999999999998</c:v>
                </c:pt>
                <c:pt idx="160">
                  <c:v>1.6</c:v>
                </c:pt>
                <c:pt idx="161">
                  <c:v>24.817</c:v>
                </c:pt>
                <c:pt idx="162">
                  <c:v>20.021999999999998</c:v>
                </c:pt>
                <c:pt idx="163">
                  <c:v>14.131</c:v>
                </c:pt>
                <c:pt idx="164">
                  <c:v>8.1280000000000001</c:v>
                </c:pt>
                <c:pt idx="165">
                  <c:v>3.798</c:v>
                </c:pt>
                <c:pt idx="166">
                  <c:v>15.054</c:v>
                </c:pt>
                <c:pt idx="167">
                  <c:v>24.713999999999999</c:v>
                </c:pt>
                <c:pt idx="168">
                  <c:v>16.43</c:v>
                </c:pt>
                <c:pt idx="169">
                  <c:v>6.8170000000000002</c:v>
                </c:pt>
                <c:pt idx="170">
                  <c:v>12.183</c:v>
                </c:pt>
                <c:pt idx="171">
                  <c:v>9.7729999999999997</c:v>
                </c:pt>
                <c:pt idx="172">
                  <c:v>17.789000000000001</c:v>
                </c:pt>
                <c:pt idx="173">
                  <c:v>21.2</c:v>
                </c:pt>
                <c:pt idx="174">
                  <c:v>5.593</c:v>
                </c:pt>
                <c:pt idx="175">
                  <c:v>2.6040000000000001</c:v>
                </c:pt>
                <c:pt idx="176">
                  <c:v>5.8440000000000003</c:v>
                </c:pt>
                <c:pt idx="177">
                  <c:v>7.7210000000000001</c:v>
                </c:pt>
                <c:pt idx="178">
                  <c:v>8.6370000000000005</c:v>
                </c:pt>
                <c:pt idx="179">
                  <c:v>17.920999999999999</c:v>
                </c:pt>
                <c:pt idx="180">
                  <c:v>18.344999999999999</c:v>
                </c:pt>
                <c:pt idx="181">
                  <c:v>16.687999999999999</c:v>
                </c:pt>
                <c:pt idx="182">
                  <c:v>18.998000000000001</c:v>
                </c:pt>
                <c:pt idx="183">
                  <c:v>54.468000000000004</c:v>
                </c:pt>
                <c:pt idx="184">
                  <c:v>52.142000000000003</c:v>
                </c:pt>
                <c:pt idx="185">
                  <c:v>36.296999999999997</c:v>
                </c:pt>
                <c:pt idx="186">
                  <c:v>29.818000000000001</c:v>
                </c:pt>
                <c:pt idx="187">
                  <c:v>49.076999999999998</c:v>
                </c:pt>
                <c:pt idx="188">
                  <c:v>55.823</c:v>
                </c:pt>
                <c:pt idx="189">
                  <c:v>24.337</c:v>
                </c:pt>
                <c:pt idx="190">
                  <c:v>80.447999999999993</c:v>
                </c:pt>
                <c:pt idx="191">
                  <c:v>1040.6079999999999</c:v>
                </c:pt>
                <c:pt idx="192">
                  <c:v>450.97800000000001</c:v>
                </c:pt>
                <c:pt idx="193">
                  <c:v>154.55500000000001</c:v>
                </c:pt>
                <c:pt idx="194">
                  <c:v>103.104</c:v>
                </c:pt>
                <c:pt idx="195">
                  <c:v>149.464</c:v>
                </c:pt>
                <c:pt idx="196">
                  <c:v>141.096</c:v>
                </c:pt>
                <c:pt idx="197">
                  <c:v>70.933999999999997</c:v>
                </c:pt>
                <c:pt idx="198">
                  <c:v>62.929000000000002</c:v>
                </c:pt>
                <c:pt idx="199">
                  <c:v>21.736000000000001</c:v>
                </c:pt>
                <c:pt idx="200">
                  <c:v>38.070999999999998</c:v>
                </c:pt>
                <c:pt idx="201">
                  <c:v>48.829000000000001</c:v>
                </c:pt>
                <c:pt idx="202">
                  <c:v>24.114999999999998</c:v>
                </c:pt>
                <c:pt idx="203">
                  <c:v>13.4</c:v>
                </c:pt>
                <c:pt idx="204">
                  <c:v>28.754000000000001</c:v>
                </c:pt>
                <c:pt idx="205">
                  <c:v>25.271999999999998</c:v>
                </c:pt>
                <c:pt idx="206">
                  <c:v>20.024000000000001</c:v>
                </c:pt>
                <c:pt idx="207">
                  <c:v>45.38</c:v>
                </c:pt>
                <c:pt idx="208">
                  <c:v>33.29</c:v>
                </c:pt>
                <c:pt idx="209">
                  <c:v>2.2210000000000001</c:v>
                </c:pt>
                <c:pt idx="210">
                  <c:v>0</c:v>
                </c:pt>
                <c:pt idx="211">
                  <c:v>0</c:v>
                </c:pt>
                <c:pt idx="212">
                  <c:v>0</c:v>
                </c:pt>
                <c:pt idx="213">
                  <c:v>0</c:v>
                </c:pt>
                <c:pt idx="214">
                  <c:v>0</c:v>
                </c:pt>
                <c:pt idx="215">
                  <c:v>23.236000000000001</c:v>
                </c:pt>
                <c:pt idx="216">
                  <c:v>103.60899999999999</c:v>
                </c:pt>
                <c:pt idx="217">
                  <c:v>59.106999999999999</c:v>
                </c:pt>
                <c:pt idx="218">
                  <c:v>38.354999999999997</c:v>
                </c:pt>
                <c:pt idx="219">
                  <c:v>36.804000000000002</c:v>
                </c:pt>
                <c:pt idx="220">
                  <c:v>33.048999999999999</c:v>
                </c:pt>
                <c:pt idx="221">
                  <c:v>158.441</c:v>
                </c:pt>
                <c:pt idx="222">
                  <c:v>108.64700000000001</c:v>
                </c:pt>
                <c:pt idx="223">
                  <c:v>41.357999999999997</c:v>
                </c:pt>
                <c:pt idx="224">
                  <c:v>120.611</c:v>
                </c:pt>
                <c:pt idx="225">
                  <c:v>104.327</c:v>
                </c:pt>
                <c:pt idx="226">
                  <c:v>100.16</c:v>
                </c:pt>
                <c:pt idx="227">
                  <c:v>36.500999999999998</c:v>
                </c:pt>
                <c:pt idx="228">
                  <c:v>13.555999999999999</c:v>
                </c:pt>
                <c:pt idx="229">
                  <c:v>8.0909999999999993</c:v>
                </c:pt>
                <c:pt idx="230">
                  <c:v>3.9489999999999998</c:v>
                </c:pt>
                <c:pt idx="231">
                  <c:v>2.21</c:v>
                </c:pt>
                <c:pt idx="232">
                  <c:v>9.4870000000000001</c:v>
                </c:pt>
                <c:pt idx="233">
                  <c:v>22.184000000000001</c:v>
                </c:pt>
                <c:pt idx="234">
                  <c:v>20.483000000000001</c:v>
                </c:pt>
                <c:pt idx="235">
                  <c:v>15.741</c:v>
                </c:pt>
                <c:pt idx="236">
                  <c:v>7.5720000000000001</c:v>
                </c:pt>
                <c:pt idx="237">
                  <c:v>4.0359999999999996</c:v>
                </c:pt>
                <c:pt idx="238">
                  <c:v>1.8959999999999999</c:v>
                </c:pt>
                <c:pt idx="239">
                  <c:v>0.88700000000000001</c:v>
                </c:pt>
                <c:pt idx="240">
                  <c:v>0.378</c:v>
                </c:pt>
                <c:pt idx="241">
                  <c:v>0.17199999999999999</c:v>
                </c:pt>
                <c:pt idx="242">
                  <c:v>2.3119999999999998</c:v>
                </c:pt>
                <c:pt idx="243">
                  <c:v>6.0570000000000004</c:v>
                </c:pt>
                <c:pt idx="244">
                  <c:v>3.2829999999999999</c:v>
                </c:pt>
                <c:pt idx="245">
                  <c:v>1.8460000000000001</c:v>
                </c:pt>
                <c:pt idx="246">
                  <c:v>4.3129999999999997</c:v>
                </c:pt>
                <c:pt idx="247">
                  <c:v>8.0779999999999994</c:v>
                </c:pt>
                <c:pt idx="248">
                  <c:v>5.2779999999999996</c:v>
                </c:pt>
                <c:pt idx="249">
                  <c:v>3.129</c:v>
                </c:pt>
                <c:pt idx="250">
                  <c:v>1.6739999999999999</c:v>
                </c:pt>
                <c:pt idx="251">
                  <c:v>0.84</c:v>
                </c:pt>
                <c:pt idx="252">
                  <c:v>0.34499999999999997</c:v>
                </c:pt>
                <c:pt idx="253">
                  <c:v>0.152</c:v>
                </c:pt>
                <c:pt idx="254">
                  <c:v>4.0000000000000001E-3</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10.73</c:v>
                </c:pt>
                <c:pt idx="307">
                  <c:v>14.401999999999999</c:v>
                </c:pt>
                <c:pt idx="308">
                  <c:v>29.795000000000002</c:v>
                </c:pt>
                <c:pt idx="309">
                  <c:v>35.493000000000002</c:v>
                </c:pt>
                <c:pt idx="310">
                  <c:v>29.143000000000001</c:v>
                </c:pt>
                <c:pt idx="311">
                  <c:v>24.21</c:v>
                </c:pt>
                <c:pt idx="312">
                  <c:v>22.568999999999999</c:v>
                </c:pt>
                <c:pt idx="313">
                  <c:v>20.837</c:v>
                </c:pt>
                <c:pt idx="314">
                  <c:v>23.329000000000001</c:v>
                </c:pt>
                <c:pt idx="315">
                  <c:v>24.864000000000001</c:v>
                </c:pt>
                <c:pt idx="316">
                  <c:v>20.603999999999999</c:v>
                </c:pt>
                <c:pt idx="317">
                  <c:v>16.492999999999999</c:v>
                </c:pt>
                <c:pt idx="318">
                  <c:v>14.824</c:v>
                </c:pt>
                <c:pt idx="319">
                  <c:v>14.071999999999999</c:v>
                </c:pt>
                <c:pt idx="320">
                  <c:v>13.491</c:v>
                </c:pt>
                <c:pt idx="321">
                  <c:v>22.210999999999999</c:v>
                </c:pt>
                <c:pt idx="322">
                  <c:v>26.19</c:v>
                </c:pt>
                <c:pt idx="323">
                  <c:v>27.542999999999999</c:v>
                </c:pt>
                <c:pt idx="324">
                  <c:v>30.783000000000001</c:v>
                </c:pt>
                <c:pt idx="325">
                  <c:v>30.053000000000001</c:v>
                </c:pt>
                <c:pt idx="326">
                  <c:v>27.687999999999999</c:v>
                </c:pt>
                <c:pt idx="327">
                  <c:v>26.163</c:v>
                </c:pt>
                <c:pt idx="328">
                  <c:v>24.605</c:v>
                </c:pt>
                <c:pt idx="329">
                  <c:v>22.442</c:v>
                </c:pt>
                <c:pt idx="330">
                  <c:v>14.433</c:v>
                </c:pt>
                <c:pt idx="331">
                  <c:v>6.9029999999999996</c:v>
                </c:pt>
                <c:pt idx="332">
                  <c:v>3.5059999999999998</c:v>
                </c:pt>
                <c:pt idx="333">
                  <c:v>1.706</c:v>
                </c:pt>
                <c:pt idx="334">
                  <c:v>0.86799999999999999</c:v>
                </c:pt>
                <c:pt idx="335">
                  <c:v>0.41299999999999998</c:v>
                </c:pt>
                <c:pt idx="336">
                  <c:v>0.20200000000000001</c:v>
                </c:pt>
                <c:pt idx="337">
                  <c:v>8.7999999999999995E-2</c:v>
                </c:pt>
                <c:pt idx="338">
                  <c:v>1.4E-2</c:v>
                </c:pt>
                <c:pt idx="339">
                  <c:v>0.82399999999999995</c:v>
                </c:pt>
                <c:pt idx="340">
                  <c:v>5.218</c:v>
                </c:pt>
                <c:pt idx="341">
                  <c:v>10.065</c:v>
                </c:pt>
                <c:pt idx="342">
                  <c:v>5.5659999999999998</c:v>
                </c:pt>
                <c:pt idx="343">
                  <c:v>3.1880000000000002</c:v>
                </c:pt>
                <c:pt idx="344">
                  <c:v>2.4950000000000001</c:v>
                </c:pt>
                <c:pt idx="345">
                  <c:v>3.2890000000000001</c:v>
                </c:pt>
                <c:pt idx="346">
                  <c:v>6.5279999999999996</c:v>
                </c:pt>
                <c:pt idx="347">
                  <c:v>11.249000000000001</c:v>
                </c:pt>
                <c:pt idx="348">
                  <c:v>15.239000000000001</c:v>
                </c:pt>
                <c:pt idx="349">
                  <c:v>16.434000000000001</c:v>
                </c:pt>
                <c:pt idx="350">
                  <c:v>15.802</c:v>
                </c:pt>
                <c:pt idx="351">
                  <c:v>12.657999999999999</c:v>
                </c:pt>
                <c:pt idx="352">
                  <c:v>11.095000000000001</c:v>
                </c:pt>
                <c:pt idx="353">
                  <c:v>9.2390000000000008</c:v>
                </c:pt>
                <c:pt idx="354">
                  <c:v>8.0960000000000001</c:v>
                </c:pt>
                <c:pt idx="355">
                  <c:v>6.0129999999999999</c:v>
                </c:pt>
                <c:pt idx="356">
                  <c:v>4.2949999999999999</c:v>
                </c:pt>
                <c:pt idx="357">
                  <c:v>3.2069999999999999</c:v>
                </c:pt>
                <c:pt idx="358">
                  <c:v>4.1230000000000002</c:v>
                </c:pt>
                <c:pt idx="359">
                  <c:v>186.405</c:v>
                </c:pt>
                <c:pt idx="360">
                  <c:v>433.24200000000002</c:v>
                </c:pt>
                <c:pt idx="361">
                  <c:v>407.87200000000001</c:v>
                </c:pt>
                <c:pt idx="362">
                  <c:v>216.988</c:v>
                </c:pt>
                <c:pt idx="363">
                  <c:v>232.98599999999999</c:v>
                </c:pt>
                <c:pt idx="364">
                  <c:v>182.71299999999999</c:v>
                </c:pt>
                <c:pt idx="365">
                  <c:v>171.536</c:v>
                </c:pt>
              </c:numCache>
            </c:numRef>
          </c:val>
          <c:smooth val="0"/>
        </c:ser>
        <c:ser>
          <c:idx val="2"/>
          <c:order val="2"/>
          <c:tx>
            <c:strRef>
              <c:f>Inflows!$D$1</c:f>
              <c:strCache>
                <c:ptCount val="1"/>
                <c:pt idx="0">
                  <c:v>418049 - Mallowa Creek @ Regulator </c:v>
                </c:pt>
              </c:strCache>
            </c:strRef>
          </c:tx>
          <c:spPr>
            <a:ln>
              <a:solidFill>
                <a:schemeClr val="tx1"/>
              </a:solidFill>
              <a:prstDash val="sysDot"/>
            </a:ln>
          </c:spPr>
          <c:marker>
            <c:symbol val="none"/>
          </c:marker>
          <c:cat>
            <c:numRef>
              <c:f>Inflows!$A$5:$A$370</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Inflows!$D$5:$D$370</c:f>
              <c:numCache>
                <c:formatCode>General</c:formatCode>
                <c:ptCount val="366"/>
                <c:pt idx="0">
                  <c:v>0.38800000000000001</c:v>
                </c:pt>
                <c:pt idx="1">
                  <c:v>0.33800000000000002</c:v>
                </c:pt>
                <c:pt idx="2">
                  <c:v>0.27</c:v>
                </c:pt>
                <c:pt idx="3">
                  <c:v>0.248</c:v>
                </c:pt>
                <c:pt idx="4">
                  <c:v>0.24399999999999999</c:v>
                </c:pt>
                <c:pt idx="5">
                  <c:v>0.24199999999999999</c:v>
                </c:pt>
                <c:pt idx="6">
                  <c:v>0.24199999999999999</c:v>
                </c:pt>
                <c:pt idx="7">
                  <c:v>0.23599999999999999</c:v>
                </c:pt>
                <c:pt idx="8">
                  <c:v>0.22900000000000001</c:v>
                </c:pt>
                <c:pt idx="9">
                  <c:v>0.216</c:v>
                </c:pt>
                <c:pt idx="10">
                  <c:v>0.24</c:v>
                </c:pt>
                <c:pt idx="11">
                  <c:v>0.27900000000000003</c:v>
                </c:pt>
                <c:pt idx="12">
                  <c:v>0.26400000000000001</c:v>
                </c:pt>
                <c:pt idx="13">
                  <c:v>0.245</c:v>
                </c:pt>
                <c:pt idx="14">
                  <c:v>0.221</c:v>
                </c:pt>
                <c:pt idx="15">
                  <c:v>0.20799999999999999</c:v>
                </c:pt>
                <c:pt idx="16">
                  <c:v>0.218</c:v>
                </c:pt>
                <c:pt idx="17">
                  <c:v>0.20699999999999999</c:v>
                </c:pt>
                <c:pt idx="18">
                  <c:v>0.19800000000000001</c:v>
                </c:pt>
                <c:pt idx="19">
                  <c:v>0.191</c:v>
                </c:pt>
                <c:pt idx="20">
                  <c:v>0.191</c:v>
                </c:pt>
                <c:pt idx="21">
                  <c:v>0.19600000000000001</c:v>
                </c:pt>
                <c:pt idx="22">
                  <c:v>0.21</c:v>
                </c:pt>
                <c:pt idx="23">
                  <c:v>0.23300000000000001</c:v>
                </c:pt>
                <c:pt idx="24">
                  <c:v>0.26</c:v>
                </c:pt>
                <c:pt idx="25">
                  <c:v>0.23200000000000001</c:v>
                </c:pt>
                <c:pt idx="26">
                  <c:v>0.188</c:v>
                </c:pt>
                <c:pt idx="27">
                  <c:v>0.17</c:v>
                </c:pt>
                <c:pt idx="28">
                  <c:v>0.16900000000000001</c:v>
                </c:pt>
                <c:pt idx="29">
                  <c:v>0.182</c:v>
                </c:pt>
                <c:pt idx="30">
                  <c:v>0.20100000000000001</c:v>
                </c:pt>
                <c:pt idx="31">
                  <c:v>0.19900000000000001</c:v>
                </c:pt>
                <c:pt idx="32">
                  <c:v>0.19</c:v>
                </c:pt>
                <c:pt idx="33">
                  <c:v>0.182</c:v>
                </c:pt>
                <c:pt idx="34">
                  <c:v>0.18</c:v>
                </c:pt>
                <c:pt idx="35">
                  <c:v>0.17499999999999999</c:v>
                </c:pt>
                <c:pt idx="36">
                  <c:v>0.16600000000000001</c:v>
                </c:pt>
                <c:pt idx="37">
                  <c:v>0.16500000000000001</c:v>
                </c:pt>
                <c:pt idx="38">
                  <c:v>0.182</c:v>
                </c:pt>
                <c:pt idx="39">
                  <c:v>0.2</c:v>
                </c:pt>
                <c:pt idx="40">
                  <c:v>0.21199999999999999</c:v>
                </c:pt>
                <c:pt idx="41">
                  <c:v>0.221</c:v>
                </c:pt>
                <c:pt idx="42">
                  <c:v>0.223</c:v>
                </c:pt>
                <c:pt idx="43">
                  <c:v>0.22800000000000001</c:v>
                </c:pt>
                <c:pt idx="44">
                  <c:v>0.218</c:v>
                </c:pt>
                <c:pt idx="45">
                  <c:v>0.219</c:v>
                </c:pt>
                <c:pt idx="46">
                  <c:v>0.20899999999999999</c:v>
                </c:pt>
                <c:pt idx="47">
                  <c:v>0.20300000000000001</c:v>
                </c:pt>
                <c:pt idx="48">
                  <c:v>0.19900000000000001</c:v>
                </c:pt>
                <c:pt idx="49">
                  <c:v>0.192</c:v>
                </c:pt>
                <c:pt idx="50">
                  <c:v>0.19800000000000001</c:v>
                </c:pt>
                <c:pt idx="51">
                  <c:v>0.20799999999999999</c:v>
                </c:pt>
                <c:pt idx="52">
                  <c:v>0.23</c:v>
                </c:pt>
                <c:pt idx="53">
                  <c:v>0.26500000000000001</c:v>
                </c:pt>
                <c:pt idx="54">
                  <c:v>0.32300000000000001</c:v>
                </c:pt>
                <c:pt idx="55">
                  <c:v>0.39500000000000002</c:v>
                </c:pt>
                <c:pt idx="56">
                  <c:v>0.36499999999999999</c:v>
                </c:pt>
                <c:pt idx="57">
                  <c:v>0.34799999999999998</c:v>
                </c:pt>
                <c:pt idx="58">
                  <c:v>0.378</c:v>
                </c:pt>
                <c:pt idx="59">
                  <c:v>0.42699999999999999</c:v>
                </c:pt>
                <c:pt idx="60">
                  <c:v>0.48799999999999999</c:v>
                </c:pt>
                <c:pt idx="61">
                  <c:v>0.44800000000000001</c:v>
                </c:pt>
                <c:pt idx="62">
                  <c:v>0.39900000000000002</c:v>
                </c:pt>
                <c:pt idx="63">
                  <c:v>0.35399999999999998</c:v>
                </c:pt>
                <c:pt idx="64">
                  <c:v>0.33</c:v>
                </c:pt>
                <c:pt idx="65">
                  <c:v>0.41099999999999998</c:v>
                </c:pt>
                <c:pt idx="66">
                  <c:v>0.36299999999999999</c:v>
                </c:pt>
                <c:pt idx="67">
                  <c:v>0.32</c:v>
                </c:pt>
                <c:pt idx="68">
                  <c:v>0.28999999999999998</c:v>
                </c:pt>
                <c:pt idx="69">
                  <c:v>0.27400000000000002</c:v>
                </c:pt>
                <c:pt idx="70">
                  <c:v>0.254</c:v>
                </c:pt>
                <c:pt idx="71">
                  <c:v>0.24299999999999999</c:v>
                </c:pt>
                <c:pt idx="72">
                  <c:v>0.22900000000000001</c:v>
                </c:pt>
                <c:pt idx="73">
                  <c:v>0.22500000000000001</c:v>
                </c:pt>
                <c:pt idx="74">
                  <c:v>0.218</c:v>
                </c:pt>
                <c:pt idx="75">
                  <c:v>0.215</c:v>
                </c:pt>
                <c:pt idx="76">
                  <c:v>0.20899999999999999</c:v>
                </c:pt>
                <c:pt idx="77">
                  <c:v>0.20300000000000001</c:v>
                </c:pt>
                <c:pt idx="78">
                  <c:v>0.20799999999999999</c:v>
                </c:pt>
                <c:pt idx="79">
                  <c:v>0.20799999999999999</c:v>
                </c:pt>
                <c:pt idx="80">
                  <c:v>0.192</c:v>
                </c:pt>
                <c:pt idx="81">
                  <c:v>0.16900000000000001</c:v>
                </c:pt>
                <c:pt idx="82">
                  <c:v>0.16</c:v>
                </c:pt>
                <c:pt idx="83">
                  <c:v>0.154</c:v>
                </c:pt>
                <c:pt idx="84">
                  <c:v>0.13800000000000001</c:v>
                </c:pt>
                <c:pt idx="85">
                  <c:v>0.11899999999999999</c:v>
                </c:pt>
                <c:pt idx="86">
                  <c:v>0.105</c:v>
                </c:pt>
                <c:pt idx="87">
                  <c:v>0.114</c:v>
                </c:pt>
                <c:pt idx="88">
                  <c:v>0.13300000000000001</c:v>
                </c:pt>
                <c:pt idx="89">
                  <c:v>0.16</c:v>
                </c:pt>
                <c:pt idx="90">
                  <c:v>0.21</c:v>
                </c:pt>
                <c:pt idx="91">
                  <c:v>0.22700000000000001</c:v>
                </c:pt>
                <c:pt idx="92">
                  <c:v>0.24299999999999999</c:v>
                </c:pt>
                <c:pt idx="93">
                  <c:v>0.23799999999999999</c:v>
                </c:pt>
                <c:pt idx="94">
                  <c:v>0.22700000000000001</c:v>
                </c:pt>
                <c:pt idx="95">
                  <c:v>0.216</c:v>
                </c:pt>
                <c:pt idx="96">
                  <c:v>0.188</c:v>
                </c:pt>
                <c:pt idx="97">
                  <c:v>0.161</c:v>
                </c:pt>
                <c:pt idx="98">
                  <c:v>0.114</c:v>
                </c:pt>
                <c:pt idx="99">
                  <c:v>6.9000000000000006E-2</c:v>
                </c:pt>
                <c:pt idx="100">
                  <c:v>4.2000000000000003E-2</c:v>
                </c:pt>
                <c:pt idx="101">
                  <c:v>3.4000000000000002E-2</c:v>
                </c:pt>
                <c:pt idx="102">
                  <c:v>4.0000000000000001E-3</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35.414000000000001</c:v>
                </c:pt>
                <c:pt idx="133">
                  <c:v>72.665000000000006</c:v>
                </c:pt>
                <c:pt idx="134">
                  <c:v>64.084999999999994</c:v>
                </c:pt>
                <c:pt idx="135">
                  <c:v>35.430999999999997</c:v>
                </c:pt>
                <c:pt idx="136">
                  <c:v>48.892000000000003</c:v>
                </c:pt>
                <c:pt idx="137">
                  <c:v>112.73099999999999</c:v>
                </c:pt>
                <c:pt idx="138">
                  <c:v>106.95099999999999</c:v>
                </c:pt>
                <c:pt idx="139">
                  <c:v>82.063000000000002</c:v>
                </c:pt>
                <c:pt idx="140">
                  <c:v>66.063999999999993</c:v>
                </c:pt>
                <c:pt idx="141">
                  <c:v>54.338000000000001</c:v>
                </c:pt>
                <c:pt idx="142">
                  <c:v>45.228000000000002</c:v>
                </c:pt>
                <c:pt idx="143">
                  <c:v>38.4</c:v>
                </c:pt>
                <c:pt idx="144">
                  <c:v>19.239999999999998</c:v>
                </c:pt>
                <c:pt idx="145">
                  <c:v>2.8940000000000001</c:v>
                </c:pt>
                <c:pt idx="146">
                  <c:v>1.5469999999999999</c:v>
                </c:pt>
                <c:pt idx="147">
                  <c:v>1.1659999999999999</c:v>
                </c:pt>
                <c:pt idx="148">
                  <c:v>0.98</c:v>
                </c:pt>
                <c:pt idx="149">
                  <c:v>0.81100000000000005</c:v>
                </c:pt>
                <c:pt idx="150">
                  <c:v>0.64700000000000002</c:v>
                </c:pt>
                <c:pt idx="151">
                  <c:v>0.51400000000000001</c:v>
                </c:pt>
                <c:pt idx="152">
                  <c:v>0.38500000000000001</c:v>
                </c:pt>
                <c:pt idx="153">
                  <c:v>0.27900000000000003</c:v>
                </c:pt>
                <c:pt idx="154">
                  <c:v>0.18099999999999999</c:v>
                </c:pt>
                <c:pt idx="155">
                  <c:v>0.105</c:v>
                </c:pt>
                <c:pt idx="156">
                  <c:v>4.8000000000000001E-2</c:v>
                </c:pt>
                <c:pt idx="157">
                  <c:v>1.9E-2</c:v>
                </c:pt>
                <c:pt idx="158">
                  <c:v>1E-3</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4.1100000000000003</c:v>
                </c:pt>
                <c:pt idx="177">
                  <c:v>16.620999999999999</c:v>
                </c:pt>
                <c:pt idx="178">
                  <c:v>30.954000000000001</c:v>
                </c:pt>
                <c:pt idx="179">
                  <c:v>76.355999999999995</c:v>
                </c:pt>
                <c:pt idx="180">
                  <c:v>163.04400000000001</c:v>
                </c:pt>
                <c:pt idx="181">
                  <c:v>205.25899999999999</c:v>
                </c:pt>
                <c:pt idx="182">
                  <c:v>161.828</c:v>
                </c:pt>
                <c:pt idx="183">
                  <c:v>126.247</c:v>
                </c:pt>
                <c:pt idx="184">
                  <c:v>110.93</c:v>
                </c:pt>
                <c:pt idx="185">
                  <c:v>102.718</c:v>
                </c:pt>
                <c:pt idx="186">
                  <c:v>94.564999999999998</c:v>
                </c:pt>
                <c:pt idx="187">
                  <c:v>99.802000000000007</c:v>
                </c:pt>
                <c:pt idx="188">
                  <c:v>106.559</c:v>
                </c:pt>
                <c:pt idx="189">
                  <c:v>127.601</c:v>
                </c:pt>
                <c:pt idx="190">
                  <c:v>134.142</c:v>
                </c:pt>
                <c:pt idx="191">
                  <c:v>107.575</c:v>
                </c:pt>
                <c:pt idx="192">
                  <c:v>84.546000000000006</c:v>
                </c:pt>
                <c:pt idx="193">
                  <c:v>78.02</c:v>
                </c:pt>
                <c:pt idx="194">
                  <c:v>70.852000000000004</c:v>
                </c:pt>
                <c:pt idx="195">
                  <c:v>63.668999999999997</c:v>
                </c:pt>
                <c:pt idx="196">
                  <c:v>52.968000000000004</c:v>
                </c:pt>
                <c:pt idx="197">
                  <c:v>26.295999999999999</c:v>
                </c:pt>
                <c:pt idx="198">
                  <c:v>16.515000000000001</c:v>
                </c:pt>
                <c:pt idx="199">
                  <c:v>13.016</c:v>
                </c:pt>
                <c:pt idx="200">
                  <c:v>10.444000000000001</c:v>
                </c:pt>
                <c:pt idx="201">
                  <c:v>7.758</c:v>
                </c:pt>
                <c:pt idx="202">
                  <c:v>5.827</c:v>
                </c:pt>
                <c:pt idx="203">
                  <c:v>4.6520000000000001</c:v>
                </c:pt>
                <c:pt idx="204">
                  <c:v>3.9049999999999998</c:v>
                </c:pt>
                <c:pt idx="205">
                  <c:v>3.3439999999999999</c:v>
                </c:pt>
                <c:pt idx="206">
                  <c:v>3.944</c:v>
                </c:pt>
                <c:pt idx="207">
                  <c:v>25.93</c:v>
                </c:pt>
                <c:pt idx="208">
                  <c:v>66.64</c:v>
                </c:pt>
                <c:pt idx="209">
                  <c:v>90.296000000000006</c:v>
                </c:pt>
                <c:pt idx="210">
                  <c:v>124.24</c:v>
                </c:pt>
                <c:pt idx="211">
                  <c:v>151.523</c:v>
                </c:pt>
                <c:pt idx="212">
                  <c:v>157.71199999999999</c:v>
                </c:pt>
                <c:pt idx="213">
                  <c:v>150.244</c:v>
                </c:pt>
                <c:pt idx="214">
                  <c:v>122.38200000000001</c:v>
                </c:pt>
                <c:pt idx="215">
                  <c:v>113.49</c:v>
                </c:pt>
                <c:pt idx="216">
                  <c:v>116.24299999999999</c:v>
                </c:pt>
                <c:pt idx="217">
                  <c:v>102.438</c:v>
                </c:pt>
                <c:pt idx="218">
                  <c:v>88.927000000000007</c:v>
                </c:pt>
                <c:pt idx="219">
                  <c:v>82.756</c:v>
                </c:pt>
                <c:pt idx="220">
                  <c:v>46.942999999999998</c:v>
                </c:pt>
                <c:pt idx="221">
                  <c:v>11.651</c:v>
                </c:pt>
                <c:pt idx="222">
                  <c:v>7.7770000000000001</c:v>
                </c:pt>
                <c:pt idx="223">
                  <c:v>5.3529999999999998</c:v>
                </c:pt>
                <c:pt idx="224">
                  <c:v>4.0730000000000004</c:v>
                </c:pt>
                <c:pt idx="225">
                  <c:v>3.327</c:v>
                </c:pt>
                <c:pt idx="226">
                  <c:v>2.8820000000000001</c:v>
                </c:pt>
                <c:pt idx="227">
                  <c:v>2.5219999999999998</c:v>
                </c:pt>
                <c:pt idx="228">
                  <c:v>2.181</c:v>
                </c:pt>
                <c:pt idx="229">
                  <c:v>1.8839999999999999</c:v>
                </c:pt>
                <c:pt idx="230">
                  <c:v>1.6419999999999999</c:v>
                </c:pt>
                <c:pt idx="231">
                  <c:v>1.3620000000000001</c:v>
                </c:pt>
                <c:pt idx="232">
                  <c:v>1.173</c:v>
                </c:pt>
                <c:pt idx="233">
                  <c:v>0.998</c:v>
                </c:pt>
                <c:pt idx="234">
                  <c:v>0.86699999999999999</c:v>
                </c:pt>
                <c:pt idx="235">
                  <c:v>0.80100000000000005</c:v>
                </c:pt>
                <c:pt idx="236">
                  <c:v>0.86899999999999999</c:v>
                </c:pt>
                <c:pt idx="237">
                  <c:v>1.022</c:v>
                </c:pt>
                <c:pt idx="238">
                  <c:v>1.1339999999999999</c:v>
                </c:pt>
                <c:pt idx="239">
                  <c:v>1.1850000000000001</c:v>
                </c:pt>
                <c:pt idx="240">
                  <c:v>1.1759999999999999</c:v>
                </c:pt>
                <c:pt idx="241">
                  <c:v>1.111</c:v>
                </c:pt>
                <c:pt idx="242">
                  <c:v>1.022</c:v>
                </c:pt>
                <c:pt idx="243">
                  <c:v>0.90100000000000002</c:v>
                </c:pt>
                <c:pt idx="244">
                  <c:v>0.749</c:v>
                </c:pt>
                <c:pt idx="245">
                  <c:v>0.621</c:v>
                </c:pt>
                <c:pt idx="246">
                  <c:v>0.51800000000000002</c:v>
                </c:pt>
                <c:pt idx="247">
                  <c:v>0.43</c:v>
                </c:pt>
                <c:pt idx="248">
                  <c:v>0.33500000000000002</c:v>
                </c:pt>
                <c:pt idx="249">
                  <c:v>0.23</c:v>
                </c:pt>
                <c:pt idx="250">
                  <c:v>0.13</c:v>
                </c:pt>
                <c:pt idx="251">
                  <c:v>4.8000000000000001E-2</c:v>
                </c:pt>
                <c:pt idx="252">
                  <c:v>1.4E-2</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0.28599999999999998</c:v>
                </c:pt>
                <c:pt idx="314">
                  <c:v>0.85699999999999998</c:v>
                </c:pt>
                <c:pt idx="315">
                  <c:v>0.74399999999999999</c:v>
                </c:pt>
                <c:pt idx="316">
                  <c:v>0.68500000000000005</c:v>
                </c:pt>
                <c:pt idx="317">
                  <c:v>0.70199999999999996</c:v>
                </c:pt>
                <c:pt idx="318">
                  <c:v>0.74299999999999999</c:v>
                </c:pt>
                <c:pt idx="319">
                  <c:v>1.0389999999999999</c:v>
                </c:pt>
                <c:pt idx="320">
                  <c:v>1.236</c:v>
                </c:pt>
                <c:pt idx="321">
                  <c:v>1.1479999999999999</c:v>
                </c:pt>
                <c:pt idx="322">
                  <c:v>1.03</c:v>
                </c:pt>
                <c:pt idx="323">
                  <c:v>0.97</c:v>
                </c:pt>
                <c:pt idx="324">
                  <c:v>0.98799999999999999</c:v>
                </c:pt>
                <c:pt idx="325">
                  <c:v>1.103</c:v>
                </c:pt>
                <c:pt idx="326">
                  <c:v>1.19</c:v>
                </c:pt>
                <c:pt idx="327">
                  <c:v>1.167</c:v>
                </c:pt>
                <c:pt idx="328">
                  <c:v>1.129</c:v>
                </c:pt>
                <c:pt idx="329">
                  <c:v>1.1200000000000001</c:v>
                </c:pt>
                <c:pt idx="330">
                  <c:v>1.1200000000000001</c:v>
                </c:pt>
                <c:pt idx="331">
                  <c:v>1.228</c:v>
                </c:pt>
                <c:pt idx="332">
                  <c:v>1.232</c:v>
                </c:pt>
                <c:pt idx="333">
                  <c:v>1.23</c:v>
                </c:pt>
                <c:pt idx="334">
                  <c:v>1.1839999999999999</c:v>
                </c:pt>
                <c:pt idx="335">
                  <c:v>1.117</c:v>
                </c:pt>
                <c:pt idx="336">
                  <c:v>1.0129999999999999</c:v>
                </c:pt>
                <c:pt idx="337">
                  <c:v>0.94399999999999995</c:v>
                </c:pt>
                <c:pt idx="338">
                  <c:v>0.94499999999999995</c:v>
                </c:pt>
                <c:pt idx="339">
                  <c:v>0.92400000000000004</c:v>
                </c:pt>
                <c:pt idx="340">
                  <c:v>1.089</c:v>
                </c:pt>
                <c:pt idx="341">
                  <c:v>0.68</c:v>
                </c:pt>
                <c:pt idx="342">
                  <c:v>0.55300000000000005</c:v>
                </c:pt>
                <c:pt idx="343">
                  <c:v>0.47699999999999998</c:v>
                </c:pt>
                <c:pt idx="344">
                  <c:v>0.41499999999999998</c:v>
                </c:pt>
                <c:pt idx="345">
                  <c:v>0.38500000000000001</c:v>
                </c:pt>
                <c:pt idx="346">
                  <c:v>0.34699999999999998</c:v>
                </c:pt>
                <c:pt idx="347">
                  <c:v>0.30099999999999999</c:v>
                </c:pt>
                <c:pt idx="348">
                  <c:v>0.27100000000000002</c:v>
                </c:pt>
                <c:pt idx="349">
                  <c:v>0.252</c:v>
                </c:pt>
                <c:pt idx="350">
                  <c:v>0.23200000000000001</c:v>
                </c:pt>
                <c:pt idx="351">
                  <c:v>0.20499999999999999</c:v>
                </c:pt>
                <c:pt idx="352">
                  <c:v>0.17699999999999999</c:v>
                </c:pt>
                <c:pt idx="353">
                  <c:v>0.153</c:v>
                </c:pt>
                <c:pt idx="354">
                  <c:v>0.124</c:v>
                </c:pt>
                <c:pt idx="355">
                  <c:v>0.20799999999999999</c:v>
                </c:pt>
                <c:pt idx="356">
                  <c:v>0.252</c:v>
                </c:pt>
                <c:pt idx="357">
                  <c:v>0.221</c:v>
                </c:pt>
                <c:pt idx="358">
                  <c:v>0.20599999999999999</c:v>
                </c:pt>
                <c:pt idx="359">
                  <c:v>0.16600000000000001</c:v>
                </c:pt>
                <c:pt idx="360">
                  <c:v>0.14599999999999999</c:v>
                </c:pt>
                <c:pt idx="361">
                  <c:v>0.109</c:v>
                </c:pt>
                <c:pt idx="362">
                  <c:v>7.8E-2</c:v>
                </c:pt>
                <c:pt idx="363">
                  <c:v>0.06</c:v>
                </c:pt>
                <c:pt idx="364">
                  <c:v>4.4999999999999998E-2</c:v>
                </c:pt>
                <c:pt idx="365">
                  <c:v>3.4000000000000002E-2</c:v>
                </c:pt>
              </c:numCache>
            </c:numRef>
          </c:val>
          <c:smooth val="0"/>
        </c:ser>
        <c:ser>
          <c:idx val="3"/>
          <c:order val="3"/>
          <c:tx>
            <c:strRef>
              <c:f>Inflows!$E$1</c:f>
              <c:strCache>
                <c:ptCount val="1"/>
                <c:pt idx="0">
                  <c:v>Environmental Water to Lower Gwydir and Gingham Wetlands</c:v>
                </c:pt>
              </c:strCache>
            </c:strRef>
          </c:tx>
          <c:spPr>
            <a:ln w="54937">
              <a:solidFill>
                <a:srgbClr val="FFC000"/>
              </a:solidFill>
            </a:ln>
          </c:spPr>
          <c:marker>
            <c:symbol val="none"/>
          </c:marker>
          <c:cat>
            <c:numRef>
              <c:f>Inflows!$A$5:$A$370</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Inflows!$E$5:$E$370</c:f>
              <c:numCache>
                <c:formatCode>General</c:formatCode>
                <c:ptCount val="366"/>
                <c:pt idx="196">
                  <c:v>2100</c:v>
                </c:pt>
                <c:pt idx="197">
                  <c:v>2100</c:v>
                </c:pt>
                <c:pt idx="198">
                  <c:v>2100</c:v>
                </c:pt>
                <c:pt idx="199">
                  <c:v>2100</c:v>
                </c:pt>
                <c:pt idx="200">
                  <c:v>2100</c:v>
                </c:pt>
                <c:pt idx="201">
                  <c:v>2100</c:v>
                </c:pt>
                <c:pt idx="202">
                  <c:v>2100</c:v>
                </c:pt>
                <c:pt idx="203">
                  <c:v>2100</c:v>
                </c:pt>
                <c:pt idx="287">
                  <c:v>2100</c:v>
                </c:pt>
                <c:pt idx="288">
                  <c:v>2100</c:v>
                </c:pt>
                <c:pt idx="289">
                  <c:v>2100</c:v>
                </c:pt>
                <c:pt idx="290">
                  <c:v>2100</c:v>
                </c:pt>
                <c:pt idx="291">
                  <c:v>2100</c:v>
                </c:pt>
                <c:pt idx="292">
                  <c:v>2100</c:v>
                </c:pt>
                <c:pt idx="293">
                  <c:v>2100</c:v>
                </c:pt>
                <c:pt idx="294">
                  <c:v>2100</c:v>
                </c:pt>
                <c:pt idx="295">
                  <c:v>2100</c:v>
                </c:pt>
                <c:pt idx="296">
                  <c:v>2100</c:v>
                </c:pt>
                <c:pt idx="297">
                  <c:v>2100</c:v>
                </c:pt>
                <c:pt idx="298">
                  <c:v>2100</c:v>
                </c:pt>
                <c:pt idx="299">
                  <c:v>2100</c:v>
                </c:pt>
                <c:pt idx="300">
                  <c:v>2100</c:v>
                </c:pt>
                <c:pt idx="301">
                  <c:v>2100</c:v>
                </c:pt>
                <c:pt idx="302">
                  <c:v>2100</c:v>
                </c:pt>
                <c:pt idx="303">
                  <c:v>2100</c:v>
                </c:pt>
                <c:pt idx="304">
                  <c:v>2100</c:v>
                </c:pt>
                <c:pt idx="305">
                  <c:v>2100</c:v>
                </c:pt>
                <c:pt idx="306">
                  <c:v>2100</c:v>
                </c:pt>
                <c:pt idx="307">
                  <c:v>2100</c:v>
                </c:pt>
                <c:pt idx="308">
                  <c:v>2100</c:v>
                </c:pt>
                <c:pt idx="309">
                  <c:v>2100</c:v>
                </c:pt>
                <c:pt idx="310">
                  <c:v>2100</c:v>
                </c:pt>
                <c:pt idx="311">
                  <c:v>2100</c:v>
                </c:pt>
                <c:pt idx="312">
                  <c:v>2100</c:v>
                </c:pt>
                <c:pt idx="313">
                  <c:v>2100</c:v>
                </c:pt>
                <c:pt idx="314">
                  <c:v>2100</c:v>
                </c:pt>
                <c:pt idx="315">
                  <c:v>2100</c:v>
                </c:pt>
                <c:pt idx="316">
                  <c:v>2100</c:v>
                </c:pt>
                <c:pt idx="317">
                  <c:v>2100</c:v>
                </c:pt>
                <c:pt idx="318">
                  <c:v>2100</c:v>
                </c:pt>
                <c:pt idx="319">
                  <c:v>2100</c:v>
                </c:pt>
                <c:pt idx="320">
                  <c:v>2100</c:v>
                </c:pt>
                <c:pt idx="321">
                  <c:v>2100</c:v>
                </c:pt>
                <c:pt idx="322">
                  <c:v>2100</c:v>
                </c:pt>
              </c:numCache>
            </c:numRef>
          </c:val>
          <c:smooth val="0"/>
        </c:ser>
        <c:ser>
          <c:idx val="5"/>
          <c:order val="4"/>
          <c:tx>
            <c:strRef>
              <c:f>Inflows!$F$1</c:f>
              <c:strCache>
                <c:ptCount val="1"/>
                <c:pt idx="0">
                  <c:v>Environmental Water to Mallowa</c:v>
                </c:pt>
              </c:strCache>
            </c:strRef>
          </c:tx>
          <c:spPr>
            <a:ln w="54937">
              <a:solidFill>
                <a:schemeClr val="tx1"/>
              </a:solidFill>
            </a:ln>
          </c:spPr>
          <c:marker>
            <c:symbol val="none"/>
          </c:marker>
          <c:cat>
            <c:numRef>
              <c:f>Inflows!$A$5:$A$370</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Inflows!$F$5:$F$370</c:f>
              <c:numCache>
                <c:formatCode>General</c:formatCode>
                <c:ptCount val="366"/>
                <c:pt idx="132">
                  <c:v>1900</c:v>
                </c:pt>
                <c:pt idx="133">
                  <c:v>1900</c:v>
                </c:pt>
                <c:pt idx="134">
                  <c:v>1900</c:v>
                </c:pt>
                <c:pt idx="135">
                  <c:v>1900</c:v>
                </c:pt>
                <c:pt idx="136">
                  <c:v>1900</c:v>
                </c:pt>
                <c:pt idx="137">
                  <c:v>1900</c:v>
                </c:pt>
                <c:pt idx="177">
                  <c:v>1900</c:v>
                </c:pt>
                <c:pt idx="178">
                  <c:v>1900</c:v>
                </c:pt>
                <c:pt idx="179">
                  <c:v>1900</c:v>
                </c:pt>
                <c:pt idx="180">
                  <c:v>1900</c:v>
                </c:pt>
                <c:pt idx="181">
                  <c:v>1900</c:v>
                </c:pt>
                <c:pt idx="182">
                  <c:v>1900</c:v>
                </c:pt>
                <c:pt idx="183">
                  <c:v>1900</c:v>
                </c:pt>
                <c:pt idx="184">
                  <c:v>1900</c:v>
                </c:pt>
                <c:pt idx="185">
                  <c:v>1900</c:v>
                </c:pt>
                <c:pt idx="186">
                  <c:v>1900</c:v>
                </c:pt>
                <c:pt idx="187">
                  <c:v>1900</c:v>
                </c:pt>
                <c:pt idx="188">
                  <c:v>1900</c:v>
                </c:pt>
                <c:pt idx="189">
                  <c:v>1900</c:v>
                </c:pt>
                <c:pt idx="190">
                  <c:v>1900</c:v>
                </c:pt>
                <c:pt idx="191">
                  <c:v>1900</c:v>
                </c:pt>
                <c:pt idx="192">
                  <c:v>1900</c:v>
                </c:pt>
                <c:pt idx="193">
                  <c:v>1900</c:v>
                </c:pt>
                <c:pt idx="207">
                  <c:v>1900</c:v>
                </c:pt>
                <c:pt idx="208">
                  <c:v>1900</c:v>
                </c:pt>
                <c:pt idx="209">
                  <c:v>1900</c:v>
                </c:pt>
                <c:pt idx="210">
                  <c:v>1900</c:v>
                </c:pt>
                <c:pt idx="211">
                  <c:v>1900</c:v>
                </c:pt>
                <c:pt idx="212">
                  <c:v>1900</c:v>
                </c:pt>
                <c:pt idx="213">
                  <c:v>1900</c:v>
                </c:pt>
                <c:pt idx="214">
                  <c:v>1900</c:v>
                </c:pt>
                <c:pt idx="215">
                  <c:v>1900</c:v>
                </c:pt>
                <c:pt idx="216">
                  <c:v>1900</c:v>
                </c:pt>
                <c:pt idx="217">
                  <c:v>1900</c:v>
                </c:pt>
                <c:pt idx="218">
                  <c:v>1900</c:v>
                </c:pt>
                <c:pt idx="219">
                  <c:v>1900</c:v>
                </c:pt>
                <c:pt idx="287">
                  <c:v>1900</c:v>
                </c:pt>
                <c:pt idx="288">
                  <c:v>1900</c:v>
                </c:pt>
                <c:pt idx="289">
                  <c:v>1900</c:v>
                </c:pt>
                <c:pt idx="290">
                  <c:v>1900</c:v>
                </c:pt>
                <c:pt idx="291">
                  <c:v>1900</c:v>
                </c:pt>
                <c:pt idx="292">
                  <c:v>1900</c:v>
                </c:pt>
                <c:pt idx="293">
                  <c:v>1900</c:v>
                </c:pt>
                <c:pt idx="294">
                  <c:v>1900</c:v>
                </c:pt>
                <c:pt idx="295">
                  <c:v>1900</c:v>
                </c:pt>
                <c:pt idx="296">
                  <c:v>1900</c:v>
                </c:pt>
                <c:pt idx="297">
                  <c:v>1900</c:v>
                </c:pt>
                <c:pt idx="298">
                  <c:v>1900</c:v>
                </c:pt>
                <c:pt idx="299">
                  <c:v>1900</c:v>
                </c:pt>
                <c:pt idx="300">
                  <c:v>1900</c:v>
                </c:pt>
                <c:pt idx="301">
                  <c:v>1900</c:v>
                </c:pt>
                <c:pt idx="302">
                  <c:v>1900</c:v>
                </c:pt>
                <c:pt idx="303">
                  <c:v>1900</c:v>
                </c:pt>
                <c:pt idx="304">
                  <c:v>1900</c:v>
                </c:pt>
                <c:pt idx="305">
                  <c:v>1900</c:v>
                </c:pt>
                <c:pt idx="306">
                  <c:v>1900</c:v>
                </c:pt>
                <c:pt idx="307">
                  <c:v>1900</c:v>
                </c:pt>
                <c:pt idx="308">
                  <c:v>1900</c:v>
                </c:pt>
                <c:pt idx="309">
                  <c:v>1900</c:v>
                </c:pt>
                <c:pt idx="310">
                  <c:v>1900</c:v>
                </c:pt>
                <c:pt idx="311">
                  <c:v>1900</c:v>
                </c:pt>
                <c:pt idx="312">
                  <c:v>1900</c:v>
                </c:pt>
                <c:pt idx="313">
                  <c:v>1900</c:v>
                </c:pt>
                <c:pt idx="314">
                  <c:v>1900</c:v>
                </c:pt>
                <c:pt idx="315">
                  <c:v>1900</c:v>
                </c:pt>
                <c:pt idx="316">
                  <c:v>1900</c:v>
                </c:pt>
                <c:pt idx="317">
                  <c:v>1900</c:v>
                </c:pt>
                <c:pt idx="318">
                  <c:v>1900</c:v>
                </c:pt>
                <c:pt idx="319">
                  <c:v>1900</c:v>
                </c:pt>
                <c:pt idx="320">
                  <c:v>1900</c:v>
                </c:pt>
                <c:pt idx="321">
                  <c:v>1900</c:v>
                </c:pt>
                <c:pt idx="322">
                  <c:v>1900</c:v>
                </c:pt>
              </c:numCache>
            </c:numRef>
          </c:val>
          <c:smooth val="0"/>
        </c:ser>
        <c:dLbls>
          <c:showLegendKey val="0"/>
          <c:showVal val="0"/>
          <c:showCatName val="0"/>
          <c:showSerName val="0"/>
          <c:showPercent val="0"/>
          <c:showBubbleSize val="0"/>
        </c:dLbls>
        <c:smooth val="0"/>
        <c:axId val="697687296"/>
        <c:axId val="697687688"/>
      </c:lineChart>
      <c:dateAx>
        <c:axId val="697687296"/>
        <c:scaling>
          <c:orientation val="minMax"/>
        </c:scaling>
        <c:delete val="0"/>
        <c:axPos val="b"/>
        <c:numFmt formatCode="m/d/yyyy" sourceLinked="0"/>
        <c:majorTickMark val="out"/>
        <c:minorTickMark val="none"/>
        <c:tickLblPos val="nextTo"/>
        <c:crossAx val="697687688"/>
        <c:crosses val="autoZero"/>
        <c:auto val="1"/>
        <c:lblOffset val="100"/>
        <c:baseTimeUnit val="days"/>
      </c:dateAx>
      <c:valAx>
        <c:axId val="697687688"/>
        <c:scaling>
          <c:orientation val="minMax"/>
        </c:scaling>
        <c:delete val="0"/>
        <c:axPos val="l"/>
        <c:title>
          <c:tx>
            <c:rich>
              <a:bodyPr/>
              <a:lstStyle/>
              <a:p>
                <a:pPr>
                  <a:defRPr sz="961" b="0" i="0" u="none" strike="noStrike" baseline="0">
                    <a:solidFill>
                      <a:srgbClr val="000000"/>
                    </a:solidFill>
                    <a:latin typeface="Arial"/>
                    <a:ea typeface="Arial"/>
                    <a:cs typeface="Arial"/>
                  </a:defRPr>
                </a:pPr>
                <a:r>
                  <a:rPr lang="en-AU"/>
                  <a:t>Flow (ML/d)</a:t>
                </a:r>
              </a:p>
            </c:rich>
          </c:tx>
          <c:layout/>
          <c:overlay val="0"/>
        </c:title>
        <c:numFmt formatCode="#,##0" sourceLinked="0"/>
        <c:majorTickMark val="out"/>
        <c:minorTickMark val="none"/>
        <c:tickLblPos val="nextTo"/>
        <c:crossAx val="697687296"/>
        <c:crosses val="autoZero"/>
        <c:crossBetween val="between"/>
      </c:valAx>
      <c:spPr>
        <a:noFill/>
        <a:ln w="24417">
          <a:noFill/>
        </a:ln>
      </c:spPr>
    </c:plotArea>
    <c:legend>
      <c:legendPos val="r"/>
      <c:layout>
        <c:manualLayout>
          <c:xMode val="edge"/>
          <c:yMode val="edge"/>
          <c:x val="3.3993596268519929E-3"/>
          <c:y val="0.73381793872843137"/>
          <c:w val="0.99473178036995014"/>
          <c:h val="0.26618206127156863"/>
        </c:manualLayout>
      </c:layout>
      <c:overlay val="0"/>
    </c:legend>
    <c:plotVisOnly val="1"/>
    <c:dispBlanksAs val="gap"/>
    <c:showDLblsOverMax val="0"/>
  </c:chart>
  <c:spPr>
    <a:noFill/>
    <a:ln>
      <a:noFill/>
    </a:ln>
  </c:spPr>
  <c:txPr>
    <a:bodyPr/>
    <a:lstStyle/>
    <a:p>
      <a:pPr>
        <a:defRPr sz="961" b="0">
          <a:latin typeface="Arial" pitchFamily="34" charset="0"/>
          <a:cs typeface="Arial"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spPr>
            <a:ln w="28565" cap="rnd">
              <a:solidFill>
                <a:schemeClr val="accent1"/>
              </a:solidFill>
              <a:round/>
            </a:ln>
            <a:effectLst/>
          </c:spPr>
          <c:marker>
            <c:symbol val="none"/>
          </c:marker>
          <c:cat>
            <c:numRef>
              <c:f>'Moree Daily Rainfall 2015-16'!$F$2:$F$367</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'Moree Daily Rainfall 2015-16'!$G$2:$G$367</c:f>
              <c:numCache>
                <c:formatCode>General</c:formatCode>
                <c:ptCount val="366"/>
                <c:pt idx="0">
                  <c:v>3.8</c:v>
                </c:pt>
                <c:pt idx="1">
                  <c:v>0.2</c:v>
                </c:pt>
                <c:pt idx="4">
                  <c:v>0.2</c:v>
                </c:pt>
                <c:pt idx="5">
                  <c:v>0</c:v>
                </c:pt>
                <c:pt idx="6">
                  <c:v>0</c:v>
                </c:pt>
                <c:pt idx="7">
                  <c:v>0</c:v>
                </c:pt>
                <c:pt idx="8">
                  <c:v>0</c:v>
                </c:pt>
                <c:pt idx="12">
                  <c:v>8</c:v>
                </c:pt>
                <c:pt idx="13">
                  <c:v>0</c:v>
                </c:pt>
                <c:pt idx="14">
                  <c:v>0</c:v>
                </c:pt>
                <c:pt idx="15">
                  <c:v>1.8</c:v>
                </c:pt>
                <c:pt idx="18">
                  <c:v>0.4</c:v>
                </c:pt>
                <c:pt idx="19">
                  <c:v>0</c:v>
                </c:pt>
                <c:pt idx="20">
                  <c:v>0</c:v>
                </c:pt>
                <c:pt idx="21">
                  <c:v>0</c:v>
                </c:pt>
                <c:pt idx="22">
                  <c:v>2.6</c:v>
                </c:pt>
                <c:pt idx="26">
                  <c:v>17.8</c:v>
                </c:pt>
                <c:pt idx="27">
                  <c:v>0.2</c:v>
                </c:pt>
                <c:pt idx="28">
                  <c:v>0</c:v>
                </c:pt>
                <c:pt idx="29">
                  <c:v>0</c:v>
                </c:pt>
                <c:pt idx="30">
                  <c:v>0</c:v>
                </c:pt>
                <c:pt idx="31">
                  <c:v>0</c:v>
                </c:pt>
                <c:pt idx="32">
                  <c:v>0</c:v>
                </c:pt>
                <c:pt idx="33">
                  <c:v>0</c:v>
                </c:pt>
                <c:pt idx="34">
                  <c:v>0</c:v>
                </c:pt>
                <c:pt idx="35">
                  <c:v>0</c:v>
                </c:pt>
                <c:pt idx="36">
                  <c:v>0.2</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4">
                  <c:v>4.8</c:v>
                </c:pt>
                <c:pt idx="55">
                  <c:v>0.6</c:v>
                </c:pt>
                <c:pt idx="56">
                  <c:v>0</c:v>
                </c:pt>
                <c:pt idx="57">
                  <c:v>1</c:v>
                </c:pt>
                <c:pt idx="58">
                  <c:v>4</c:v>
                </c:pt>
                <c:pt idx="59">
                  <c:v>0</c:v>
                </c:pt>
                <c:pt idx="60">
                  <c:v>0</c:v>
                </c:pt>
                <c:pt idx="61">
                  <c:v>0</c:v>
                </c:pt>
                <c:pt idx="62">
                  <c:v>0</c:v>
                </c:pt>
                <c:pt idx="63">
                  <c:v>0</c:v>
                </c:pt>
                <c:pt idx="64">
                  <c:v>2</c:v>
                </c:pt>
                <c:pt idx="65">
                  <c:v>1.4</c:v>
                </c:pt>
                <c:pt idx="66">
                  <c:v>0</c:v>
                </c:pt>
                <c:pt idx="67">
                  <c:v>0</c:v>
                </c:pt>
                <c:pt idx="68">
                  <c:v>0</c:v>
                </c:pt>
                <c:pt idx="69">
                  <c:v>0</c:v>
                </c:pt>
                <c:pt idx="70">
                  <c:v>0</c:v>
                </c:pt>
                <c:pt idx="71">
                  <c:v>0</c:v>
                </c:pt>
                <c:pt idx="72">
                  <c:v>0</c:v>
                </c:pt>
                <c:pt idx="73">
                  <c:v>0</c:v>
                </c:pt>
                <c:pt idx="74">
                  <c:v>0</c:v>
                </c:pt>
                <c:pt idx="75">
                  <c:v>0</c:v>
                </c:pt>
                <c:pt idx="76">
                  <c:v>0</c:v>
                </c:pt>
                <c:pt idx="77">
                  <c:v>0.6</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0.2</c:v>
                </c:pt>
                <c:pt idx="112">
                  <c:v>0</c:v>
                </c:pt>
                <c:pt idx="113">
                  <c:v>5</c:v>
                </c:pt>
                <c:pt idx="114">
                  <c:v>0</c:v>
                </c:pt>
                <c:pt idx="115">
                  <c:v>0</c:v>
                </c:pt>
                <c:pt idx="116">
                  <c:v>0</c:v>
                </c:pt>
                <c:pt idx="117">
                  <c:v>0</c:v>
                </c:pt>
                <c:pt idx="118">
                  <c:v>3</c:v>
                </c:pt>
                <c:pt idx="119">
                  <c:v>1.4</c:v>
                </c:pt>
                <c:pt idx="120">
                  <c:v>0</c:v>
                </c:pt>
                <c:pt idx="121">
                  <c:v>0</c:v>
                </c:pt>
                <c:pt idx="122">
                  <c:v>0</c:v>
                </c:pt>
                <c:pt idx="124">
                  <c:v>7.8</c:v>
                </c:pt>
                <c:pt idx="125">
                  <c:v>1.8</c:v>
                </c:pt>
                <c:pt idx="126">
                  <c:v>0.4</c:v>
                </c:pt>
                <c:pt idx="127">
                  <c:v>39.799999999999997</c:v>
                </c:pt>
                <c:pt idx="128">
                  <c:v>11.2</c:v>
                </c:pt>
                <c:pt idx="129">
                  <c:v>0</c:v>
                </c:pt>
                <c:pt idx="130">
                  <c:v>0</c:v>
                </c:pt>
                <c:pt idx="131">
                  <c:v>0.8</c:v>
                </c:pt>
                <c:pt idx="132">
                  <c:v>0</c:v>
                </c:pt>
                <c:pt idx="133">
                  <c:v>0</c:v>
                </c:pt>
                <c:pt idx="134">
                  <c:v>0</c:v>
                </c:pt>
                <c:pt idx="135">
                  <c:v>0</c:v>
                </c:pt>
                <c:pt idx="137">
                  <c:v>12.4</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4.8</c:v>
                </c:pt>
                <c:pt idx="155">
                  <c:v>0</c:v>
                </c:pt>
                <c:pt idx="156">
                  <c:v>0</c:v>
                </c:pt>
                <c:pt idx="157">
                  <c:v>0</c:v>
                </c:pt>
                <c:pt idx="158">
                  <c:v>0</c:v>
                </c:pt>
                <c:pt idx="159">
                  <c:v>0</c:v>
                </c:pt>
                <c:pt idx="160">
                  <c:v>0</c:v>
                </c:pt>
                <c:pt idx="161">
                  <c:v>0.6</c:v>
                </c:pt>
                <c:pt idx="162">
                  <c:v>0</c:v>
                </c:pt>
                <c:pt idx="163">
                  <c:v>0</c:v>
                </c:pt>
                <c:pt idx="164">
                  <c:v>0</c:v>
                </c:pt>
                <c:pt idx="165">
                  <c:v>0</c:v>
                </c:pt>
                <c:pt idx="166">
                  <c:v>0</c:v>
                </c:pt>
                <c:pt idx="167">
                  <c:v>0</c:v>
                </c:pt>
                <c:pt idx="168">
                  <c:v>3.2</c:v>
                </c:pt>
                <c:pt idx="169">
                  <c:v>39</c:v>
                </c:pt>
                <c:pt idx="172">
                  <c:v>0.2</c:v>
                </c:pt>
                <c:pt idx="173">
                  <c:v>0</c:v>
                </c:pt>
                <c:pt idx="174">
                  <c:v>0</c:v>
                </c:pt>
                <c:pt idx="175">
                  <c:v>1.8</c:v>
                </c:pt>
                <c:pt idx="176">
                  <c:v>0.2</c:v>
                </c:pt>
                <c:pt idx="180">
                  <c:v>11.4</c:v>
                </c:pt>
                <c:pt idx="181">
                  <c:v>0</c:v>
                </c:pt>
                <c:pt idx="182">
                  <c:v>0</c:v>
                </c:pt>
                <c:pt idx="183">
                  <c:v>0</c:v>
                </c:pt>
                <c:pt idx="186">
                  <c:v>22.4</c:v>
                </c:pt>
                <c:pt idx="187">
                  <c:v>20.6</c:v>
                </c:pt>
                <c:pt idx="188">
                  <c:v>0.2</c:v>
                </c:pt>
                <c:pt idx="189">
                  <c:v>0.6</c:v>
                </c:pt>
                <c:pt idx="190">
                  <c:v>0</c:v>
                </c:pt>
                <c:pt idx="191">
                  <c:v>0</c:v>
                </c:pt>
                <c:pt idx="192">
                  <c:v>0</c:v>
                </c:pt>
                <c:pt idx="193">
                  <c:v>0</c:v>
                </c:pt>
                <c:pt idx="194">
                  <c:v>0</c:v>
                </c:pt>
                <c:pt idx="195">
                  <c:v>0</c:v>
                </c:pt>
                <c:pt idx="196">
                  <c:v>0</c:v>
                </c:pt>
                <c:pt idx="197">
                  <c:v>0</c:v>
                </c:pt>
                <c:pt idx="200">
                  <c:v>2</c:v>
                </c:pt>
                <c:pt idx="201">
                  <c:v>0</c:v>
                </c:pt>
                <c:pt idx="202">
                  <c:v>0</c:v>
                </c:pt>
                <c:pt idx="203">
                  <c:v>0</c:v>
                </c:pt>
                <c:pt idx="204">
                  <c:v>0</c:v>
                </c:pt>
                <c:pt idx="208">
                  <c:v>2.2000000000000002</c:v>
                </c:pt>
                <c:pt idx="209">
                  <c:v>1.4</c:v>
                </c:pt>
                <c:pt idx="211">
                  <c:v>29</c:v>
                </c:pt>
                <c:pt idx="214">
                  <c:v>7.6</c:v>
                </c:pt>
                <c:pt idx="215">
                  <c:v>0</c:v>
                </c:pt>
                <c:pt idx="216">
                  <c:v>0</c:v>
                </c:pt>
                <c:pt idx="217">
                  <c:v>0.4</c:v>
                </c:pt>
                <c:pt idx="218">
                  <c:v>0.4</c:v>
                </c:pt>
                <c:pt idx="222">
                  <c:v>1.2</c:v>
                </c:pt>
                <c:pt idx="223">
                  <c:v>0</c:v>
                </c:pt>
                <c:pt idx="224">
                  <c:v>0</c:v>
                </c:pt>
                <c:pt idx="225">
                  <c:v>0</c:v>
                </c:pt>
                <c:pt idx="228">
                  <c:v>0</c:v>
                </c:pt>
                <c:pt idx="229">
                  <c:v>0</c:v>
                </c:pt>
                <c:pt idx="230">
                  <c:v>0</c:v>
                </c:pt>
                <c:pt idx="231">
                  <c:v>0</c:v>
                </c:pt>
                <c:pt idx="232">
                  <c:v>0</c:v>
                </c:pt>
                <c:pt idx="236">
                  <c:v>1.2</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66">
                  <c:v>5.8</c:v>
                </c:pt>
                <c:pt idx="267">
                  <c:v>0</c:v>
                </c:pt>
                <c:pt idx="268">
                  <c:v>0</c:v>
                </c:pt>
                <c:pt idx="269">
                  <c:v>0</c:v>
                </c:pt>
                <c:pt idx="270">
                  <c:v>0</c:v>
                </c:pt>
                <c:pt idx="271">
                  <c:v>0</c:v>
                </c:pt>
                <c:pt idx="272">
                  <c:v>0</c:v>
                </c:pt>
                <c:pt idx="273">
                  <c:v>0</c:v>
                </c:pt>
                <c:pt idx="274">
                  <c:v>2.2000000000000002</c:v>
                </c:pt>
                <c:pt idx="275">
                  <c:v>0</c:v>
                </c:pt>
                <c:pt idx="276">
                  <c:v>0</c:v>
                </c:pt>
                <c:pt idx="277">
                  <c:v>0</c:v>
                </c:pt>
                <c:pt idx="278">
                  <c:v>0</c:v>
                </c:pt>
                <c:pt idx="279">
                  <c:v>0</c:v>
                </c:pt>
                <c:pt idx="284">
                  <c:v>0.4</c:v>
                </c:pt>
                <c:pt idx="285">
                  <c:v>13.2</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5">
                  <c:v>0</c:v>
                </c:pt>
                <c:pt idx="306">
                  <c:v>3</c:v>
                </c:pt>
                <c:pt idx="307">
                  <c:v>18.399999999999999</c:v>
                </c:pt>
                <c:pt idx="308">
                  <c:v>0</c:v>
                </c:pt>
                <c:pt idx="309">
                  <c:v>0</c:v>
                </c:pt>
                <c:pt idx="310">
                  <c:v>0</c:v>
                </c:pt>
                <c:pt idx="311">
                  <c:v>0</c:v>
                </c:pt>
                <c:pt idx="312">
                  <c:v>0</c:v>
                </c:pt>
                <c:pt idx="313">
                  <c:v>0</c:v>
                </c:pt>
                <c:pt idx="314">
                  <c:v>1.4</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12</c:v>
                </c:pt>
                <c:pt idx="336">
                  <c:v>0</c:v>
                </c:pt>
                <c:pt idx="337">
                  <c:v>1.6</c:v>
                </c:pt>
                <c:pt idx="338">
                  <c:v>0</c:v>
                </c:pt>
                <c:pt idx="339">
                  <c:v>20.6</c:v>
                </c:pt>
                <c:pt idx="340">
                  <c:v>1.4</c:v>
                </c:pt>
                <c:pt idx="341">
                  <c:v>1.2</c:v>
                </c:pt>
                <c:pt idx="342">
                  <c:v>0</c:v>
                </c:pt>
                <c:pt idx="343">
                  <c:v>0</c:v>
                </c:pt>
                <c:pt idx="344">
                  <c:v>0</c:v>
                </c:pt>
                <c:pt idx="345">
                  <c:v>0</c:v>
                </c:pt>
                <c:pt idx="346">
                  <c:v>0</c:v>
                </c:pt>
                <c:pt idx="347">
                  <c:v>0</c:v>
                </c:pt>
                <c:pt idx="348">
                  <c:v>0</c:v>
                </c:pt>
                <c:pt idx="349">
                  <c:v>0</c:v>
                </c:pt>
                <c:pt idx="350">
                  <c:v>0</c:v>
                </c:pt>
                <c:pt idx="351">
                  <c:v>0</c:v>
                </c:pt>
                <c:pt idx="352">
                  <c:v>0</c:v>
                </c:pt>
                <c:pt idx="353">
                  <c:v>2.6</c:v>
                </c:pt>
                <c:pt idx="354">
                  <c:v>3</c:v>
                </c:pt>
                <c:pt idx="355">
                  <c:v>18.399999999999999</c:v>
                </c:pt>
                <c:pt idx="356">
                  <c:v>0.6</c:v>
                </c:pt>
                <c:pt idx="357">
                  <c:v>3</c:v>
                </c:pt>
                <c:pt idx="358">
                  <c:v>0.2</c:v>
                </c:pt>
                <c:pt idx="359">
                  <c:v>3</c:v>
                </c:pt>
                <c:pt idx="360">
                  <c:v>0.2</c:v>
                </c:pt>
                <c:pt idx="361">
                  <c:v>0</c:v>
                </c:pt>
                <c:pt idx="362">
                  <c:v>0.6</c:v>
                </c:pt>
                <c:pt idx="363">
                  <c:v>0.8</c:v>
                </c:pt>
                <c:pt idx="364">
                  <c:v>0</c:v>
                </c:pt>
                <c:pt idx="365">
                  <c:v>0</c:v>
                </c:pt>
              </c:numCache>
            </c:numRef>
          </c:val>
          <c:smooth val="0"/>
        </c:ser>
        <c:dLbls>
          <c:showLegendKey val="0"/>
          <c:showVal val="0"/>
          <c:showCatName val="0"/>
          <c:showSerName val="0"/>
          <c:showPercent val="0"/>
          <c:showBubbleSize val="0"/>
        </c:dLbls>
        <c:smooth val="0"/>
        <c:axId val="697686120"/>
        <c:axId val="697686512"/>
      </c:lineChart>
      <c:dateAx>
        <c:axId val="697686120"/>
        <c:scaling>
          <c:orientation val="minMax"/>
          <c:max val="42552"/>
        </c:scaling>
        <c:delete val="0"/>
        <c:axPos val="b"/>
        <c:numFmt formatCode="m/d/yyyy" sourceLinked="0"/>
        <c:majorTickMark val="out"/>
        <c:minorTickMark val="none"/>
        <c:tickLblPos val="nextTo"/>
        <c:spPr>
          <a:noFill/>
          <a:ln w="9522" cap="flat" cmpd="sng" algn="ctr">
            <a:solidFill>
              <a:sysClr val="window" lastClr="FFFFFF">
                <a:lumMod val="50000"/>
              </a:sys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97686512"/>
        <c:crosses val="autoZero"/>
        <c:auto val="1"/>
        <c:lblOffset val="100"/>
        <c:baseTimeUnit val="days"/>
      </c:dateAx>
      <c:valAx>
        <c:axId val="697686512"/>
        <c:scaling>
          <c:orientation val="minMax"/>
        </c:scaling>
        <c:delete val="0"/>
        <c:axPos val="l"/>
        <c:title>
          <c:tx>
            <c:rich>
              <a:bodyPr/>
              <a:lstStyle/>
              <a:p>
                <a:pPr>
                  <a:defRPr sz="1000" b="0" i="0" u="none" strike="noStrike" baseline="0">
                    <a:solidFill>
                      <a:srgbClr val="000000"/>
                    </a:solidFill>
                    <a:latin typeface="Arial"/>
                    <a:ea typeface="Arial"/>
                    <a:cs typeface="Arial"/>
                  </a:defRPr>
                </a:pPr>
                <a:r>
                  <a:rPr lang="en-AU"/>
                  <a:t>Rainfall (mm)</a:t>
                </a:r>
              </a:p>
            </c:rich>
          </c:tx>
          <c:layout>
            <c:manualLayout>
              <c:xMode val="edge"/>
              <c:yMode val="edge"/>
              <c:x val="1.1037584948346103E-2"/>
              <c:y val="0.29089324432272051"/>
            </c:manualLayout>
          </c:layout>
          <c:overlay val="0"/>
          <c:spPr>
            <a:noFill/>
            <a:ln>
              <a:noFill/>
            </a:ln>
            <a:effectLst/>
          </c:spPr>
        </c:title>
        <c:numFmt formatCode="General" sourceLinked="1"/>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97686120"/>
        <c:crosses val="autoZero"/>
        <c:crossBetween val="between"/>
      </c:valAx>
      <c:spPr>
        <a:noFill/>
        <a:ln w="25391">
          <a:noFill/>
        </a:ln>
      </c:spPr>
    </c:plotArea>
    <c:plotVisOnly val="1"/>
    <c:dispBlanksAs val="gap"/>
    <c:showDLblsOverMax val="0"/>
  </c:chart>
  <c:spPr>
    <a:solidFill>
      <a:schemeClr val="bg1"/>
    </a:solidFill>
    <a:ln>
      <a:noFill/>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AU" sz="1000"/>
              <a:t>(b)</a:t>
            </a:r>
          </a:p>
        </c:rich>
      </c:tx>
      <c:layout>
        <c:manualLayout>
          <c:xMode val="edge"/>
          <c:yMode val="edge"/>
          <c:x val="0.21002765042866109"/>
          <c:y val="0.10158350761876307"/>
        </c:manualLayout>
      </c:layout>
      <c:overlay val="0"/>
    </c:title>
    <c:autoTitleDeleted val="0"/>
    <c:plotArea>
      <c:layout>
        <c:manualLayout>
          <c:layoutTarget val="inner"/>
          <c:xMode val="edge"/>
          <c:yMode val="edge"/>
          <c:x val="0.20704092740173372"/>
          <c:y val="0.10196415170242949"/>
          <c:w val="0.79090396243355554"/>
          <c:h val="0.84706671152212931"/>
        </c:manualLayout>
      </c:layout>
      <c:scatterChart>
        <c:scatterStyle val="lineMarker"/>
        <c:varyColors val="0"/>
        <c:ser>
          <c:idx val="0"/>
          <c:order val="0"/>
          <c:tx>
            <c:v>EW</c:v>
          </c:tx>
          <c:spPr>
            <a:ln w="28575">
              <a:noFill/>
            </a:ln>
          </c:spPr>
          <c:marker>
            <c:symbol val="square"/>
            <c:size val="5"/>
            <c:spPr>
              <a:solidFill>
                <a:srgbClr val="CC3300"/>
              </a:solidFill>
              <a:ln w="9525">
                <a:solidFill>
                  <a:srgbClr val="CC3300"/>
                </a:solidFill>
              </a:ln>
              <a:effectLst/>
            </c:spPr>
          </c:marker>
          <c:trendline>
            <c:spPr>
              <a:ln w="3175" cap="rnd">
                <a:solidFill>
                  <a:schemeClr val="tx1"/>
                </a:solidFill>
                <a:prstDash val="solid"/>
              </a:ln>
              <a:effectLst/>
            </c:spPr>
            <c:trendlineType val="linear"/>
            <c:dispRSqr val="0"/>
            <c:dispEq val="0"/>
          </c:trendline>
          <c:trendline>
            <c:spPr>
              <a:ln w="19050" cap="rnd">
                <a:solidFill>
                  <a:srgbClr val="CC3300"/>
                </a:solidFill>
                <a:prstDash val="sysDot"/>
              </a:ln>
              <a:effectLst/>
            </c:spPr>
            <c:trendlineType val="linear"/>
            <c:dispRSqr val="1"/>
            <c:dispEq val="0"/>
            <c:trendlineLbl>
              <c:layout>
                <c:manualLayout>
                  <c:x val="0.1985018711712499"/>
                  <c:y val="8.9251862638771565E-2"/>
                </c:manualLayout>
              </c:layout>
              <c:numFmt formatCode="General" sourceLinked="0"/>
              <c:spPr>
                <a:noFill/>
                <a:ln>
                  <a:solidFill>
                    <a:srgbClr val="CC3300"/>
                  </a:solidFill>
                </a:ln>
                <a:effectLst/>
              </c:spPr>
            </c:trendlineLbl>
          </c:trendline>
          <c:xVal>
            <c:numRef>
              <c:f>'Regres fig'!$D$2:$D$127</c:f>
              <c:numCache>
                <c:formatCode>0</c:formatCode>
                <c:ptCount val="126"/>
                <c:pt idx="0">
                  <c:v>1785.4449999999999</c:v>
                </c:pt>
                <c:pt idx="1">
                  <c:v>1669.155</c:v>
                </c:pt>
                <c:pt idx="2">
                  <c:v>1638.0540000000001</c:v>
                </c:pt>
                <c:pt idx="3">
                  <c:v>1893.4549999999999</c:v>
                </c:pt>
                <c:pt idx="4">
                  <c:v>1795.4929999999999</c:v>
                </c:pt>
                <c:pt idx="5">
                  <c:v>1750.7429999999999</c:v>
                </c:pt>
                <c:pt idx="6">
                  <c:v>1408.63</c:v>
                </c:pt>
                <c:pt idx="7">
                  <c:v>1244.2650000000001</c:v>
                </c:pt>
                <c:pt idx="8">
                  <c:v>994.97799999999995</c:v>
                </c:pt>
                <c:pt idx="9" formatCode="General">
                  <c:v>983.48900000000003</c:v>
                </c:pt>
                <c:pt idx="10" formatCode="General">
                  <c:v>1014.326</c:v>
                </c:pt>
                <c:pt idx="11" formatCode="General">
                  <c:v>828.90499999999997</c:v>
                </c:pt>
                <c:pt idx="12" formatCode="General">
                  <c:v>595.60400000000004</c:v>
                </c:pt>
                <c:pt idx="13" formatCode="General">
                  <c:v>3079.9580000000001</c:v>
                </c:pt>
                <c:pt idx="14" formatCode="General">
                  <c:v>1695.979</c:v>
                </c:pt>
                <c:pt idx="15" formatCode="General">
                  <c:v>752.84199999999998</c:v>
                </c:pt>
                <c:pt idx="16" formatCode="General">
                  <c:v>455.47199999999998</c:v>
                </c:pt>
                <c:pt idx="17" formatCode="General">
                  <c:v>337.13</c:v>
                </c:pt>
                <c:pt idx="18" formatCode="General">
                  <c:v>1936.6410000000001</c:v>
                </c:pt>
                <c:pt idx="19" formatCode="General">
                  <c:v>1962.403</c:v>
                </c:pt>
                <c:pt idx="20" formatCode="General">
                  <c:v>2011.9480000000001</c:v>
                </c:pt>
                <c:pt idx="21" formatCode="General">
                  <c:v>1959.954</c:v>
                </c:pt>
                <c:pt idx="22" formatCode="General">
                  <c:v>1610.356</c:v>
                </c:pt>
                <c:pt idx="23" formatCode="General">
                  <c:v>1404.492</c:v>
                </c:pt>
                <c:pt idx="24" formatCode="General">
                  <c:v>1306.7929999999999</c:v>
                </c:pt>
                <c:pt idx="25" formatCode="General">
                  <c:v>1308.192</c:v>
                </c:pt>
                <c:pt idx="26" formatCode="General">
                  <c:v>1318.4649999999999</c:v>
                </c:pt>
                <c:pt idx="27" formatCode="General">
                  <c:v>1303.5029999999999</c:v>
                </c:pt>
                <c:pt idx="28" formatCode="General">
                  <c:v>2251.0279999999998</c:v>
                </c:pt>
                <c:pt idx="29" formatCode="General">
                  <c:v>1256.3679999999999</c:v>
                </c:pt>
                <c:pt idx="30" formatCode="General">
                  <c:v>615.53099999999995</c:v>
                </c:pt>
                <c:pt idx="31" formatCode="General">
                  <c:v>443.52499999999998</c:v>
                </c:pt>
                <c:pt idx="32" formatCode="General">
                  <c:v>375.18599999999998</c:v>
                </c:pt>
                <c:pt idx="33" formatCode="General">
                  <c:v>566.38199999999995</c:v>
                </c:pt>
                <c:pt idx="34" formatCode="General">
                  <c:v>206.29499999999999</c:v>
                </c:pt>
                <c:pt idx="35" formatCode="General">
                  <c:v>210.41200000000001</c:v>
                </c:pt>
                <c:pt idx="36" formatCode="General">
                  <c:v>199.14400000000001</c:v>
                </c:pt>
                <c:pt idx="37" formatCode="General">
                  <c:v>192.499</c:v>
                </c:pt>
                <c:pt idx="38" formatCode="General">
                  <c:v>191.55199999999999</c:v>
                </c:pt>
                <c:pt idx="39" formatCode="General">
                  <c:v>187.929</c:v>
                </c:pt>
                <c:pt idx="40" formatCode="General">
                  <c:v>135.45400000000001</c:v>
                </c:pt>
                <c:pt idx="41" formatCode="General">
                  <c:v>115.087</c:v>
                </c:pt>
                <c:pt idx="42" formatCode="General">
                  <c:v>102.316</c:v>
                </c:pt>
                <c:pt idx="43" formatCode="General">
                  <c:v>90.864000000000004</c:v>
                </c:pt>
                <c:pt idx="44" formatCode="General">
                  <c:v>97.421000000000006</c:v>
                </c:pt>
                <c:pt idx="45" formatCode="General">
                  <c:v>95.23</c:v>
                </c:pt>
                <c:pt idx="46" formatCode="General">
                  <c:v>95.622</c:v>
                </c:pt>
                <c:pt idx="47" formatCode="General">
                  <c:v>94.448999999999998</c:v>
                </c:pt>
                <c:pt idx="48" formatCode="General">
                  <c:v>92.248000000000005</c:v>
                </c:pt>
                <c:pt idx="49" formatCode="General">
                  <c:v>92.236000000000004</c:v>
                </c:pt>
                <c:pt idx="50" formatCode="General">
                  <c:v>95.444999999999993</c:v>
                </c:pt>
                <c:pt idx="51" formatCode="General">
                  <c:v>131.465</c:v>
                </c:pt>
                <c:pt idx="52" formatCode="General">
                  <c:v>173.25200000000001</c:v>
                </c:pt>
                <c:pt idx="53" formatCode="General">
                  <c:v>176.81200000000001</c:v>
                </c:pt>
                <c:pt idx="54" formatCode="General">
                  <c:v>182.751</c:v>
                </c:pt>
                <c:pt idx="55" formatCode="General">
                  <c:v>191.18899999999999</c:v>
                </c:pt>
                <c:pt idx="56" formatCode="General">
                  <c:v>250.62700000000001</c:v>
                </c:pt>
                <c:pt idx="57" formatCode="General">
                  <c:v>265.59899999999999</c:v>
                </c:pt>
                <c:pt idx="58" formatCode="General">
                  <c:v>269.19900000000001</c:v>
                </c:pt>
                <c:pt idx="59" formatCode="General">
                  <c:v>334.79</c:v>
                </c:pt>
                <c:pt idx="60" formatCode="General">
                  <c:v>432.57799999999997</c:v>
                </c:pt>
                <c:pt idx="61" formatCode="General">
                  <c:v>445.94600000000003</c:v>
                </c:pt>
                <c:pt idx="62" formatCode="General">
                  <c:v>463.84</c:v>
                </c:pt>
                <c:pt idx="63" formatCode="General">
                  <c:v>534.91800000000001</c:v>
                </c:pt>
                <c:pt idx="64" formatCode="General">
                  <c:v>534.52800000000002</c:v>
                </c:pt>
                <c:pt idx="65" formatCode="General">
                  <c:v>538.48400000000004</c:v>
                </c:pt>
                <c:pt idx="66" formatCode="General">
                  <c:v>545.90800000000002</c:v>
                </c:pt>
                <c:pt idx="67" formatCode="General">
                  <c:v>463.48599999999999</c:v>
                </c:pt>
                <c:pt idx="72">
                  <c:v>107.455</c:v>
                </c:pt>
                <c:pt idx="73">
                  <c:v>289.55099999999999</c:v>
                </c:pt>
                <c:pt idx="74">
                  <c:v>372.815</c:v>
                </c:pt>
                <c:pt idx="75">
                  <c:v>347.69600000000003</c:v>
                </c:pt>
                <c:pt idx="76">
                  <c:v>358.79</c:v>
                </c:pt>
                <c:pt idx="77">
                  <c:v>366.89400000000001</c:v>
                </c:pt>
                <c:pt idx="78">
                  <c:v>403.221</c:v>
                </c:pt>
                <c:pt idx="79">
                  <c:v>404.54</c:v>
                </c:pt>
                <c:pt idx="80">
                  <c:v>535.43799999999999</c:v>
                </c:pt>
                <c:pt idx="81">
                  <c:v>740.02300000000002</c:v>
                </c:pt>
                <c:pt idx="82">
                  <c:v>863.39099999999996</c:v>
                </c:pt>
                <c:pt idx="83">
                  <c:v>1307.8869999999999</c:v>
                </c:pt>
                <c:pt idx="84">
                  <c:v>1568.9690000000001</c:v>
                </c:pt>
                <c:pt idx="85">
                  <c:v>1855.654</c:v>
                </c:pt>
                <c:pt idx="86">
                  <c:v>1799.5650000000001</c:v>
                </c:pt>
                <c:pt idx="87">
                  <c:v>1808.5150000000001</c:v>
                </c:pt>
                <c:pt idx="88">
                  <c:v>1817.0989999999999</c:v>
                </c:pt>
                <c:pt idx="89">
                  <c:v>1821.5119999999999</c:v>
                </c:pt>
                <c:pt idx="90" formatCode="General">
                  <c:v>447.16899999999998</c:v>
                </c:pt>
                <c:pt idx="91" formatCode="General">
                  <c:v>330.23500000000001</c:v>
                </c:pt>
                <c:pt idx="92" formatCode="General">
                  <c:v>225.82599999999999</c:v>
                </c:pt>
                <c:pt idx="93" formatCode="General">
                  <c:v>166.16900000000001</c:v>
                </c:pt>
                <c:pt idx="94" formatCode="General">
                  <c:v>84.879000000000005</c:v>
                </c:pt>
                <c:pt idx="95" formatCode="General">
                  <c:v>64.046999999999997</c:v>
                </c:pt>
                <c:pt idx="96" formatCode="General">
                  <c:v>48.598999999999997</c:v>
                </c:pt>
                <c:pt idx="97" formatCode="General">
                  <c:v>44.969000000000001</c:v>
                </c:pt>
                <c:pt idx="98" formatCode="General">
                  <c:v>41.039000000000001</c:v>
                </c:pt>
                <c:pt idx="99" formatCode="General">
                  <c:v>38.932000000000002</c:v>
                </c:pt>
                <c:pt idx="100" formatCode="General">
                  <c:v>37.255000000000003</c:v>
                </c:pt>
                <c:pt idx="101" formatCode="General">
                  <c:v>43.829000000000001</c:v>
                </c:pt>
                <c:pt idx="102" formatCode="General">
                  <c:v>69.665999999999997</c:v>
                </c:pt>
                <c:pt idx="103" formatCode="General">
                  <c:v>52.384</c:v>
                </c:pt>
                <c:pt idx="104" formatCode="General">
                  <c:v>53.417999999999999</c:v>
                </c:pt>
                <c:pt idx="105" formatCode="General">
                  <c:v>45.627000000000002</c:v>
                </c:pt>
                <c:pt idx="106" formatCode="General">
                  <c:v>86.766000000000005</c:v>
                </c:pt>
                <c:pt idx="107" formatCode="General">
                  <c:v>41.499000000000002</c:v>
                </c:pt>
                <c:pt idx="108" formatCode="General">
                  <c:v>22.83</c:v>
                </c:pt>
                <c:pt idx="109" formatCode="General">
                  <c:v>18.082000000000001</c:v>
                </c:pt>
                <c:pt idx="110" formatCode="General">
                  <c:v>14.612</c:v>
                </c:pt>
                <c:pt idx="111" formatCode="General">
                  <c:v>24.215</c:v>
                </c:pt>
                <c:pt idx="112" formatCode="General">
                  <c:v>31.334</c:v>
                </c:pt>
                <c:pt idx="113" formatCode="General">
                  <c:v>59.408000000000001</c:v>
                </c:pt>
                <c:pt idx="114" formatCode="General">
                  <c:v>70.561999999999998</c:v>
                </c:pt>
                <c:pt idx="115" formatCode="General">
                  <c:v>72.349999999999994</c:v>
                </c:pt>
                <c:pt idx="116" formatCode="General">
                  <c:v>51.923000000000002</c:v>
                </c:pt>
                <c:pt idx="117" formatCode="General">
                  <c:v>49.082000000000001</c:v>
                </c:pt>
                <c:pt idx="118" formatCode="General">
                  <c:v>41.55</c:v>
                </c:pt>
                <c:pt idx="119" formatCode="General">
                  <c:v>44.235999999999997</c:v>
                </c:pt>
                <c:pt idx="120" formatCode="General">
                  <c:v>32.811999999999998</c:v>
                </c:pt>
                <c:pt idx="121" formatCode="General">
                  <c:v>28.619</c:v>
                </c:pt>
                <c:pt idx="122" formatCode="General">
                  <c:v>18.631</c:v>
                </c:pt>
                <c:pt idx="123" formatCode="General">
                  <c:v>19.2</c:v>
                </c:pt>
                <c:pt idx="124" formatCode="General">
                  <c:v>16.337</c:v>
                </c:pt>
                <c:pt idx="125" formatCode="General">
                  <c:v>16.777999999999999</c:v>
                </c:pt>
              </c:numCache>
            </c:numRef>
          </c:xVal>
          <c:yVal>
            <c:numRef>
              <c:f>'Regres fig'!$F$2:$F$69</c:f>
              <c:numCache>
                <c:formatCode>0.00</c:formatCode>
                <c:ptCount val="68"/>
                <c:pt idx="0">
                  <c:v>8.1821527777777945</c:v>
                </c:pt>
                <c:pt idx="1">
                  <c:v>8.1974305555555684</c:v>
                </c:pt>
                <c:pt idx="2">
                  <c:v>8.1711805555555816</c:v>
                </c:pt>
                <c:pt idx="3">
                  <c:v>8.168541666666675</c:v>
                </c:pt>
                <c:pt idx="4">
                  <c:v>8.1902083333333593</c:v>
                </c:pt>
                <c:pt idx="5">
                  <c:v>8.2240972222222197</c:v>
                </c:pt>
                <c:pt idx="6">
                  <c:v>8.2697222222222173</c:v>
                </c:pt>
                <c:pt idx="7">
                  <c:v>8.2522222222222172</c:v>
                </c:pt>
                <c:pt idx="8">
                  <c:v>8.2332638888889047</c:v>
                </c:pt>
                <c:pt idx="9">
                  <c:v>8.2520138888889072</c:v>
                </c:pt>
                <c:pt idx="10">
                  <c:v>8.171249999999997</c:v>
                </c:pt>
                <c:pt idx="11">
                  <c:v>8.1529166666666608</c:v>
                </c:pt>
                <c:pt idx="12">
                  <c:v>8.1277083333333398</c:v>
                </c:pt>
                <c:pt idx="13">
                  <c:v>8.2238194444444392</c:v>
                </c:pt>
                <c:pt idx="14">
                  <c:v>7.9572222222222235</c:v>
                </c:pt>
                <c:pt idx="15">
                  <c:v>8.0657342657342692</c:v>
                </c:pt>
                <c:pt idx="16">
                  <c:v>8.1659722222221998</c:v>
                </c:pt>
                <c:pt idx="17">
                  <c:v>8.0939583333333314</c:v>
                </c:pt>
                <c:pt idx="18">
                  <c:v>8.1124305555555534</c:v>
                </c:pt>
                <c:pt idx="19">
                  <c:v>8.095763888888877</c:v>
                </c:pt>
                <c:pt idx="20">
                  <c:v>8.1300000000000008</c:v>
                </c:pt>
                <c:pt idx="21">
                  <c:v>8.1346031746031766</c:v>
                </c:pt>
                <c:pt idx="22">
                  <c:v>8.2073611111111262</c:v>
                </c:pt>
                <c:pt idx="23">
                  <c:v>8.1946527777777796</c:v>
                </c:pt>
                <c:pt idx="24">
                  <c:v>8.2315972222222396</c:v>
                </c:pt>
                <c:pt idx="25">
                  <c:v>8.2056944444444522</c:v>
                </c:pt>
                <c:pt idx="26">
                  <c:v>8.2012499999999999</c:v>
                </c:pt>
                <c:pt idx="27">
                  <c:v>8.1756944444444528</c:v>
                </c:pt>
                <c:pt idx="28">
                  <c:v>8.1858333333333277</c:v>
                </c:pt>
                <c:pt idx="29">
                  <c:v>8.0985416666666552</c:v>
                </c:pt>
                <c:pt idx="30">
                  <c:v>8.088124999999998</c:v>
                </c:pt>
                <c:pt idx="31">
                  <c:v>8.056944444444424</c:v>
                </c:pt>
                <c:pt idx="32">
                  <c:v>8.0587499999999768</c:v>
                </c:pt>
                <c:pt idx="33">
                  <c:v>8.0608333333333331</c:v>
                </c:pt>
                <c:pt idx="34">
                  <c:v>7.5715277777777681</c:v>
                </c:pt>
                <c:pt idx="35">
                  <c:v>7.6295138888888783</c:v>
                </c:pt>
                <c:pt idx="36">
                  <c:v>7.6520833333333327</c:v>
                </c:pt>
                <c:pt idx="37">
                  <c:v>7.6548611111111091</c:v>
                </c:pt>
                <c:pt idx="38">
                  <c:v>7.6454861111111052</c:v>
                </c:pt>
                <c:pt idx="39">
                  <c:v>7.6008333333333349</c:v>
                </c:pt>
                <c:pt idx="40">
                  <c:v>7.6830973451327402</c:v>
                </c:pt>
                <c:pt idx="41">
                  <c:v>7.6804166666666607</c:v>
                </c:pt>
                <c:pt idx="42">
                  <c:v>7.6934027777777674</c:v>
                </c:pt>
                <c:pt idx="43">
                  <c:v>7.694513888888884</c:v>
                </c:pt>
                <c:pt idx="44">
                  <c:v>7.6640972222222246</c:v>
                </c:pt>
                <c:pt idx="45">
                  <c:v>7.6353472222222178</c:v>
                </c:pt>
                <c:pt idx="46">
                  <c:v>7.6472222222222133</c:v>
                </c:pt>
                <c:pt idx="47">
                  <c:v>7.6608333333333292</c:v>
                </c:pt>
                <c:pt idx="48">
                  <c:v>7.6709722222222227</c:v>
                </c:pt>
                <c:pt idx="49">
                  <c:v>7.6697916666666588</c:v>
                </c:pt>
                <c:pt idx="50">
                  <c:v>7.578750000000003</c:v>
                </c:pt>
                <c:pt idx="51">
                  <c:v>7.5572222222222303</c:v>
                </c:pt>
                <c:pt idx="52">
                  <c:v>7.5940972222222154</c:v>
                </c:pt>
                <c:pt idx="53">
                  <c:v>7.687013888888889</c:v>
                </c:pt>
                <c:pt idx="54">
                  <c:v>7.6910416666666617</c:v>
                </c:pt>
                <c:pt idx="55">
                  <c:v>7.7006249999999987</c:v>
                </c:pt>
                <c:pt idx="56">
                  <c:v>7.6654861111111137</c:v>
                </c:pt>
                <c:pt idx="57">
                  <c:v>7.6665972222222161</c:v>
                </c:pt>
                <c:pt idx="58">
                  <c:v>7.590486111111109</c:v>
                </c:pt>
                <c:pt idx="59">
                  <c:v>7.6047222222222199</c:v>
                </c:pt>
                <c:pt idx="60">
                  <c:v>7.6108333333333178</c:v>
                </c:pt>
                <c:pt idx="61">
                  <c:v>7.6191666666666595</c:v>
                </c:pt>
                <c:pt idx="62">
                  <c:v>7.6039583333333196</c:v>
                </c:pt>
                <c:pt idx="63">
                  <c:v>7.5964583333333273</c:v>
                </c:pt>
                <c:pt idx="64">
                  <c:v>7.6099305555555405</c:v>
                </c:pt>
                <c:pt idx="65">
                  <c:v>7.6097222222222074</c:v>
                </c:pt>
                <c:pt idx="66">
                  <c:v>7.6128472222222037</c:v>
                </c:pt>
                <c:pt idx="67">
                  <c:v>7.6016666666666515</c:v>
                </c:pt>
              </c:numCache>
            </c:numRef>
          </c:yVal>
          <c:smooth val="0"/>
          <c:extLst xmlns:c16r2="http://schemas.microsoft.com/office/drawing/2015/06/chart">
            <c:ext xmlns:c16="http://schemas.microsoft.com/office/drawing/2014/chart" uri="{C3380CC4-5D6E-409C-BE32-E72D297353CC}">
              <c16:uniqueId val="{00000000-5226-4918-995B-88E8F6380384}"/>
            </c:ext>
          </c:extLst>
        </c:ser>
        <c:ser>
          <c:idx val="1"/>
          <c:order val="1"/>
          <c:tx>
            <c:v>non-EW</c:v>
          </c:tx>
          <c:spPr>
            <a:ln w="28575">
              <a:noFill/>
            </a:ln>
          </c:spPr>
          <c:marker>
            <c:symbol val="circle"/>
            <c:size val="5"/>
            <c:spPr>
              <a:solidFill>
                <a:schemeClr val="tx2">
                  <a:lumMod val="60000"/>
                  <a:lumOff val="40000"/>
                </a:schemeClr>
              </a:solidFill>
              <a:ln w="9525">
                <a:solidFill>
                  <a:schemeClr val="tx2">
                    <a:lumMod val="60000"/>
                    <a:lumOff val="40000"/>
                  </a:schemeClr>
                </a:solidFill>
              </a:ln>
              <a:effectLst/>
            </c:spPr>
          </c:marker>
          <c:trendline>
            <c:spPr>
              <a:ln w="12700" cap="rnd">
                <a:solidFill>
                  <a:schemeClr val="tx2">
                    <a:lumMod val="60000"/>
                    <a:lumOff val="40000"/>
                  </a:schemeClr>
                </a:solidFill>
                <a:prstDash val="solid"/>
              </a:ln>
              <a:effectLst/>
            </c:spPr>
            <c:trendlineType val="linear"/>
            <c:dispRSqr val="1"/>
            <c:dispEq val="0"/>
            <c:trendlineLbl>
              <c:layout>
                <c:manualLayout>
                  <c:x val="0.1985018711712499"/>
                  <c:y val="0.24751746187089627"/>
                </c:manualLayout>
              </c:layout>
              <c:numFmt formatCode="General" sourceLinked="0"/>
              <c:spPr>
                <a:noFill/>
                <a:ln>
                  <a:solidFill>
                    <a:schemeClr val="tx2">
                      <a:lumMod val="60000"/>
                      <a:lumOff val="40000"/>
                    </a:schemeClr>
                  </a:solidFill>
                </a:ln>
                <a:effectLst/>
              </c:spPr>
            </c:trendlineLbl>
          </c:trendline>
          <c:xVal>
            <c:numRef>
              <c:f>'Regres fig'!$D$2:$D$141</c:f>
              <c:numCache>
                <c:formatCode>0</c:formatCode>
                <c:ptCount val="140"/>
                <c:pt idx="0">
                  <c:v>1785.4449999999999</c:v>
                </c:pt>
                <c:pt idx="1">
                  <c:v>1669.155</c:v>
                </c:pt>
                <c:pt idx="2">
                  <c:v>1638.0540000000001</c:v>
                </c:pt>
                <c:pt idx="3">
                  <c:v>1893.4549999999999</c:v>
                </c:pt>
                <c:pt idx="4">
                  <c:v>1795.4929999999999</c:v>
                </c:pt>
                <c:pt idx="5">
                  <c:v>1750.7429999999999</c:v>
                </c:pt>
                <c:pt idx="6">
                  <c:v>1408.63</c:v>
                </c:pt>
                <c:pt idx="7">
                  <c:v>1244.2650000000001</c:v>
                </c:pt>
                <c:pt idx="8">
                  <c:v>994.97799999999995</c:v>
                </c:pt>
                <c:pt idx="9" formatCode="General">
                  <c:v>983.48900000000003</c:v>
                </c:pt>
                <c:pt idx="10" formatCode="General">
                  <c:v>1014.326</c:v>
                </c:pt>
                <c:pt idx="11" formatCode="General">
                  <c:v>828.90499999999997</c:v>
                </c:pt>
                <c:pt idx="12" formatCode="General">
                  <c:v>595.60400000000004</c:v>
                </c:pt>
                <c:pt idx="13" formatCode="General">
                  <c:v>3079.9580000000001</c:v>
                </c:pt>
                <c:pt idx="14" formatCode="General">
                  <c:v>1695.979</c:v>
                </c:pt>
                <c:pt idx="15" formatCode="General">
                  <c:v>752.84199999999998</c:v>
                </c:pt>
                <c:pt idx="16" formatCode="General">
                  <c:v>455.47199999999998</c:v>
                </c:pt>
                <c:pt idx="17" formatCode="General">
                  <c:v>337.13</c:v>
                </c:pt>
                <c:pt idx="18" formatCode="General">
                  <c:v>1936.6410000000001</c:v>
                </c:pt>
                <c:pt idx="19" formatCode="General">
                  <c:v>1962.403</c:v>
                </c:pt>
                <c:pt idx="20" formatCode="General">
                  <c:v>2011.9480000000001</c:v>
                </c:pt>
                <c:pt idx="21" formatCode="General">
                  <c:v>1959.954</c:v>
                </c:pt>
                <c:pt idx="22" formatCode="General">
                  <c:v>1610.356</c:v>
                </c:pt>
                <c:pt idx="23" formatCode="General">
                  <c:v>1404.492</c:v>
                </c:pt>
                <c:pt idx="24" formatCode="General">
                  <c:v>1306.7929999999999</c:v>
                </c:pt>
                <c:pt idx="25" formatCode="General">
                  <c:v>1308.192</c:v>
                </c:pt>
                <c:pt idx="26" formatCode="General">
                  <c:v>1318.4649999999999</c:v>
                </c:pt>
                <c:pt idx="27" formatCode="General">
                  <c:v>1303.5029999999999</c:v>
                </c:pt>
                <c:pt idx="28" formatCode="General">
                  <c:v>2251.0279999999998</c:v>
                </c:pt>
                <c:pt idx="29" formatCode="General">
                  <c:v>1256.3679999999999</c:v>
                </c:pt>
                <c:pt idx="30" formatCode="General">
                  <c:v>615.53099999999995</c:v>
                </c:pt>
                <c:pt idx="31" formatCode="General">
                  <c:v>443.52499999999998</c:v>
                </c:pt>
                <c:pt idx="32" formatCode="General">
                  <c:v>375.18599999999998</c:v>
                </c:pt>
                <c:pt idx="33" formatCode="General">
                  <c:v>566.38199999999995</c:v>
                </c:pt>
                <c:pt idx="34" formatCode="General">
                  <c:v>206.29499999999999</c:v>
                </c:pt>
                <c:pt idx="35" formatCode="General">
                  <c:v>210.41200000000001</c:v>
                </c:pt>
                <c:pt idx="36" formatCode="General">
                  <c:v>199.14400000000001</c:v>
                </c:pt>
                <c:pt idx="37" formatCode="General">
                  <c:v>192.499</c:v>
                </c:pt>
                <c:pt idx="38" formatCode="General">
                  <c:v>191.55199999999999</c:v>
                </c:pt>
                <c:pt idx="39" formatCode="General">
                  <c:v>187.929</c:v>
                </c:pt>
                <c:pt idx="40" formatCode="General">
                  <c:v>135.45400000000001</c:v>
                </c:pt>
                <c:pt idx="41" formatCode="General">
                  <c:v>115.087</c:v>
                </c:pt>
                <c:pt idx="42" formatCode="General">
                  <c:v>102.316</c:v>
                </c:pt>
                <c:pt idx="43" formatCode="General">
                  <c:v>90.864000000000004</c:v>
                </c:pt>
                <c:pt idx="44" formatCode="General">
                  <c:v>97.421000000000006</c:v>
                </c:pt>
                <c:pt idx="45" formatCode="General">
                  <c:v>95.23</c:v>
                </c:pt>
                <c:pt idx="46" formatCode="General">
                  <c:v>95.622</c:v>
                </c:pt>
                <c:pt idx="47" formatCode="General">
                  <c:v>94.448999999999998</c:v>
                </c:pt>
                <c:pt idx="48" formatCode="General">
                  <c:v>92.248000000000005</c:v>
                </c:pt>
                <c:pt idx="49" formatCode="General">
                  <c:v>92.236000000000004</c:v>
                </c:pt>
                <c:pt idx="50" formatCode="General">
                  <c:v>95.444999999999993</c:v>
                </c:pt>
                <c:pt idx="51" formatCode="General">
                  <c:v>131.465</c:v>
                </c:pt>
                <c:pt idx="52" formatCode="General">
                  <c:v>173.25200000000001</c:v>
                </c:pt>
                <c:pt idx="53" formatCode="General">
                  <c:v>176.81200000000001</c:v>
                </c:pt>
                <c:pt idx="54" formatCode="General">
                  <c:v>182.751</c:v>
                </c:pt>
                <c:pt idx="55" formatCode="General">
                  <c:v>191.18899999999999</c:v>
                </c:pt>
                <c:pt idx="56" formatCode="General">
                  <c:v>250.62700000000001</c:v>
                </c:pt>
                <c:pt idx="57" formatCode="General">
                  <c:v>265.59899999999999</c:v>
                </c:pt>
                <c:pt idx="58" formatCode="General">
                  <c:v>269.19900000000001</c:v>
                </c:pt>
                <c:pt idx="59" formatCode="General">
                  <c:v>334.79</c:v>
                </c:pt>
                <c:pt idx="60" formatCode="General">
                  <c:v>432.57799999999997</c:v>
                </c:pt>
                <c:pt idx="61" formatCode="General">
                  <c:v>445.94600000000003</c:v>
                </c:pt>
                <c:pt idx="62" formatCode="General">
                  <c:v>463.84</c:v>
                </c:pt>
                <c:pt idx="63" formatCode="General">
                  <c:v>534.91800000000001</c:v>
                </c:pt>
                <c:pt idx="64" formatCode="General">
                  <c:v>534.52800000000002</c:v>
                </c:pt>
                <c:pt idx="65" formatCode="General">
                  <c:v>538.48400000000004</c:v>
                </c:pt>
                <c:pt idx="66" formatCode="General">
                  <c:v>545.90800000000002</c:v>
                </c:pt>
                <c:pt idx="67" formatCode="General">
                  <c:v>463.48599999999999</c:v>
                </c:pt>
                <c:pt idx="72">
                  <c:v>107.455</c:v>
                </c:pt>
                <c:pt idx="73">
                  <c:v>289.55099999999999</c:v>
                </c:pt>
                <c:pt idx="74">
                  <c:v>372.815</c:v>
                </c:pt>
                <c:pt idx="75">
                  <c:v>347.69600000000003</c:v>
                </c:pt>
                <c:pt idx="76">
                  <c:v>358.79</c:v>
                </c:pt>
                <c:pt idx="77">
                  <c:v>366.89400000000001</c:v>
                </c:pt>
                <c:pt idx="78">
                  <c:v>403.221</c:v>
                </c:pt>
                <c:pt idx="79">
                  <c:v>404.54</c:v>
                </c:pt>
                <c:pt idx="80">
                  <c:v>535.43799999999999</c:v>
                </c:pt>
                <c:pt idx="81">
                  <c:v>740.02300000000002</c:v>
                </c:pt>
                <c:pt idx="82">
                  <c:v>863.39099999999996</c:v>
                </c:pt>
                <c:pt idx="83">
                  <c:v>1307.8869999999999</c:v>
                </c:pt>
                <c:pt idx="84">
                  <c:v>1568.9690000000001</c:v>
                </c:pt>
                <c:pt idx="85">
                  <c:v>1855.654</c:v>
                </c:pt>
                <c:pt idx="86">
                  <c:v>1799.5650000000001</c:v>
                </c:pt>
                <c:pt idx="87">
                  <c:v>1808.5150000000001</c:v>
                </c:pt>
                <c:pt idx="88">
                  <c:v>1817.0989999999999</c:v>
                </c:pt>
                <c:pt idx="89">
                  <c:v>1821.5119999999999</c:v>
                </c:pt>
                <c:pt idx="90" formatCode="General">
                  <c:v>447.16899999999998</c:v>
                </c:pt>
                <c:pt idx="91" formatCode="General">
                  <c:v>330.23500000000001</c:v>
                </c:pt>
                <c:pt idx="92" formatCode="General">
                  <c:v>225.82599999999999</c:v>
                </c:pt>
                <c:pt idx="93" formatCode="General">
                  <c:v>166.16900000000001</c:v>
                </c:pt>
                <c:pt idx="94" formatCode="General">
                  <c:v>84.879000000000005</c:v>
                </c:pt>
                <c:pt idx="95" formatCode="General">
                  <c:v>64.046999999999997</c:v>
                </c:pt>
                <c:pt idx="96" formatCode="General">
                  <c:v>48.598999999999997</c:v>
                </c:pt>
                <c:pt idx="97" formatCode="General">
                  <c:v>44.969000000000001</c:v>
                </c:pt>
                <c:pt idx="98" formatCode="General">
                  <c:v>41.039000000000001</c:v>
                </c:pt>
                <c:pt idx="99" formatCode="General">
                  <c:v>38.932000000000002</c:v>
                </c:pt>
                <c:pt idx="100" formatCode="General">
                  <c:v>37.255000000000003</c:v>
                </c:pt>
                <c:pt idx="101" formatCode="General">
                  <c:v>43.829000000000001</c:v>
                </c:pt>
                <c:pt idx="102" formatCode="General">
                  <c:v>69.665999999999997</c:v>
                </c:pt>
                <c:pt idx="103" formatCode="General">
                  <c:v>52.384</c:v>
                </c:pt>
                <c:pt idx="104" formatCode="General">
                  <c:v>53.417999999999999</c:v>
                </c:pt>
                <c:pt idx="105" formatCode="General">
                  <c:v>45.627000000000002</c:v>
                </c:pt>
                <c:pt idx="106" formatCode="General">
                  <c:v>86.766000000000005</c:v>
                </c:pt>
                <c:pt idx="107" formatCode="General">
                  <c:v>41.499000000000002</c:v>
                </c:pt>
                <c:pt idx="108" formatCode="General">
                  <c:v>22.83</c:v>
                </c:pt>
                <c:pt idx="109" formatCode="General">
                  <c:v>18.082000000000001</c:v>
                </c:pt>
                <c:pt idx="110" formatCode="General">
                  <c:v>14.612</c:v>
                </c:pt>
                <c:pt idx="111" formatCode="General">
                  <c:v>24.215</c:v>
                </c:pt>
                <c:pt idx="112" formatCode="General">
                  <c:v>31.334</c:v>
                </c:pt>
                <c:pt idx="113" formatCode="General">
                  <c:v>59.408000000000001</c:v>
                </c:pt>
                <c:pt idx="114" formatCode="General">
                  <c:v>70.561999999999998</c:v>
                </c:pt>
                <c:pt idx="115" formatCode="General">
                  <c:v>72.349999999999994</c:v>
                </c:pt>
                <c:pt idx="116" formatCode="General">
                  <c:v>51.923000000000002</c:v>
                </c:pt>
                <c:pt idx="117" formatCode="General">
                  <c:v>49.082000000000001</c:v>
                </c:pt>
                <c:pt idx="118" formatCode="General">
                  <c:v>41.55</c:v>
                </c:pt>
                <c:pt idx="119" formatCode="General">
                  <c:v>44.235999999999997</c:v>
                </c:pt>
                <c:pt idx="120" formatCode="General">
                  <c:v>32.811999999999998</c:v>
                </c:pt>
                <c:pt idx="121" formatCode="General">
                  <c:v>28.619</c:v>
                </c:pt>
                <c:pt idx="122" formatCode="General">
                  <c:v>18.631</c:v>
                </c:pt>
                <c:pt idx="123" formatCode="General">
                  <c:v>19.2</c:v>
                </c:pt>
                <c:pt idx="124" formatCode="General">
                  <c:v>16.337</c:v>
                </c:pt>
                <c:pt idx="125" formatCode="General">
                  <c:v>16.777999999999999</c:v>
                </c:pt>
                <c:pt idx="126" formatCode="General">
                  <c:v>21.890999999999998</c:v>
                </c:pt>
                <c:pt idx="127" formatCode="General">
                  <c:v>19.713000000000001</c:v>
                </c:pt>
                <c:pt idx="128" formatCode="General">
                  <c:v>13.455</c:v>
                </c:pt>
                <c:pt idx="129" formatCode="General">
                  <c:v>11.877000000000001</c:v>
                </c:pt>
                <c:pt idx="130" formatCode="General">
                  <c:v>29.731000000000002</c:v>
                </c:pt>
                <c:pt idx="131" formatCode="General">
                  <c:v>29.276</c:v>
                </c:pt>
                <c:pt idx="132" formatCode="General">
                  <c:v>21.966000000000001</c:v>
                </c:pt>
                <c:pt idx="133" formatCode="General">
                  <c:v>17.701000000000001</c:v>
                </c:pt>
                <c:pt idx="134" formatCode="General">
                  <c:v>26.023</c:v>
                </c:pt>
                <c:pt idx="135" formatCode="General">
                  <c:v>45.366999999999997</c:v>
                </c:pt>
                <c:pt idx="136" formatCode="General">
                  <c:v>41.652999999999999</c:v>
                </c:pt>
                <c:pt idx="137" formatCode="General">
                  <c:v>36.438000000000002</c:v>
                </c:pt>
                <c:pt idx="138" formatCode="General">
                  <c:v>33.887999999999998</c:v>
                </c:pt>
                <c:pt idx="139" formatCode="General">
                  <c:v>52.863999999999997</c:v>
                </c:pt>
              </c:numCache>
            </c:numRef>
          </c:xVal>
          <c:yVal>
            <c:numRef>
              <c:f>'Regres fig'!$F$74:$F$141</c:f>
              <c:numCache>
                <c:formatCode>0.00</c:formatCode>
                <c:ptCount val="68"/>
                <c:pt idx="0">
                  <c:v>8.550277777777767</c:v>
                </c:pt>
                <c:pt idx="1">
                  <c:v>8.5436805555555537</c:v>
                </c:pt>
                <c:pt idx="2">
                  <c:v>8.5537499999999973</c:v>
                </c:pt>
                <c:pt idx="3">
                  <c:v>8.4315972222222246</c:v>
                </c:pt>
                <c:pt idx="4">
                  <c:v>8.3504166666666677</c:v>
                </c:pt>
                <c:pt idx="5">
                  <c:v>8.2626388888888922</c:v>
                </c:pt>
                <c:pt idx="6">
                  <c:v>8.1934722222222227</c:v>
                </c:pt>
                <c:pt idx="7">
                  <c:v>8.2252777777777784</c:v>
                </c:pt>
                <c:pt idx="8">
                  <c:v>8.2995138888888889</c:v>
                </c:pt>
                <c:pt idx="9">
                  <c:v>8.2862500000000008</c:v>
                </c:pt>
                <c:pt idx="10">
                  <c:v>8.2750694444444317</c:v>
                </c:pt>
                <c:pt idx="11">
                  <c:v>8.1765277777777801</c:v>
                </c:pt>
                <c:pt idx="12">
                  <c:v>8.1470138888888979</c:v>
                </c:pt>
                <c:pt idx="13">
                  <c:v>8.1261805555555515</c:v>
                </c:pt>
                <c:pt idx="14">
                  <c:v>8.149861111111127</c:v>
                </c:pt>
                <c:pt idx="15">
                  <c:v>8.1559027777777899</c:v>
                </c:pt>
                <c:pt idx="16">
                  <c:v>8.2089583333333405</c:v>
                </c:pt>
                <c:pt idx="17">
                  <c:v>8.1727777777777852</c:v>
                </c:pt>
                <c:pt idx="18">
                  <c:v>7.7340909090909147</c:v>
                </c:pt>
                <c:pt idx="19">
                  <c:v>7.7828472222222285</c:v>
                </c:pt>
                <c:pt idx="20">
                  <c:v>7.7227777777777771</c:v>
                </c:pt>
                <c:pt idx="21">
                  <c:v>7.6771527777777715</c:v>
                </c:pt>
                <c:pt idx="22">
                  <c:v>7.647291666666665</c:v>
                </c:pt>
                <c:pt idx="23">
                  <c:v>7.6893055555555536</c:v>
                </c:pt>
                <c:pt idx="24">
                  <c:v>7.7299999999999898</c:v>
                </c:pt>
                <c:pt idx="25">
                  <c:v>7.6763194444444469</c:v>
                </c:pt>
                <c:pt idx="26">
                  <c:v>7.8396527777777845</c:v>
                </c:pt>
                <c:pt idx="27">
                  <c:v>7.8092361111111153</c:v>
                </c:pt>
                <c:pt idx="28">
                  <c:v>7.7679861111111101</c:v>
                </c:pt>
                <c:pt idx="29">
                  <c:v>7.6119444444444362</c:v>
                </c:pt>
                <c:pt idx="30">
                  <c:v>7.7213194444444504</c:v>
                </c:pt>
                <c:pt idx="31">
                  <c:v>7.654305555555549</c:v>
                </c:pt>
                <c:pt idx="32">
                  <c:v>7.5725694444444436</c:v>
                </c:pt>
                <c:pt idx="33">
                  <c:v>7.5627083333333349</c:v>
                </c:pt>
                <c:pt idx="34">
                  <c:v>7.6143055555555508</c:v>
                </c:pt>
                <c:pt idx="35">
                  <c:v>7.4659027777777789</c:v>
                </c:pt>
                <c:pt idx="36">
                  <c:v>7.4322916666666696</c:v>
                </c:pt>
                <c:pt idx="37">
                  <c:v>7.4802777777777827</c:v>
                </c:pt>
                <c:pt idx="38">
                  <c:v>7.5077777777777817</c:v>
                </c:pt>
                <c:pt idx="39">
                  <c:v>7.5385416666666725</c:v>
                </c:pt>
                <c:pt idx="40">
                  <c:v>7.5994444444444404</c:v>
                </c:pt>
                <c:pt idx="41">
                  <c:v>7.6504999999999983</c:v>
                </c:pt>
                <c:pt idx="42">
                  <c:v>7.7422222222222139</c:v>
                </c:pt>
                <c:pt idx="43">
                  <c:v>7.9959027777777782</c:v>
                </c:pt>
                <c:pt idx="44">
                  <c:v>7.8669444444444441</c:v>
                </c:pt>
                <c:pt idx="45">
                  <c:v>7.7393055555555446</c:v>
                </c:pt>
                <c:pt idx="46">
                  <c:v>7.674305555555553</c:v>
                </c:pt>
                <c:pt idx="47">
                  <c:v>7.6613194444444428</c:v>
                </c:pt>
                <c:pt idx="48">
                  <c:v>7.6229861111111035</c:v>
                </c:pt>
                <c:pt idx="49">
                  <c:v>7.6048611111111164</c:v>
                </c:pt>
                <c:pt idx="50">
                  <c:v>7.5959722222222279</c:v>
                </c:pt>
                <c:pt idx="51">
                  <c:v>7.6298611111111176</c:v>
                </c:pt>
                <c:pt idx="52">
                  <c:v>7.6022222222222258</c:v>
                </c:pt>
                <c:pt idx="53">
                  <c:v>7.6209722222222309</c:v>
                </c:pt>
                <c:pt idx="54">
                  <c:v>7.609652777777776</c:v>
                </c:pt>
                <c:pt idx="55">
                  <c:v>7.7093750000000041</c:v>
                </c:pt>
                <c:pt idx="56">
                  <c:v>7.7287500000000007</c:v>
                </c:pt>
                <c:pt idx="57">
                  <c:v>7.7284027777777737</c:v>
                </c:pt>
                <c:pt idx="58">
                  <c:v>7.64513888888888</c:v>
                </c:pt>
                <c:pt idx="59">
                  <c:v>7.6322916666666618</c:v>
                </c:pt>
                <c:pt idx="60">
                  <c:v>7.6454861111111008</c:v>
                </c:pt>
                <c:pt idx="61">
                  <c:v>7.6548611111111136</c:v>
                </c:pt>
                <c:pt idx="62">
                  <c:v>7.6240972222222121</c:v>
                </c:pt>
                <c:pt idx="63">
                  <c:v>7.5854166666666698</c:v>
                </c:pt>
                <c:pt idx="64">
                  <c:v>7.6227083333333354</c:v>
                </c:pt>
                <c:pt idx="65">
                  <c:v>7.6779166666666674</c:v>
                </c:pt>
                <c:pt idx="66">
                  <c:v>7.6570138888888799</c:v>
                </c:pt>
                <c:pt idx="67">
                  <c:v>7.5879166666666658</c:v>
                </c:pt>
              </c:numCache>
            </c:numRef>
          </c:yVal>
          <c:smooth val="0"/>
          <c:extLst xmlns:c16r2="http://schemas.microsoft.com/office/drawing/2015/06/chart">
            <c:ext xmlns:c16="http://schemas.microsoft.com/office/drawing/2014/chart" uri="{C3380CC4-5D6E-409C-BE32-E72D297353CC}">
              <c16:uniqueId val="{00000001-5226-4918-995B-88E8F6380384}"/>
            </c:ext>
          </c:extLst>
        </c:ser>
        <c:dLbls>
          <c:showLegendKey val="0"/>
          <c:showVal val="0"/>
          <c:showCatName val="0"/>
          <c:showSerName val="0"/>
          <c:showPercent val="0"/>
          <c:showBubbleSize val="0"/>
        </c:dLbls>
        <c:axId val="697683376"/>
        <c:axId val="697683768"/>
      </c:scatterChart>
      <c:valAx>
        <c:axId val="697683376"/>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697683768"/>
        <c:crosses val="autoZero"/>
        <c:crossBetween val="midCat"/>
      </c:valAx>
      <c:valAx>
        <c:axId val="697683768"/>
        <c:scaling>
          <c:orientation val="minMax"/>
          <c:max val="8.6"/>
          <c:min val="7.4"/>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AU"/>
                  <a:t>pH</a:t>
                </a:r>
              </a:p>
            </c:rich>
          </c:tx>
          <c:layout>
            <c:manualLayout>
              <c:xMode val="edge"/>
              <c:yMode val="edge"/>
              <c:x val="5.0454086781029266E-3"/>
              <c:y val="0.41305341015223407"/>
            </c:manualLayout>
          </c:layout>
          <c:overlay val="0"/>
          <c:spPr>
            <a:noFill/>
            <a:ln w="25400">
              <a:noFill/>
            </a:ln>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a:pPr>
            <a:endParaRPr lang="en-US"/>
          </a:p>
        </c:txPr>
        <c:crossAx val="697683376"/>
        <c:crosses val="autoZero"/>
        <c:crossBetween val="midCat"/>
        <c:majorUnit val="0.2"/>
      </c:valAx>
      <c:spPr>
        <a:noFill/>
        <a:ln w="12700">
          <a:solidFill>
            <a:sysClr val="windowText" lastClr="000000">
              <a:lumMod val="15000"/>
              <a:lumOff val="85000"/>
            </a:sysClr>
          </a:solidFill>
        </a:ln>
      </c:spPr>
    </c:plotArea>
    <c:legend>
      <c:legendPos val="t"/>
      <c:legendEntry>
        <c:idx val="2"/>
        <c:delete val="1"/>
      </c:legendEntry>
      <c:legendEntry>
        <c:idx val="3"/>
        <c:delete val="1"/>
      </c:legendEntry>
      <c:legendEntry>
        <c:idx val="4"/>
        <c:delete val="1"/>
      </c:legendEntry>
      <c:layout>
        <c:manualLayout>
          <c:xMode val="edge"/>
          <c:yMode val="edge"/>
          <c:x val="0.53145712991728711"/>
          <c:y val="6.8741780746184734E-4"/>
          <c:w val="0.46180784541185632"/>
          <c:h val="0.10876445941717698"/>
        </c:manualLayout>
      </c:layout>
      <c:overlay val="0"/>
      <c:spPr>
        <a:noFill/>
        <a:ln>
          <a:noFill/>
        </a:ln>
        <a:effectLst/>
      </c:sp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Arial" panose="020B0604020202020204" pitchFamily="34" charset="0"/>
          <a:ea typeface="Calibri"/>
          <a:cs typeface="Arial" panose="020B0604020202020204" pitchFamily="34"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10.xml><?xml version="1.0" encoding="utf-8"?>
<cs:colorStyle xmlns:cs="http://schemas.microsoft.com/office/drawing/2012/chartStyle" xmlns:a="http://schemas.openxmlformats.org/drawingml/2006/main" meth="withinLinear" id="18">
  <a:schemeClr val="accent5"/>
</cs:colorStyle>
</file>

<file path=word/charts/colors11.xml><?xml version="1.0" encoding="utf-8"?>
<cs:colorStyle xmlns:cs="http://schemas.microsoft.com/office/drawing/2012/chartStyle" xmlns:a="http://schemas.openxmlformats.org/drawingml/2006/main" meth="withinLinearReversed" id="21">
  <a:schemeClr val="accent1"/>
</cs:colorStyle>
</file>

<file path=word/charts/colors12.xml><?xml version="1.0" encoding="utf-8"?>
<cs:colorStyle xmlns:cs="http://schemas.microsoft.com/office/drawing/2012/chartStyle" xmlns:a="http://schemas.openxmlformats.org/drawingml/2006/main" meth="withinLinearReversed" id="21">
  <a:schemeClr val="accent1"/>
</cs:colorStyle>
</file>

<file path=word/charts/colors13.xml><?xml version="1.0" encoding="utf-8"?>
<cs:colorStyle xmlns:cs="http://schemas.microsoft.com/office/drawing/2012/chartStyle" xmlns:a="http://schemas.openxmlformats.org/drawingml/2006/main" meth="withinLinearReversed" id="21">
  <a:schemeClr val="accent1"/>
</cs:colorStyle>
</file>

<file path=word/charts/colors14.xml><?xml version="1.0" encoding="utf-8"?>
<cs:colorStyle xmlns:cs="http://schemas.microsoft.com/office/drawing/2012/chartStyle" xmlns:a="http://schemas.openxmlformats.org/drawingml/2006/main" meth="withinLinearReversed" id="21">
  <a:schemeClr val="accent1"/>
</cs:colorStyle>
</file>

<file path=word/charts/colors15.xml><?xml version="1.0" encoding="utf-8"?>
<cs:colorStyle xmlns:cs="http://schemas.microsoft.com/office/drawing/2012/chartStyle" xmlns:a="http://schemas.openxmlformats.org/drawingml/2006/main" meth="withinLinearReversed" id="21">
  <a:schemeClr val="accent1"/>
</cs:colorStyle>
</file>

<file path=word/charts/colors16.xml><?xml version="1.0" encoding="utf-8"?>
<cs:colorStyle xmlns:cs="http://schemas.microsoft.com/office/drawing/2012/chartStyle" xmlns:a="http://schemas.openxmlformats.org/drawingml/2006/main" meth="withinLinearReversed" id="21">
  <a:schemeClr val="accent1"/>
</cs:colorStyle>
</file>

<file path=word/charts/colors17.xml><?xml version="1.0" encoding="utf-8"?>
<cs:colorStyle xmlns:cs="http://schemas.microsoft.com/office/drawing/2012/chartStyle" xmlns:a="http://schemas.openxmlformats.org/drawingml/2006/main" meth="withinLinearReversed" id="21">
  <a:schemeClr val="accent1"/>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1">
  <a:schemeClr val="accent1"/>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1">
  <a:schemeClr val="accent1"/>
</cs:colorStyle>
</file>

<file path=word/charts/colors4.xml><?xml version="1.0" encoding="utf-8"?>
<cs:colorStyle xmlns:cs="http://schemas.microsoft.com/office/drawing/2012/chartStyle" xmlns:a="http://schemas.openxmlformats.org/drawingml/2006/main" meth="withinLinearReversed" id="21">
  <a:schemeClr val="accent1"/>
</cs:colorStyle>
</file>

<file path=word/charts/colors5.xml><?xml version="1.0" encoding="utf-8"?>
<cs:colorStyle xmlns:cs="http://schemas.microsoft.com/office/drawing/2012/chartStyle" xmlns:a="http://schemas.openxmlformats.org/drawingml/2006/main" meth="withinLinearReversed" id="21">
  <a:schemeClr val="accent1"/>
</cs:colorStyle>
</file>

<file path=word/charts/colors6.xml><?xml version="1.0" encoding="utf-8"?>
<cs:colorStyle xmlns:cs="http://schemas.microsoft.com/office/drawing/2012/chartStyle" xmlns:a="http://schemas.openxmlformats.org/drawingml/2006/main" meth="withinLinearReversed" id="21">
  <a:schemeClr val="accent1"/>
</cs:colorStyle>
</file>

<file path=word/charts/colors7.xml><?xml version="1.0" encoding="utf-8"?>
<cs:colorStyle xmlns:cs="http://schemas.microsoft.com/office/drawing/2012/chartStyle" xmlns:a="http://schemas.openxmlformats.org/drawingml/2006/main" meth="withinLinearReversed" id="21">
  <a:schemeClr val="accent1"/>
</cs:colorStyle>
</file>

<file path=word/charts/colors8.xml><?xml version="1.0" encoding="utf-8"?>
<cs:colorStyle xmlns:cs="http://schemas.microsoft.com/office/drawing/2012/chartStyle" xmlns:a="http://schemas.openxmlformats.org/drawingml/2006/main" meth="withinLinear" id="18">
  <a:schemeClr val="accent5"/>
</cs:colorStyle>
</file>

<file path=word/charts/colors9.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0.27892</cdr:x>
      <cdr:y>0.0504</cdr:y>
    </cdr:from>
    <cdr:to>
      <cdr:x>0.92873</cdr:x>
      <cdr:y>0.14654</cdr:y>
    </cdr:to>
    <cdr:sp macro="" textlink="">
      <cdr:nvSpPr>
        <cdr:cNvPr id="2" name="TextBox 1"/>
        <cdr:cNvSpPr txBox="1"/>
      </cdr:nvSpPr>
      <cdr:spPr>
        <a:xfrm xmlns:a="http://schemas.openxmlformats.org/drawingml/2006/main">
          <a:off x="1647676" y="133937"/>
          <a:ext cx="3838724" cy="25548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T1	</a:t>
          </a:r>
          <a:r>
            <a:rPr lang="en-AU" sz="1000" baseline="0">
              <a:latin typeface="Arial" panose="020B0604020202020204" pitchFamily="34" charset="0"/>
              <a:cs typeface="Arial" panose="020B0604020202020204" pitchFamily="34" charset="0"/>
            </a:rPr>
            <a:t>                          T2           T3           T4</a:t>
          </a:r>
          <a:endParaRPr lang="en-AU" sz="1000">
            <a:latin typeface="Arial" panose="020B060402020202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0.28075</cdr:x>
      <cdr:y>0.05277</cdr:y>
    </cdr:from>
    <cdr:to>
      <cdr:x>0.90293</cdr:x>
      <cdr:y>0.1254</cdr:y>
    </cdr:to>
    <cdr:sp macro="" textlink="">
      <cdr:nvSpPr>
        <cdr:cNvPr id="2" name="TextBox 1"/>
        <cdr:cNvSpPr txBox="1"/>
      </cdr:nvSpPr>
      <cdr:spPr>
        <a:xfrm xmlns:a="http://schemas.openxmlformats.org/drawingml/2006/main">
          <a:off x="1649796" y="143753"/>
          <a:ext cx="3656110" cy="19785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T1	</a:t>
          </a:r>
          <a:r>
            <a:rPr lang="en-AU" sz="1000" baseline="0">
              <a:latin typeface="Arial" panose="020B0604020202020204" pitchFamily="34" charset="0"/>
              <a:cs typeface="Arial" panose="020B0604020202020204" pitchFamily="34" charset="0"/>
            </a:rPr>
            <a:t>                         T2            T3          T4</a:t>
          </a:r>
          <a:endParaRPr lang="en-AU" sz="1000">
            <a:latin typeface="Arial" panose="020B060402020202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0.28051</cdr:x>
      <cdr:y>0.05485</cdr:y>
    </cdr:from>
    <cdr:to>
      <cdr:x>0.90269</cdr:x>
      <cdr:y>0.12748</cdr:y>
    </cdr:to>
    <cdr:sp macro="" textlink="">
      <cdr:nvSpPr>
        <cdr:cNvPr id="2" name="TextBox 1"/>
        <cdr:cNvSpPr txBox="1"/>
      </cdr:nvSpPr>
      <cdr:spPr>
        <a:xfrm xmlns:a="http://schemas.openxmlformats.org/drawingml/2006/main">
          <a:off x="1662796" y="152554"/>
          <a:ext cx="3688112" cy="20200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T1	</a:t>
          </a:r>
          <a:r>
            <a:rPr lang="en-AU" sz="1000" baseline="0">
              <a:latin typeface="Arial" panose="020B0604020202020204" pitchFamily="34" charset="0"/>
              <a:cs typeface="Arial" panose="020B0604020202020204" pitchFamily="34" charset="0"/>
            </a:rPr>
            <a:t>                          T2           T3          T4</a:t>
          </a:r>
          <a:endParaRPr lang="en-AU" sz="100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75D42950.dotm</Template>
  <TotalTime>0</TotalTime>
  <Pages>170</Pages>
  <Words>42457</Words>
  <Characters>249208</Characters>
  <Application>Microsoft Office Word</Application>
  <DocSecurity>0</DocSecurity>
  <Lines>2076</Lines>
  <Paragraphs>582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291083</CharactersWithSpaces>
  <SharedDoc>false</SharedDoc>
  <HLinks>
    <vt:vector size="24" baseType="variant">
      <vt:variant>
        <vt:i4>2687076</vt:i4>
      </vt:variant>
      <vt:variant>
        <vt:i4>1383</vt:i4>
      </vt:variant>
      <vt:variant>
        <vt:i4>0</vt:i4>
      </vt:variant>
      <vt:variant>
        <vt:i4>5</vt:i4>
      </vt:variant>
      <vt:variant>
        <vt:lpwstr>http://doi.org/10.1371/journal.pone.0077704</vt:lpwstr>
      </vt:variant>
      <vt:variant>
        <vt:lpwstr/>
      </vt:variant>
      <vt:variant>
        <vt:i4>1900587</vt:i4>
      </vt:variant>
      <vt:variant>
        <vt:i4>1194</vt:i4>
      </vt:variant>
      <vt:variant>
        <vt:i4>0</vt:i4>
      </vt:variant>
      <vt:variant>
        <vt:i4>5</vt:i4>
      </vt:variant>
      <vt:variant>
        <vt:lpwstr>http://www.dpi.nsw.gov.au/__data/assets/pdf_file/0005/636530/FR17-olive-perchlet.pdf</vt:lpwstr>
      </vt:variant>
      <vt:variant>
        <vt:lpwstr/>
      </vt:variant>
      <vt:variant>
        <vt:i4>4718673</vt:i4>
      </vt:variant>
      <vt:variant>
        <vt:i4>264</vt:i4>
      </vt:variant>
      <vt:variant>
        <vt:i4>0</vt:i4>
      </vt:variant>
      <vt:variant>
        <vt:i4>5</vt:i4>
      </vt:variant>
      <vt:variant>
        <vt:lpwstr>http://www.bom.gov.au/nsw/observations/map.shtml</vt:lpwstr>
      </vt:variant>
      <vt:variant>
        <vt:lpwstr/>
      </vt:variant>
      <vt:variant>
        <vt:i4>7667763</vt:i4>
      </vt:variant>
      <vt:variant>
        <vt:i4>123</vt:i4>
      </vt:variant>
      <vt:variant>
        <vt:i4>0</vt:i4>
      </vt:variant>
      <vt:variant>
        <vt:i4>5</vt:i4>
      </vt:variant>
      <vt:variant>
        <vt:lpwstr>http://glovis.usgs.gov/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Office Long Term Intervention Monitoring Project Gwydir River System Selected Area – 2015-16 Technical Appendices</dc:title>
  <dc:subject/>
  <dc:creator>Eco Logical Australia and University of New England for the Commonwealth Environmental Water Office</dc:creator>
  <cp:keywords/>
  <dc:description/>
  <cp:lastModifiedBy>Durack, Bec</cp:lastModifiedBy>
  <cp:revision>2</cp:revision>
  <dcterms:created xsi:type="dcterms:W3CDTF">2017-03-31T05:50:00Z</dcterms:created>
  <dcterms:modified xsi:type="dcterms:W3CDTF">2017-03-31T05:57:00Z</dcterms:modified>
</cp:coreProperties>
</file>